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D1433">
      <w:pPr>
        <w:keepNext w:val="0"/>
        <w:keepLines w:val="0"/>
        <w:ind w:right="0"/>
        <w:jc w:val="both"/>
        <w:rPr>
          <w:rFonts w:hint="eastAsia" w:ascii="Times New Roman" w:hAnsi="Times New Roman" w:eastAsia="宋体" w:cs="Times New Roman"/>
          <w:b/>
          <w:bCs/>
          <w:sz w:val="36"/>
          <w:szCs w:val="36"/>
          <w:highlight w:val="none"/>
          <w:lang w:val="en-US" w:eastAsia="zh-CN"/>
        </w:rPr>
      </w:pPr>
      <w:bookmarkStart w:id="56" w:name="_GoBack"/>
      <w:bookmarkEnd w:id="56"/>
      <w:r>
        <w:rPr>
          <w:rFonts w:hint="eastAsia" w:ascii="Times New Roman" w:hAnsi="Times New Roman" w:eastAsia="宋体" w:cs="Times New Roman"/>
          <w:b/>
          <w:bCs/>
          <w:sz w:val="36"/>
          <w:szCs w:val="36"/>
          <w:highlight w:val="none"/>
          <w:lang w:val="en-US" w:eastAsia="zh-CN"/>
        </w:rPr>
        <w:drawing>
          <wp:inline distT="0" distB="0" distL="0" distR="0">
            <wp:extent cx="6180455" cy="87547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7"/>
                    <a:stretch>
                      <a:fillRect/>
                    </a:stretch>
                  </pic:blipFill>
                  <pic:spPr>
                    <a:xfrm>
                      <a:off x="0" y="0"/>
                      <a:ext cx="6181027" cy="8755291"/>
                    </a:xfrm>
                    <a:prstGeom prst="rect">
                      <a:avLst/>
                    </a:prstGeom>
                    <a:noFill/>
                    <a:ln>
                      <a:noFill/>
                    </a:ln>
                  </pic:spPr>
                </pic:pic>
              </a:graphicData>
            </a:graphic>
          </wp:inline>
        </w:drawing>
      </w:r>
    </w:p>
    <w:p w14:paraId="79139AC7">
      <w:pPr>
        <w:keepNext w:val="0"/>
        <w:keepLines w:val="0"/>
        <w:pageBreakBefore/>
        <w:widowControl w:val="0"/>
        <w:ind w:right="0"/>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目  录</w:t>
      </w:r>
    </w:p>
    <w:p w14:paraId="3562DC3A">
      <w:pPr>
        <w:pStyle w:val="203"/>
        <w:keepNext w:val="0"/>
        <w:keepLines w:val="0"/>
        <w:pageBreakBefore w:val="0"/>
        <w:widowControl w:val="0"/>
        <w:tabs>
          <w:tab w:val="right" w:leader="dot" w:pos="9746"/>
        </w:tabs>
        <w:spacing w:line="720" w:lineRule="auto"/>
        <w:jc w:val="left"/>
        <w:rPr>
          <w:rFonts w:hint="eastAsia" w:ascii="宋体" w:hAnsi="宋体" w:eastAsia="宋体" w:cs="宋体"/>
          <w:sz w:val="28"/>
          <w:szCs w:val="28"/>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TOC \o "1-1" \h \u </w:instrText>
      </w:r>
      <w:r>
        <w:rPr>
          <w:rFonts w:hint="eastAsia" w:ascii="宋体" w:hAnsi="宋体" w:eastAsia="宋体" w:cs="宋体"/>
          <w:b/>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_Toc5246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eastAsia="zh-CN"/>
        </w:rPr>
        <w:t>投标</w:t>
      </w:r>
      <w:r>
        <w:rPr>
          <w:rFonts w:hint="eastAsia" w:ascii="宋体" w:hAnsi="宋体" w:eastAsia="宋体" w:cs="宋体"/>
          <w:bCs/>
          <w:sz w:val="28"/>
          <w:szCs w:val="28"/>
          <w:highlight w:val="none"/>
        </w:rPr>
        <w:t>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_Toc5246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p>
    <w:p w14:paraId="42CF1707">
      <w:pPr>
        <w:pStyle w:val="203"/>
        <w:keepNext w:val="0"/>
        <w:keepLines w:val="0"/>
        <w:pageBreakBefore w:val="0"/>
        <w:widowControl w:val="0"/>
        <w:tabs>
          <w:tab w:val="right" w:leader="dot" w:pos="9746"/>
        </w:tabs>
        <w:spacing w:line="720" w:lineRule="auto"/>
        <w:jc w:val="left"/>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_Toc25315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val="en-US" w:eastAsia="zh-CN"/>
        </w:rPr>
        <w:t>第二章</w:t>
      </w:r>
      <w:r>
        <w:rPr>
          <w:rFonts w:hint="eastAsia" w:ascii="宋体" w:hAnsi="宋体" w:eastAsia="宋体" w:cs="宋体"/>
          <w:bCs/>
          <w:sz w:val="28"/>
          <w:szCs w:val="28"/>
          <w:highlight w:val="none"/>
        </w:rPr>
        <w:t xml:space="preserve">  </w:t>
      </w:r>
      <w:r>
        <w:rPr>
          <w:rFonts w:hint="eastAsia" w:ascii="宋体" w:hAnsi="宋体" w:eastAsia="宋体" w:cs="宋体"/>
          <w:bCs/>
          <w:sz w:val="28"/>
          <w:szCs w:val="28"/>
          <w:highlight w:val="none"/>
          <w:lang w:eastAsia="zh-CN"/>
        </w:rPr>
        <w:t>投标人</w:t>
      </w:r>
      <w:r>
        <w:rPr>
          <w:rFonts w:hint="eastAsia" w:ascii="宋体" w:hAnsi="宋体" w:eastAsia="宋体" w:cs="宋体"/>
          <w:bCs/>
          <w:sz w:val="28"/>
          <w:szCs w:val="28"/>
          <w:highlight w:val="none"/>
        </w:rPr>
        <w:t>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_Toc25315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p>
    <w:p w14:paraId="6F19AF95">
      <w:pPr>
        <w:pStyle w:val="203"/>
        <w:keepNext w:val="0"/>
        <w:keepLines w:val="0"/>
        <w:pageBreakBefore w:val="0"/>
        <w:widowControl w:val="0"/>
        <w:tabs>
          <w:tab w:val="right" w:leader="dot" w:pos="9746"/>
        </w:tabs>
        <w:spacing w:line="720" w:lineRule="auto"/>
        <w:jc w:val="left"/>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_Toc19320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第三章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_Toc19320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p>
    <w:p w14:paraId="56B7A58B">
      <w:pPr>
        <w:pStyle w:val="203"/>
        <w:keepNext w:val="0"/>
        <w:keepLines w:val="0"/>
        <w:pageBreakBefore w:val="0"/>
        <w:widowControl w:val="0"/>
        <w:tabs>
          <w:tab w:val="right" w:leader="dot" w:pos="9746"/>
        </w:tabs>
        <w:spacing w:line="720" w:lineRule="auto"/>
        <w:jc w:val="left"/>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_Toc26585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第四章  合同格式及条款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_Toc26585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p>
    <w:p w14:paraId="558AEB15">
      <w:pPr>
        <w:pStyle w:val="203"/>
        <w:keepNext w:val="0"/>
        <w:keepLines w:val="0"/>
        <w:pageBreakBefore w:val="0"/>
        <w:widowControl w:val="0"/>
        <w:tabs>
          <w:tab w:val="right" w:leader="dot" w:pos="9746"/>
        </w:tabs>
        <w:spacing w:line="720" w:lineRule="auto"/>
        <w:jc w:val="left"/>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_Toc23561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第五章  项目采购需求及总体要求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_Toc23561 \h </w:instrText>
      </w:r>
      <w:r>
        <w:rPr>
          <w:rFonts w:hint="eastAsia" w:ascii="宋体" w:hAnsi="宋体" w:eastAsia="宋体" w:cs="宋体"/>
          <w:sz w:val="28"/>
          <w:szCs w:val="28"/>
        </w:rPr>
        <w:fldChar w:fldCharType="separate"/>
      </w:r>
      <w:r>
        <w:rPr>
          <w:rFonts w:hint="eastAsia" w:ascii="宋体" w:hAnsi="宋体" w:eastAsia="宋体" w:cs="宋体"/>
          <w:sz w:val="28"/>
          <w:szCs w:val="28"/>
        </w:rPr>
        <w:t>36</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p>
    <w:p w14:paraId="010BB058">
      <w:pPr>
        <w:pStyle w:val="203"/>
        <w:keepNext w:val="0"/>
        <w:keepLines w:val="0"/>
        <w:pageBreakBefore w:val="0"/>
        <w:widowControl w:val="0"/>
        <w:tabs>
          <w:tab w:val="right" w:leader="dot" w:pos="9746"/>
        </w:tabs>
        <w:spacing w:line="720" w:lineRule="auto"/>
        <w:jc w:val="left"/>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_Toc114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w:t>
      </w:r>
      <w:r>
        <w:rPr>
          <w:rFonts w:hint="eastAsia" w:ascii="宋体" w:hAnsi="宋体" w:eastAsia="宋体" w:cs="宋体"/>
          <w:bCs/>
          <w:sz w:val="28"/>
          <w:szCs w:val="28"/>
          <w:highlight w:val="none"/>
          <w:lang w:val="en-US" w:eastAsia="zh-CN"/>
        </w:rPr>
        <w:t>投标</w:t>
      </w:r>
      <w:r>
        <w:rPr>
          <w:rFonts w:hint="eastAsia" w:ascii="宋体" w:hAnsi="宋体" w:eastAsia="宋体" w:cs="宋体"/>
          <w:bCs/>
          <w:sz w:val="28"/>
          <w:szCs w:val="28"/>
          <w:highlight w:val="none"/>
        </w:rPr>
        <w:t>文件</w:t>
      </w:r>
      <w:r>
        <w:rPr>
          <w:rFonts w:hint="eastAsia" w:ascii="宋体" w:hAnsi="宋体" w:eastAsia="宋体" w:cs="宋体"/>
          <w:bCs/>
          <w:sz w:val="28"/>
          <w:szCs w:val="28"/>
          <w:highlight w:val="none"/>
          <w:lang w:val="en-US" w:eastAsia="zh-CN"/>
        </w:rPr>
        <w:t>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_Toc114 \h </w:instrText>
      </w:r>
      <w:r>
        <w:rPr>
          <w:rFonts w:hint="eastAsia" w:ascii="宋体" w:hAnsi="宋体" w:eastAsia="宋体" w:cs="宋体"/>
          <w:sz w:val="28"/>
          <w:szCs w:val="28"/>
        </w:rPr>
        <w:fldChar w:fldCharType="separate"/>
      </w:r>
      <w:r>
        <w:rPr>
          <w:rFonts w:hint="eastAsia" w:ascii="宋体" w:hAnsi="宋体" w:eastAsia="宋体" w:cs="宋体"/>
          <w:sz w:val="28"/>
          <w:szCs w:val="28"/>
        </w:rPr>
        <w:t>47</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p>
    <w:p w14:paraId="19E1DBF7">
      <w:pPr>
        <w:keepNext w:val="0"/>
        <w:keepLines w:val="0"/>
        <w:pageBreakBefore w:val="0"/>
        <w:widowControl w:val="0"/>
        <w:spacing w:line="720" w:lineRule="auto"/>
        <w:ind w:right="0" w:firstLine="2209"/>
        <w:jc w:val="left"/>
        <w:rPr>
          <w:rFonts w:hint="eastAsia" w:ascii="宋体" w:hAnsi="宋体" w:eastAsia="宋体" w:cs="宋体"/>
          <w:b/>
          <w:sz w:val="44"/>
          <w:szCs w:val="44"/>
          <w:highlight w:val="none"/>
        </w:rPr>
      </w:pPr>
      <w:r>
        <w:rPr>
          <w:rFonts w:hint="eastAsia" w:ascii="宋体" w:hAnsi="宋体" w:eastAsia="宋体" w:cs="宋体"/>
          <w:sz w:val="28"/>
          <w:szCs w:val="28"/>
          <w:highlight w:val="none"/>
        </w:rPr>
        <w:fldChar w:fldCharType="end"/>
      </w:r>
    </w:p>
    <w:p w14:paraId="5584CAF3">
      <w:pPr>
        <w:keepNext w:val="0"/>
        <w:keepLines w:val="0"/>
        <w:spacing w:line="520" w:lineRule="exact"/>
        <w:ind w:right="0" w:firstLine="2715"/>
        <w:outlineLvl w:val="0"/>
        <w:rPr>
          <w:rFonts w:hint="eastAsia" w:ascii="宋体" w:hAnsi="宋体" w:eastAsia="宋体" w:cs="宋体"/>
          <w:b/>
          <w:bCs/>
          <w:sz w:val="32"/>
          <w:szCs w:val="32"/>
          <w:highlight w:val="none"/>
        </w:rPr>
        <w:sectPr>
          <w:headerReference r:id="rId3" w:type="default"/>
          <w:footerReference r:id="rId4" w:type="even"/>
          <w:pgSz w:w="11906" w:h="16838"/>
          <w:pgMar w:top="1440" w:right="1080" w:bottom="1440" w:left="1080" w:header="851" w:footer="992" w:gutter="0"/>
          <w:cols w:space="1701" w:num="1"/>
          <w:docGrid w:linePitch="360" w:charSpace="0"/>
        </w:sectPr>
      </w:pPr>
    </w:p>
    <w:p w14:paraId="0B5B2745">
      <w:pPr>
        <w:keepNext w:val="0"/>
        <w:keepLines w:val="0"/>
        <w:pageBreakBefore/>
        <w:widowControl w:val="0"/>
        <w:spacing w:line="520" w:lineRule="exact"/>
        <w:ind w:right="0"/>
        <w:jc w:val="center"/>
        <w:outlineLvl w:val="0"/>
        <w:rPr>
          <w:rFonts w:hint="eastAsia" w:ascii="宋体" w:hAnsi="宋体" w:eastAsia="宋体" w:cs="宋体"/>
          <w:b/>
          <w:bCs/>
          <w:sz w:val="32"/>
          <w:szCs w:val="32"/>
          <w:highlight w:val="none"/>
        </w:rPr>
      </w:pPr>
      <w:bookmarkStart w:id="0" w:name="_Toc5246"/>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eastAsia="zh-CN"/>
        </w:rPr>
        <w:t>投标</w:t>
      </w:r>
      <w:r>
        <w:rPr>
          <w:rFonts w:hint="eastAsia" w:ascii="宋体" w:hAnsi="宋体" w:eastAsia="宋体" w:cs="宋体"/>
          <w:b/>
          <w:bCs/>
          <w:sz w:val="32"/>
          <w:szCs w:val="32"/>
          <w:highlight w:val="none"/>
        </w:rPr>
        <w:t>邀请</w:t>
      </w:r>
      <w:bookmarkEnd w:id="0"/>
    </w:p>
    <w:tbl>
      <w:tblPr>
        <w:tblStyle w:val="210"/>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25"/>
      </w:tblGrid>
      <w:tr w14:paraId="59772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725" w:type="dxa"/>
            <w:noWrap w:val="0"/>
            <w:vAlign w:val="top"/>
          </w:tcPr>
          <w:p w14:paraId="005FF1A1">
            <w:pPr>
              <w:keepNext w:val="0"/>
              <w:keepLines w:val="0"/>
              <w:pageBreakBefore w:val="0"/>
              <w:widowControl w:val="0"/>
              <w:suppressLineNumbers w:val="0"/>
              <w:spacing w:before="0" w:beforeAutospacing="0" w:after="0" w:afterAutospacing="0" w:line="440" w:lineRule="exact"/>
              <w:ind w:left="0" w:right="0"/>
              <w:jc w:val="left"/>
              <w:rPr>
                <w:rFonts w:hint="eastAsia" w:ascii="宋体" w:hAnsi="宋体" w:eastAsia="宋体" w:cs="宋体"/>
                <w:b/>
                <w:bCs/>
                <w:sz w:val="24"/>
                <w:szCs w:val="24"/>
                <w:lang w:eastAsia="zh-CN"/>
              </w:rPr>
            </w:pPr>
            <w:r>
              <w:rPr>
                <w:rFonts w:hint="eastAsia" w:ascii="宋体" w:hAnsi="宋体" w:eastAsia="宋体" w:cs="宋体"/>
                <w:b/>
                <w:bCs/>
                <w:sz w:val="24"/>
                <w:szCs w:val="24"/>
              </w:rPr>
              <w:t>项目概况</w:t>
            </w:r>
            <w:r>
              <w:rPr>
                <w:rFonts w:hint="eastAsia" w:ascii="宋体" w:hAnsi="宋体" w:eastAsia="宋体" w:cs="宋体"/>
                <w:b/>
                <w:bCs/>
                <w:sz w:val="24"/>
                <w:szCs w:val="24"/>
                <w:lang w:eastAsia="zh-CN"/>
              </w:rPr>
              <w:t>：</w:t>
            </w:r>
          </w:p>
          <w:p w14:paraId="2893C051">
            <w:pPr>
              <w:keepNext w:val="0"/>
              <w:keepLines w:val="0"/>
              <w:pageBreakBefore w:val="0"/>
              <w:widowControl w:val="0"/>
              <w:suppressLineNumbers w:val="0"/>
              <w:spacing w:before="0" w:beforeAutospacing="0" w:after="0" w:afterAutospacing="0" w:line="440" w:lineRule="exact"/>
              <w:ind w:left="0" w:right="0" w:firstLine="480"/>
              <w:jc w:val="left"/>
              <w:rPr>
                <w:rFonts w:hint="eastAsia" w:ascii="宋体" w:hAnsi="宋体" w:eastAsia="宋体" w:cs="宋体"/>
                <w:b/>
                <w:bCs/>
                <w:sz w:val="24"/>
                <w:szCs w:val="24"/>
              </w:rPr>
            </w:pPr>
            <w:r>
              <w:rPr>
                <w:rFonts w:hint="eastAsia" w:ascii="宋体" w:hAnsi="宋体" w:eastAsia="宋体" w:cs="宋体"/>
                <w:sz w:val="24"/>
                <w:szCs w:val="24"/>
                <w:u w:val="single"/>
                <w:lang w:eastAsia="zh-CN"/>
              </w:rPr>
              <w:t>种业信息监管服务平台（三期）建设</w:t>
            </w:r>
            <w:r>
              <w:rPr>
                <w:rFonts w:hint="eastAsia" w:ascii="宋体" w:hAnsi="宋体" w:eastAsia="宋体" w:cs="宋体"/>
                <w:sz w:val="24"/>
                <w:szCs w:val="24"/>
                <w:highlight w:val="none"/>
                <w:u w:val="single"/>
                <w:lang w:eastAsia="zh-CN"/>
              </w:rPr>
              <w:t>项目</w:t>
            </w:r>
            <w:r>
              <w:rPr>
                <w:rFonts w:hint="eastAsia" w:ascii="宋体" w:hAnsi="宋体" w:eastAsia="宋体" w:cs="宋体"/>
                <w:sz w:val="24"/>
                <w:szCs w:val="24"/>
                <w:highlight w:val="none"/>
                <w:u w:val="single"/>
                <w:lang w:val="en-US" w:eastAsia="zh-CN"/>
              </w:rPr>
              <w:t>JSZC-320831-SWGS-G2026-0001</w:t>
            </w:r>
            <w:r>
              <w:rPr>
                <w:rFonts w:hint="eastAsia" w:ascii="宋体" w:hAnsi="宋体" w:eastAsia="宋体" w:cs="宋体"/>
                <w:sz w:val="24"/>
                <w:szCs w:val="24"/>
              </w:rPr>
              <w:t>的</w:t>
            </w:r>
            <w:r>
              <w:rPr>
                <w:rFonts w:hint="eastAsia" w:ascii="宋体" w:hAnsi="宋体" w:eastAsia="宋体" w:cs="宋体"/>
                <w:sz w:val="24"/>
                <w:szCs w:val="24"/>
                <w:highlight w:val="none"/>
              </w:rPr>
              <w:t>潜在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应在江苏政府采购网</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淮安市政府采购网自行免费下载</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文件，并于</w:t>
            </w:r>
            <w:r>
              <w:rPr>
                <w:rFonts w:hint="eastAsia" w:ascii="宋体" w:hAnsi="宋体" w:eastAsia="宋体" w:cs="宋体"/>
                <w:sz w:val="24"/>
                <w:szCs w:val="24"/>
                <w:highlight w:val="none"/>
                <w:lang w:val="en-US" w:eastAsia="zh-CN"/>
              </w:rPr>
              <w:t>2026-01-28  9:00（</w:t>
            </w:r>
            <w:r>
              <w:rPr>
                <w:rFonts w:hint="eastAsia" w:ascii="宋体" w:hAnsi="宋体" w:eastAsia="宋体" w:cs="宋体"/>
                <w:sz w:val="24"/>
                <w:szCs w:val="24"/>
                <w:lang w:val="en-US" w:eastAsia="zh-CN"/>
              </w:rPr>
              <w:t>北京时间）</w:t>
            </w:r>
            <w:r>
              <w:rPr>
                <w:rFonts w:hint="eastAsia" w:ascii="宋体" w:hAnsi="宋体" w:eastAsia="宋体" w:cs="宋体"/>
                <w:sz w:val="24"/>
                <w:szCs w:val="24"/>
              </w:rPr>
              <w:t>前提交</w:t>
            </w:r>
            <w:r>
              <w:rPr>
                <w:rFonts w:hint="eastAsia" w:ascii="宋体" w:hAnsi="宋体" w:eastAsia="宋体" w:cs="宋体"/>
                <w:sz w:val="24"/>
                <w:szCs w:val="24"/>
                <w:lang w:val="en-US" w:eastAsia="zh-CN"/>
              </w:rPr>
              <w:t>投标</w:t>
            </w:r>
            <w:r>
              <w:rPr>
                <w:rFonts w:hint="eastAsia" w:ascii="宋体" w:hAnsi="宋体" w:eastAsia="宋体" w:cs="宋体"/>
                <w:sz w:val="24"/>
                <w:szCs w:val="24"/>
              </w:rPr>
              <w:t>文件。</w:t>
            </w:r>
          </w:p>
        </w:tc>
      </w:tr>
    </w:tbl>
    <w:p w14:paraId="6049FB5C">
      <w:pPr>
        <w:keepNext w:val="0"/>
        <w:keepLines w:val="0"/>
        <w:pageBreakBefore w:val="0"/>
        <w:widowControl w:val="0"/>
        <w:spacing w:line="400" w:lineRule="exact"/>
        <w:ind w:right="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一、项目基本情况</w:t>
      </w:r>
    </w:p>
    <w:p w14:paraId="3C123C6B">
      <w:pPr>
        <w:keepNext w:val="0"/>
        <w:keepLines w:val="0"/>
        <w:pageBreakBefore w:val="0"/>
        <w:widowControl w:val="0"/>
        <w:spacing w:line="400" w:lineRule="exact"/>
        <w:ind w:right="0" w:firstLine="484"/>
        <w:jc w:val="left"/>
        <w:rPr>
          <w:rFonts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rPr>
        <w:t>项目编号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JSZC-320831-SWGS-G2026-0001</w:t>
      </w:r>
    </w:p>
    <w:p w14:paraId="72D54493">
      <w:pPr>
        <w:keepNext w:val="0"/>
        <w:keepLines w:val="0"/>
        <w:pageBreakBefore w:val="0"/>
        <w:widowControl w:val="0"/>
        <w:spacing w:line="400" w:lineRule="exact"/>
        <w:ind w:right="0" w:firstLine="484"/>
        <w:jc w:val="left"/>
        <w:rPr>
          <w:rFonts w:hint="eastAsia" w:ascii="宋体" w:hAnsi="宋体" w:eastAsia="宋体" w:cs="宋体"/>
          <w:bCs/>
          <w:sz w:val="24"/>
          <w:szCs w:val="24"/>
          <w:highlight w:val="none"/>
        </w:rPr>
      </w:pPr>
      <w:r>
        <w:rPr>
          <w:rFonts w:hint="eastAsia" w:ascii="宋体" w:hAnsi="宋体" w:eastAsia="宋体" w:cs="宋体"/>
          <w:sz w:val="24"/>
          <w:szCs w:val="24"/>
          <w:highlight w:val="none"/>
        </w:rPr>
        <w:t>项目名称</w:t>
      </w:r>
      <w:r>
        <w:rPr>
          <w:rFonts w:hint="eastAsia" w:ascii="宋体" w:hAnsi="宋体" w:eastAsia="宋体" w:cs="宋体"/>
          <w:sz w:val="24"/>
          <w:szCs w:val="24"/>
          <w:highlight w:val="none"/>
          <w:lang w:eastAsia="zh-CN"/>
        </w:rPr>
        <w:t>：</w:t>
      </w:r>
      <w:r>
        <w:rPr>
          <w:rFonts w:hint="eastAsia" w:ascii="宋体" w:hAnsi="宋体" w:eastAsia="宋体" w:cs="宋体"/>
          <w:spacing w:val="-6"/>
          <w:sz w:val="24"/>
          <w:szCs w:val="24"/>
          <w:highlight w:val="none"/>
          <w:lang w:val="en-US" w:eastAsia="zh-CN"/>
        </w:rPr>
        <w:t>种业信息监管服务平台（三期）建设项目</w:t>
      </w:r>
    </w:p>
    <w:p w14:paraId="4287C589">
      <w:pPr>
        <w:keepNext w:val="0"/>
        <w:keepLines w:val="0"/>
        <w:pageBreakBefore w:val="0"/>
        <w:widowControl w:val="0"/>
        <w:spacing w:line="400" w:lineRule="exact"/>
        <w:ind w:right="0" w:firstLine="48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预算金额</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none"/>
          <w:lang w:val="en-US" w:eastAsia="zh-CN"/>
        </w:rPr>
        <w:t>290万元</w:t>
      </w:r>
    </w:p>
    <w:p w14:paraId="3DAE69C2">
      <w:pPr>
        <w:keepNext w:val="0"/>
        <w:keepLines w:val="0"/>
        <w:pageBreakBefore w:val="0"/>
        <w:widowControl w:val="0"/>
        <w:spacing w:line="400" w:lineRule="exact"/>
        <w:ind w:right="0" w:firstLine="484"/>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最高限价（如有）：290万元，其中软件部分172.2万元，硬件部分117.8万元。报价不得超过最高限价及各部分限价，否则作废标处理。</w:t>
      </w:r>
    </w:p>
    <w:p w14:paraId="20DEEECB">
      <w:pPr>
        <w:keepNext w:val="0"/>
        <w:keepLines w:val="0"/>
        <w:pageBreakBefore w:val="0"/>
        <w:widowControl w:val="0"/>
        <w:spacing w:line="400" w:lineRule="exact"/>
        <w:ind w:right="0" w:firstLine="48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采购需求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种业信息监管服务平台（三期）建设项目，详见第五章采购需求及具体要求。</w:t>
      </w:r>
    </w:p>
    <w:p w14:paraId="3A9D9AF7">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right="0" w:firstLine="480"/>
        <w:rPr>
          <w:rFonts w:hint="eastAsia" w:ascii="宋体" w:hAnsi="宋体" w:eastAsia="宋体" w:cs="宋体"/>
          <w:color w:val="000000"/>
          <w:sz w:val="24"/>
          <w:highlight w:val="none"/>
        </w:rPr>
      </w:pPr>
      <w:r>
        <w:rPr>
          <w:rFonts w:hint="eastAsia" w:ascii="宋体" w:hAnsi="宋体" w:eastAsia="宋体" w:cs="宋体"/>
          <w:sz w:val="24"/>
          <w:szCs w:val="24"/>
          <w:highlight w:val="none"/>
        </w:rPr>
        <w:t>合同履行期</w:t>
      </w:r>
      <w:r>
        <w:rPr>
          <w:rFonts w:hint="eastAsia" w:ascii="宋体" w:hAnsi="宋体" w:eastAsia="宋体" w:cs="宋体"/>
          <w:color w:val="000000"/>
          <w:sz w:val="24"/>
          <w:highlight w:val="none"/>
        </w:rPr>
        <w:t>限</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自合同签订之日起90天内完成。</w:t>
      </w:r>
    </w:p>
    <w:p w14:paraId="726C0143">
      <w:pPr>
        <w:keepNext w:val="0"/>
        <w:keepLines w:val="0"/>
        <w:pageBreakBefore w:val="0"/>
        <w:widowControl w:val="0"/>
        <w:spacing w:line="400" w:lineRule="exact"/>
        <w:ind w:right="0" w:firstLine="484"/>
        <w:jc w:val="lef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本项目（是/否）接受联合体投标：</w:t>
      </w:r>
      <w:r>
        <w:rPr>
          <w:rFonts w:hint="eastAsia" w:ascii="宋体" w:hAnsi="宋体" w:eastAsia="宋体" w:cs="宋体"/>
          <w:sz w:val="24"/>
          <w:szCs w:val="24"/>
          <w:highlight w:val="none"/>
          <w:lang w:val="en-US" w:eastAsia="zh-CN"/>
        </w:rPr>
        <w:t>否</w:t>
      </w:r>
      <w:r>
        <w:rPr>
          <w:rFonts w:hint="eastAsia" w:ascii="宋体" w:hAnsi="宋体" w:eastAsia="宋体" w:cs="宋体"/>
          <w:sz w:val="24"/>
          <w:szCs w:val="24"/>
          <w:highlight w:val="none"/>
          <w:lang w:eastAsia="zh-CN"/>
        </w:rPr>
        <w:t>。</w:t>
      </w:r>
    </w:p>
    <w:p w14:paraId="62DFBED1">
      <w:pPr>
        <w:keepNext w:val="0"/>
        <w:keepLines w:val="0"/>
        <w:pageBreakBefore w:val="0"/>
        <w:widowControl w:val="0"/>
        <w:spacing w:line="400" w:lineRule="exact"/>
        <w:ind w:right="0"/>
        <w:jc w:val="lef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二、申请人的资格要求</w:t>
      </w:r>
    </w:p>
    <w:p w14:paraId="43716942">
      <w:pPr>
        <w:keepNext w:val="0"/>
        <w:keepLines w:val="0"/>
        <w:pageBreakBefore w:val="0"/>
        <w:widowControl w:val="0"/>
        <w:spacing w:line="400" w:lineRule="exact"/>
        <w:ind w:right="0" w:firstLine="484"/>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（一）满足《中华人民共和国政府采购法》第二十二条规定</w:t>
      </w:r>
    </w:p>
    <w:p w14:paraId="413538EE">
      <w:pPr>
        <w:keepNext w:val="0"/>
        <w:keepLines w:val="0"/>
        <w:pageBreakBefore w:val="0"/>
        <w:widowControl w:val="0"/>
        <w:spacing w:line="400" w:lineRule="exact"/>
        <w:ind w:right="0" w:firstLine="484"/>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1.投标人符合《中华人民共和国政府采购法》第二十二条规定的声明函</w:t>
      </w:r>
    </w:p>
    <w:p w14:paraId="3FC7592F">
      <w:pPr>
        <w:keepNext w:val="0"/>
        <w:keepLines w:val="0"/>
        <w:pageBreakBefore w:val="0"/>
        <w:widowControl w:val="0"/>
        <w:spacing w:line="400" w:lineRule="exact"/>
        <w:ind w:right="0" w:firstLine="484"/>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2.投标人提供下列之一（提供相关材料）</w:t>
      </w:r>
    </w:p>
    <w:p w14:paraId="729FC1F5">
      <w:pPr>
        <w:keepNext w:val="0"/>
        <w:keepLines w:val="0"/>
        <w:pageBreakBefore w:val="0"/>
        <w:widowControl w:val="0"/>
        <w:spacing w:line="400" w:lineRule="exact"/>
        <w:ind w:right="0" w:firstLine="484"/>
        <w:jc w:val="left"/>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（1）投标人</w:t>
      </w:r>
      <w:r>
        <w:rPr>
          <w:rFonts w:hint="eastAsia" w:ascii="宋体" w:hAnsi="宋体" w:eastAsia="宋体" w:cs="宋体"/>
          <w:sz w:val="24"/>
          <w:szCs w:val="24"/>
          <w:highlight w:val="none"/>
          <w:lang w:val="en-US" w:eastAsia="zh-CN"/>
        </w:rPr>
        <w:t>法定代表人参加投标的，提供法定代表人资格证明（格式按照示范格式一要求）和法定代表人有效身份证；</w:t>
      </w:r>
    </w:p>
    <w:p w14:paraId="307C56C2">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（2）投标人授权委托人参加投标的，提供授权委托书（格式按照示范格式二要求）和受托人有效身份证。</w:t>
      </w:r>
    </w:p>
    <w:p w14:paraId="107E407D">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3.本项目不接受联合体投标人参加投标</w:t>
      </w:r>
    </w:p>
    <w:p w14:paraId="638AD4CB">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4.拒绝符合下述条件的投标人参加本次采购活动</w:t>
      </w:r>
    </w:p>
    <w:p w14:paraId="5392322C">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（1）投标人单位负责人为同一人或者存在直接控股、管理关系的不同投标人，不得同时参加同一合同项下的政府采购活动；</w:t>
      </w:r>
    </w:p>
    <w:p w14:paraId="0520DA8E">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（2）凡为采购项目提供整体设计、规范编制或者项目管理、监理、检测等服务的投标人，不得再参加本项目的采购活动；</w:t>
      </w:r>
    </w:p>
    <w:p w14:paraId="75845271">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（3）列入失信被执行人、重大税收违法案件当事人名单、政府采购严重违法失信行为记录名单中的投标人不得参加本项目的采购活动。</w:t>
      </w:r>
    </w:p>
    <w:p w14:paraId="7A9D856B">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采购人（代理机构）通过“信用中国”网站（www.creditchina.gov.cn）、“中国政府采购网”网站（www.ccgp.gov.cn）等渠道查询投标人在采购公告发布之日前的信用记录并保存，查询结果以网页打印的形式留存并归档。</w:t>
      </w:r>
    </w:p>
    <w:p w14:paraId="423C22A2">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落实政府采购政策需满足的资格要求</w:t>
      </w:r>
    </w:p>
    <w:p w14:paraId="716B4C09">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1.落实政府采购政策需满足的资格要求（提供下列任一项材料即可）</w:t>
      </w:r>
    </w:p>
    <w:p w14:paraId="38F3FB3B">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（1）中小企业声明函；</w:t>
      </w:r>
    </w:p>
    <w:p w14:paraId="69388F7F">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（2）《残疾人福利性单位声明函》；</w:t>
      </w:r>
    </w:p>
    <w:p w14:paraId="7685B6B5">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（3）由省级以上监狱管理局、戒毒管理局（含新疆生产建设兵团）出具的属于监狱企业的证明文件。</w:t>
      </w:r>
    </w:p>
    <w:p w14:paraId="4CEC8E15">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rPr>
        <w:t>本项目</w:t>
      </w:r>
      <w:r>
        <w:rPr>
          <w:rFonts w:hint="eastAsia" w:ascii="宋体" w:hAnsi="宋体" w:eastAsia="宋体" w:cs="宋体"/>
          <w:sz w:val="24"/>
          <w:szCs w:val="24"/>
          <w:highlight w:val="none"/>
        </w:rPr>
        <w:t>按照</w:t>
      </w:r>
      <w:r>
        <w:rPr>
          <w:rFonts w:hint="eastAsia" w:ascii="宋体" w:hAnsi="宋体" w:eastAsia="宋体" w:cs="宋体"/>
          <w:sz w:val="24"/>
          <w:szCs w:val="24"/>
          <w:highlight w:val="none"/>
          <w:lang w:val="zh-CN"/>
        </w:rPr>
        <w:t>以下第</w:t>
      </w:r>
      <w:r>
        <w:rPr>
          <w:rFonts w:hint="eastAsia" w:ascii="宋体" w:hAnsi="宋体" w:eastAsia="宋体" w:cs="宋体"/>
          <w:sz w:val="24"/>
          <w:szCs w:val="24"/>
          <w:highlight w:val="none"/>
          <w:u w:val="single"/>
          <w:lang w:val="en-US" w:eastAsia="zh-CN"/>
        </w:rPr>
        <w:t xml:space="preserve"> （1） </w:t>
      </w:r>
      <w:r>
        <w:rPr>
          <w:rFonts w:hint="eastAsia" w:ascii="宋体" w:hAnsi="宋体" w:eastAsia="宋体" w:cs="宋体"/>
          <w:sz w:val="24"/>
          <w:szCs w:val="24"/>
          <w:highlight w:val="none"/>
          <w:lang w:val="zh-CN"/>
        </w:rPr>
        <w:t>种方式落实政府采购促进中小企业发展的要求</w:t>
      </w:r>
    </w:p>
    <w:p w14:paraId="70EE0A0F">
      <w:pPr>
        <w:keepNext w:val="0"/>
        <w:keepLines w:val="0"/>
        <w:pageBreakBefore w:val="0"/>
        <w:widowControl w:val="0"/>
        <w:spacing w:line="40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本项目为专门面向中小企业采购的项目。</w:t>
      </w:r>
    </w:p>
    <w:p w14:paraId="0D9DA6D2">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zh-CN"/>
        </w:rPr>
        <w:t>本项目通过以下第（）种方式预留部分采购份额</w:t>
      </w:r>
      <w:r>
        <w:rPr>
          <w:rFonts w:hint="eastAsia" w:ascii="宋体" w:hAnsi="宋体" w:eastAsia="宋体" w:cs="宋体"/>
          <w:sz w:val="24"/>
          <w:szCs w:val="24"/>
          <w:highlight w:val="none"/>
        </w:rPr>
        <w:t>采购</w:t>
      </w:r>
      <w:r>
        <w:rPr>
          <w:rFonts w:hint="eastAsia" w:ascii="宋体" w:hAnsi="宋体" w:eastAsia="宋体" w:cs="宋体"/>
          <w:sz w:val="24"/>
          <w:szCs w:val="24"/>
          <w:highlight w:val="none"/>
          <w:lang w:val="zh-CN"/>
        </w:rPr>
        <w:t>中小企业</w:t>
      </w:r>
      <w:r>
        <w:rPr>
          <w:rFonts w:hint="eastAsia" w:ascii="宋体" w:hAnsi="宋体" w:eastAsia="宋体" w:cs="宋体"/>
          <w:sz w:val="24"/>
          <w:szCs w:val="24"/>
          <w:highlight w:val="none"/>
        </w:rPr>
        <w:t>服务</w:t>
      </w:r>
      <w:r>
        <w:rPr>
          <w:rFonts w:hint="eastAsia" w:ascii="宋体" w:hAnsi="宋体" w:eastAsia="宋体" w:cs="宋体"/>
          <w:sz w:val="24"/>
          <w:szCs w:val="24"/>
          <w:highlight w:val="none"/>
          <w:lang w:val="zh-CN"/>
        </w:rPr>
        <w:t>：</w:t>
      </w:r>
    </w:p>
    <w:p w14:paraId="7C277796">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val="zh-CN"/>
        </w:rPr>
        <w:t>本项目要求投标人以联合体形式参加，中小企业合同金额应当达到的比例为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（两项比例均应符合《政府采购促进中小企业发展管理办法》第八条规定）。</w:t>
      </w:r>
    </w:p>
    <w:p w14:paraId="2F0A60C7">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zh-CN"/>
        </w:rPr>
        <w:t>本项目要求投标人进行合同分包，中小企业合同金额应当达到的比例为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（两项比例均应符合《政府采购促进中小企业发展管理办法》第八条规定）。</w:t>
      </w:r>
    </w:p>
    <w:p w14:paraId="372B6772">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zh-CN"/>
        </w:rPr>
        <w:t>）本项目为非预留份额的采购项目，</w:t>
      </w:r>
      <w:r>
        <w:rPr>
          <w:rFonts w:hint="eastAsia" w:ascii="宋体" w:hAnsi="宋体" w:eastAsia="宋体" w:cs="宋体"/>
          <w:sz w:val="24"/>
          <w:szCs w:val="24"/>
          <w:highlight w:val="none"/>
        </w:rPr>
        <w:t>对小微企业报价给予扣除，用扣除后的价格参加评审，具体详见第二章“</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须知”第36.1项</w:t>
      </w:r>
      <w:r>
        <w:rPr>
          <w:rFonts w:hint="eastAsia" w:ascii="宋体" w:hAnsi="宋体" w:eastAsia="宋体" w:cs="宋体"/>
          <w:sz w:val="24"/>
          <w:szCs w:val="24"/>
          <w:highlight w:val="none"/>
          <w:lang w:val="zh-CN"/>
        </w:rPr>
        <w:t>。</w:t>
      </w:r>
    </w:p>
    <w:p w14:paraId="0073A6AD">
      <w:pPr>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zh-CN"/>
        </w:rPr>
        <w:t>监狱企业、残疾人福利性单位视同小微企业；符合中小企业划分标准的个体工商户，在政府采购活动中视同中小企业，享受政府采购支持中小企业发展政策。</w:t>
      </w:r>
    </w:p>
    <w:p w14:paraId="303C3D1F">
      <w:pPr>
        <w:keepNext w:val="0"/>
        <w:keepLines w:val="0"/>
        <w:pageBreakBefore w:val="0"/>
        <w:widowControl w:val="0"/>
        <w:spacing w:line="400" w:lineRule="exact"/>
        <w:ind w:right="0" w:firstLine="480"/>
        <w:jc w:val="left"/>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（三）</w:t>
      </w:r>
      <w:r>
        <w:rPr>
          <w:rFonts w:hint="eastAsia" w:ascii="宋体" w:hAnsi="宋体" w:eastAsia="宋体" w:cs="宋体"/>
          <w:sz w:val="24"/>
          <w:highlight w:val="none"/>
          <w:lang w:eastAsia="zh-CN"/>
        </w:rPr>
        <w:t>本项目的特定资格要求：</w:t>
      </w:r>
      <w:r>
        <w:rPr>
          <w:rFonts w:hint="eastAsia" w:ascii="宋体" w:hAnsi="宋体" w:eastAsia="宋体" w:cs="宋体"/>
          <w:sz w:val="24"/>
          <w:highlight w:val="none"/>
          <w:lang w:val="en-US" w:eastAsia="zh-CN"/>
        </w:rPr>
        <w:t>无</w:t>
      </w:r>
    </w:p>
    <w:p w14:paraId="5BBA2DDD">
      <w:pPr>
        <w:keepNext w:val="0"/>
        <w:keepLines w:val="0"/>
        <w:pageBreakBefore w:val="0"/>
        <w:widowControl w:val="0"/>
        <w:spacing w:line="400" w:lineRule="exact"/>
        <w:ind w:right="0" w:firstLine="482"/>
        <w:jc w:val="left"/>
        <w:rPr>
          <w:rFonts w:hint="eastAsia" w:ascii="宋体" w:hAnsi="宋体" w:eastAsia="宋体" w:cs="宋体"/>
          <w:highlight w:val="none"/>
        </w:rPr>
      </w:pPr>
      <w:r>
        <w:rPr>
          <w:rFonts w:hint="eastAsia" w:ascii="宋体" w:hAnsi="宋体" w:eastAsia="宋体" w:cs="宋体"/>
          <w:b/>
          <w:bCs/>
          <w:sz w:val="24"/>
          <w:highlight w:val="none"/>
          <w:lang w:eastAsia="zh-CN"/>
        </w:rPr>
        <w:t>投标人</w:t>
      </w:r>
      <w:r>
        <w:rPr>
          <w:rFonts w:hint="eastAsia" w:ascii="宋体" w:hAnsi="宋体" w:eastAsia="宋体" w:cs="宋体"/>
          <w:b/>
          <w:bCs/>
          <w:sz w:val="24"/>
          <w:highlight w:val="none"/>
        </w:rPr>
        <w:t>资格要求以</w:t>
      </w:r>
      <w:r>
        <w:rPr>
          <w:rFonts w:hint="eastAsia" w:ascii="宋体" w:hAnsi="宋体" w:eastAsia="宋体" w:cs="宋体"/>
          <w:b/>
          <w:bCs/>
          <w:sz w:val="24"/>
          <w:highlight w:val="none"/>
          <w:lang w:eastAsia="zh-CN"/>
        </w:rPr>
        <w:t>投标</w:t>
      </w:r>
      <w:r>
        <w:rPr>
          <w:rFonts w:hint="eastAsia" w:ascii="宋体" w:hAnsi="宋体" w:eastAsia="宋体" w:cs="宋体"/>
          <w:b/>
          <w:bCs/>
          <w:sz w:val="24"/>
          <w:highlight w:val="none"/>
        </w:rPr>
        <w:t>文件第六章第</w:t>
      </w:r>
      <w:r>
        <w:rPr>
          <w:rFonts w:hint="eastAsia" w:ascii="宋体" w:hAnsi="宋体" w:eastAsia="宋体" w:cs="宋体"/>
          <w:b/>
          <w:bCs/>
          <w:sz w:val="24"/>
          <w:highlight w:val="none"/>
          <w:lang w:val="en-US" w:eastAsia="zh-CN"/>
        </w:rPr>
        <w:t>六</w:t>
      </w:r>
      <w:r>
        <w:rPr>
          <w:rFonts w:hint="eastAsia" w:ascii="宋体" w:hAnsi="宋体" w:eastAsia="宋体" w:cs="宋体"/>
          <w:b/>
          <w:bCs/>
          <w:sz w:val="24"/>
          <w:highlight w:val="none"/>
        </w:rPr>
        <w:t>条资质审查时</w:t>
      </w:r>
      <w:r>
        <w:rPr>
          <w:rFonts w:hint="eastAsia" w:ascii="宋体" w:hAnsi="宋体" w:eastAsia="宋体" w:cs="宋体"/>
          <w:b/>
          <w:bCs/>
          <w:sz w:val="24"/>
          <w:highlight w:val="none"/>
          <w:lang w:eastAsia="zh-CN"/>
        </w:rPr>
        <w:t>投标人</w:t>
      </w:r>
      <w:r>
        <w:rPr>
          <w:rFonts w:hint="eastAsia" w:ascii="宋体" w:hAnsi="宋体" w:eastAsia="宋体" w:cs="宋体"/>
          <w:b/>
          <w:bCs/>
          <w:sz w:val="24"/>
          <w:highlight w:val="none"/>
        </w:rPr>
        <w:t>必须提交的资格证明文件为准。</w:t>
      </w:r>
    </w:p>
    <w:p w14:paraId="628478F0">
      <w:pPr>
        <w:keepNext w:val="0"/>
        <w:keepLines w:val="0"/>
        <w:pageBreakBefore w:val="0"/>
        <w:widowControl w:val="0"/>
        <w:spacing w:line="400" w:lineRule="exact"/>
        <w:ind w:right="0"/>
        <w:jc w:val="left"/>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rPr>
        <w:t>三、获取</w:t>
      </w:r>
      <w:r>
        <w:rPr>
          <w:rFonts w:hint="eastAsia" w:ascii="宋体" w:hAnsi="宋体" w:eastAsia="宋体" w:cs="宋体"/>
          <w:b/>
          <w:bCs/>
          <w:sz w:val="24"/>
          <w:szCs w:val="24"/>
          <w:highlight w:val="none"/>
          <w:lang w:eastAsia="zh-CN"/>
        </w:rPr>
        <w:t>投标</w:t>
      </w:r>
      <w:r>
        <w:rPr>
          <w:rFonts w:hint="eastAsia" w:ascii="宋体" w:hAnsi="宋体" w:eastAsia="宋体" w:cs="宋体"/>
          <w:b/>
          <w:bCs/>
          <w:sz w:val="24"/>
          <w:szCs w:val="24"/>
          <w:highlight w:val="none"/>
        </w:rPr>
        <w:t>文件</w:t>
      </w:r>
    </w:p>
    <w:p w14:paraId="501DE7EA">
      <w:pPr>
        <w:keepNext w:val="0"/>
        <w:keepLines w:val="0"/>
        <w:pageBreakBefore w:val="0"/>
        <w:widowControl w:val="0"/>
        <w:spacing w:line="400" w:lineRule="exact"/>
        <w:ind w:right="0"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时间</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rPr>
        <w:t>202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rPr>
        <w:t>年</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rPr>
        <w:t>月</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lang w:val="en-US"/>
        </w:rPr>
        <w:t>日至202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rPr>
        <w:t>年</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rPr>
        <w:t>月</w:t>
      </w:r>
      <w:r>
        <w:rPr>
          <w:rFonts w:hint="eastAsia" w:ascii="宋体" w:hAnsi="宋体" w:eastAsia="宋体" w:cs="宋体"/>
          <w:color w:val="000000"/>
          <w:sz w:val="24"/>
          <w:szCs w:val="24"/>
          <w:highlight w:val="none"/>
          <w:lang w:val="en-US" w:eastAsia="zh-CN"/>
        </w:rPr>
        <w:t>28</w:t>
      </w:r>
      <w:r>
        <w:rPr>
          <w:rFonts w:hint="eastAsia" w:ascii="宋体" w:hAnsi="宋体" w:eastAsia="宋体" w:cs="宋体"/>
          <w:color w:val="000000"/>
          <w:sz w:val="24"/>
          <w:szCs w:val="24"/>
          <w:highlight w:val="none"/>
          <w:lang w:val="en-US"/>
        </w:rPr>
        <w:t>日</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rPr>
        <w:t>北京时间）</w:t>
      </w:r>
    </w:p>
    <w:p w14:paraId="44E2C362">
      <w:pPr>
        <w:keepNext w:val="0"/>
        <w:keepLines w:val="0"/>
        <w:pageBreakBefore w:val="0"/>
        <w:widowControl w:val="0"/>
        <w:spacing w:line="400" w:lineRule="exact"/>
        <w:ind w:right="0" w:firstLine="480"/>
        <w:jc w:val="left"/>
        <w:outlineLvl w:val="9"/>
        <w:rPr>
          <w:rFonts w:hint="eastAsia" w:ascii="宋体" w:hAnsi="宋体" w:eastAsia="宋体" w:cs="宋体"/>
          <w:sz w:val="24"/>
          <w:highlight w:val="none"/>
        </w:rPr>
      </w:pPr>
      <w:r>
        <w:rPr>
          <w:rFonts w:hint="eastAsia" w:ascii="宋体" w:hAnsi="宋体" w:eastAsia="宋体" w:cs="宋体"/>
          <w:sz w:val="24"/>
          <w:highlight w:val="none"/>
        </w:rPr>
        <w:t>地点：江苏政府采购网或淮安市政府采购网</w:t>
      </w:r>
    </w:p>
    <w:p w14:paraId="4168DA31">
      <w:pPr>
        <w:keepNext w:val="0"/>
        <w:keepLines w:val="0"/>
        <w:pageBreakBefore w:val="0"/>
        <w:widowControl w:val="0"/>
        <w:spacing w:line="400" w:lineRule="exact"/>
        <w:ind w:right="0" w:firstLine="480"/>
        <w:jc w:val="left"/>
        <w:outlineLvl w:val="9"/>
        <w:rPr>
          <w:rFonts w:hint="eastAsia" w:ascii="宋体" w:hAnsi="宋体" w:eastAsia="宋体" w:cs="宋体"/>
          <w:sz w:val="24"/>
          <w:highlight w:val="none"/>
        </w:rPr>
      </w:pPr>
      <w:r>
        <w:rPr>
          <w:rFonts w:hint="eastAsia" w:ascii="宋体" w:hAnsi="宋体" w:eastAsia="宋体" w:cs="宋体"/>
          <w:sz w:val="24"/>
          <w:highlight w:val="none"/>
        </w:rPr>
        <w:t>方式：</w:t>
      </w:r>
      <w:r>
        <w:rPr>
          <w:rFonts w:hint="eastAsia" w:ascii="宋体" w:hAnsi="宋体" w:eastAsia="宋体" w:cs="宋体"/>
          <w:sz w:val="24"/>
          <w:highlight w:val="none"/>
          <w:lang w:eastAsia="zh-CN"/>
        </w:rPr>
        <w:t>投标人登录江苏省</w:t>
      </w:r>
      <w:r>
        <w:rPr>
          <w:rFonts w:hint="eastAsia" w:ascii="宋体" w:hAnsi="宋体" w:eastAsia="宋体" w:cs="宋体"/>
          <w:sz w:val="24"/>
          <w:highlight w:val="none"/>
        </w:rPr>
        <w:t>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51C079FB">
      <w:pPr>
        <w:pStyle w:val="216"/>
        <w:keepNext w:val="0"/>
        <w:keepLines w:val="0"/>
        <w:pageBreakBefore w:val="0"/>
        <w:widowControl w:val="0"/>
        <w:spacing w:before="0" w:after="0" w:line="400" w:lineRule="exact"/>
        <w:ind w:right="0" w:firstLine="468"/>
        <w:jc w:val="left"/>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售价：0.00元</w:t>
      </w:r>
    </w:p>
    <w:p w14:paraId="40A175A4">
      <w:pPr>
        <w:pStyle w:val="297"/>
        <w:keepNext w:val="0"/>
        <w:keepLines w:val="0"/>
        <w:pageBreakBefore w:val="0"/>
        <w:widowControl w:val="0"/>
        <w:spacing w:line="400" w:lineRule="exact"/>
        <w:ind w:right="0"/>
        <w:jc w:val="left"/>
        <w:outlineLvl w:val="9"/>
        <w:rPr>
          <w:rFonts w:hint="eastAsia" w:ascii="宋体" w:hAnsi="宋体" w:eastAsia="宋体" w:cs="宋体"/>
          <w:b/>
          <w:bCs/>
          <w:szCs w:val="24"/>
          <w:highlight w:val="none"/>
          <w:lang w:val="en-US"/>
        </w:rPr>
      </w:pPr>
      <w:r>
        <w:rPr>
          <w:rFonts w:hint="eastAsia" w:ascii="宋体" w:hAnsi="宋体" w:eastAsia="宋体" w:cs="宋体"/>
          <w:b/>
          <w:bCs/>
          <w:szCs w:val="24"/>
          <w:highlight w:val="none"/>
          <w:lang w:val="en-US"/>
        </w:rPr>
        <w:t>四、</w:t>
      </w:r>
      <w:r>
        <w:rPr>
          <w:rFonts w:hint="eastAsia" w:ascii="宋体" w:hAnsi="宋体" w:eastAsia="宋体" w:cs="宋体"/>
          <w:b/>
          <w:bCs/>
          <w:szCs w:val="24"/>
          <w:highlight w:val="none"/>
          <w:lang w:val="en-US" w:eastAsia="zh-CN"/>
        </w:rPr>
        <w:t>提交投标文件截止时间、开标时间和地点</w:t>
      </w:r>
    </w:p>
    <w:p w14:paraId="6ECA86B7">
      <w:pPr>
        <w:pStyle w:val="297"/>
        <w:keepNext w:val="0"/>
        <w:keepLines w:val="0"/>
        <w:pageBreakBefore w:val="0"/>
        <w:widowControl w:val="0"/>
        <w:spacing w:line="400" w:lineRule="exact"/>
        <w:ind w:left="0" w:right="0" w:firstLine="480"/>
        <w:jc w:val="left"/>
        <w:outlineLvl w:val="9"/>
        <w:rPr>
          <w:rFonts w:hint="eastAsia" w:ascii="宋体" w:hAnsi="宋体" w:eastAsia="宋体" w:cs="宋体"/>
          <w:szCs w:val="24"/>
          <w:highlight w:val="none"/>
          <w:lang w:val="en-US"/>
        </w:rPr>
      </w:pPr>
      <w:r>
        <w:rPr>
          <w:rFonts w:hint="eastAsia" w:ascii="宋体" w:hAnsi="宋体" w:eastAsia="宋体" w:cs="宋体"/>
          <w:szCs w:val="24"/>
          <w:highlight w:val="none"/>
          <w:lang w:val="en-US"/>
        </w:rPr>
        <w:t>投标文件提交截止时间及开标时间：202</w:t>
      </w:r>
      <w:r>
        <w:rPr>
          <w:rFonts w:hint="eastAsia" w:ascii="宋体" w:hAnsi="宋体" w:eastAsia="宋体" w:cs="宋体"/>
          <w:szCs w:val="24"/>
          <w:highlight w:val="none"/>
          <w:lang w:val="en-US" w:eastAsia="zh-CN"/>
        </w:rPr>
        <w:t xml:space="preserve">5-01-28  </w:t>
      </w:r>
      <w:r>
        <w:rPr>
          <w:rFonts w:hint="eastAsia" w:ascii="宋体" w:hAnsi="宋体" w:eastAsia="宋体" w:cs="宋体"/>
          <w:szCs w:val="24"/>
          <w:highlight w:val="none"/>
          <w:lang w:val="en-US"/>
        </w:rPr>
        <w:t>9</w:t>
      </w:r>
      <w:r>
        <w:rPr>
          <w:rFonts w:hint="eastAsia" w:ascii="宋体" w:hAnsi="宋体" w:eastAsia="宋体" w:cs="宋体"/>
          <w:sz w:val="24"/>
          <w:szCs w:val="24"/>
          <w:lang w:val="en-US" w:eastAsia="zh-CN"/>
        </w:rPr>
        <w:t>:</w:t>
      </w:r>
      <w:r>
        <w:rPr>
          <w:rFonts w:hint="eastAsia" w:ascii="宋体" w:hAnsi="宋体" w:eastAsia="宋体" w:cs="宋体"/>
          <w:szCs w:val="24"/>
          <w:highlight w:val="none"/>
          <w:lang w:val="en-US"/>
        </w:rPr>
        <w:t>00</w:t>
      </w:r>
      <w:r>
        <w:rPr>
          <w:rFonts w:hint="eastAsia" w:ascii="宋体" w:hAnsi="宋体" w:eastAsia="宋体" w:cs="宋体"/>
          <w:szCs w:val="24"/>
          <w:highlight w:val="none"/>
          <w:lang w:val="en-US" w:eastAsia="zh-CN"/>
        </w:rPr>
        <w:t>（</w:t>
      </w:r>
      <w:r>
        <w:rPr>
          <w:rFonts w:hint="eastAsia" w:ascii="宋体" w:hAnsi="宋体" w:eastAsia="宋体" w:cs="宋体"/>
          <w:szCs w:val="24"/>
          <w:highlight w:val="none"/>
          <w:lang w:val="en-US"/>
        </w:rPr>
        <w:t>北京时间）</w:t>
      </w:r>
    </w:p>
    <w:p w14:paraId="6C51AFDD">
      <w:pPr>
        <w:pStyle w:val="297"/>
        <w:keepNext w:val="0"/>
        <w:keepLines w:val="0"/>
        <w:pageBreakBefore w:val="0"/>
        <w:widowControl w:val="0"/>
        <w:spacing w:line="400" w:lineRule="exact"/>
        <w:ind w:left="0" w:right="0" w:firstLine="480"/>
        <w:jc w:val="left"/>
        <w:outlineLvl w:val="9"/>
        <w:rPr>
          <w:rFonts w:hint="eastAsia" w:ascii="宋体" w:hAnsi="宋体" w:eastAsia="宋体" w:cs="宋体"/>
          <w:szCs w:val="24"/>
          <w:highlight w:val="none"/>
          <w:lang w:val="en-US"/>
        </w:rPr>
      </w:pPr>
      <w:r>
        <w:rPr>
          <w:rFonts w:hint="eastAsia" w:ascii="宋体" w:hAnsi="宋体" w:eastAsia="宋体" w:cs="宋体"/>
          <w:szCs w:val="24"/>
          <w:highlight w:val="none"/>
          <w:lang w:val="en-US"/>
        </w:rPr>
        <w:t>投标文件上传地址：“苏采云”政府采购交易系统网上开标大厅。</w:t>
      </w:r>
    </w:p>
    <w:p w14:paraId="6B73D15F">
      <w:pPr>
        <w:keepNext w:val="0"/>
        <w:keepLines w:val="0"/>
        <w:pageBreakBefore w:val="0"/>
        <w:widowControl w:val="0"/>
        <w:spacing w:line="400" w:lineRule="exact"/>
        <w:ind w:right="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五</w:t>
      </w:r>
      <w:r>
        <w:rPr>
          <w:rFonts w:hint="eastAsia" w:ascii="宋体" w:hAnsi="宋体" w:eastAsia="宋体" w:cs="宋体"/>
          <w:b/>
          <w:bCs/>
          <w:sz w:val="24"/>
          <w:szCs w:val="24"/>
          <w:highlight w:val="none"/>
        </w:rPr>
        <w:t>、公告期限</w:t>
      </w:r>
    </w:p>
    <w:p w14:paraId="1612F86D">
      <w:pPr>
        <w:keepNext w:val="0"/>
        <w:keepLines w:val="0"/>
        <w:pageBreakBefore w:val="0"/>
        <w:widowControl w:val="0"/>
        <w:spacing w:line="400" w:lineRule="exact"/>
        <w:ind w:right="0" w:firstLine="48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个工作日。</w:t>
      </w:r>
    </w:p>
    <w:p w14:paraId="6B11AFD1">
      <w:pPr>
        <w:keepNext w:val="0"/>
        <w:keepLines w:val="0"/>
        <w:pageBreakBefore w:val="0"/>
        <w:widowControl w:val="0"/>
        <w:spacing w:line="400" w:lineRule="exact"/>
        <w:ind w:right="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七、其他补充事宜</w:t>
      </w:r>
    </w:p>
    <w:p w14:paraId="5C1A1057">
      <w:pPr>
        <w:pStyle w:val="201"/>
        <w:keepNext w:val="0"/>
        <w:keepLines w:val="0"/>
        <w:pageBreakBefore w:val="0"/>
        <w:widowControl w:val="0"/>
        <w:spacing w:line="400" w:lineRule="exact"/>
        <w:ind w:left="0" w:right="0" w:firstLine="480"/>
        <w:jc w:val="left"/>
        <w:outlineLvl w:val="9"/>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rPr>
        <w:t>本项目采用不见面电子投标。请</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lang w:val="en-US"/>
        </w:rPr>
        <w:t>严格按照</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lang w:val="en-US"/>
        </w:rPr>
        <w:t>文件的规定编制、提交</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lang w:val="en-US"/>
        </w:rPr>
        <w:t>文件，否则所造成的一切后果由</w:t>
      </w:r>
      <w:r>
        <w:rPr>
          <w:rFonts w:hint="eastAsia" w:ascii="宋体" w:hAnsi="宋体" w:cs="宋体"/>
          <w:sz w:val="24"/>
          <w:szCs w:val="24"/>
          <w:highlight w:val="none"/>
          <w:lang w:val="en-US" w:eastAsia="zh-CN"/>
        </w:rPr>
        <w:t>投标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lang w:val="en-US"/>
        </w:rPr>
        <w:t>自负。</w:t>
      </w:r>
    </w:p>
    <w:p w14:paraId="3BCFBEA0">
      <w:pPr>
        <w:pStyle w:val="201"/>
        <w:keepNext w:val="0"/>
        <w:keepLines w:val="0"/>
        <w:pageBreakBefore w:val="0"/>
        <w:widowControl w:val="0"/>
        <w:spacing w:line="400" w:lineRule="exact"/>
        <w:ind w:left="0" w:right="0" w:firstLine="480"/>
        <w:jc w:val="left"/>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b/>
          <w:bCs/>
          <w:sz w:val="24"/>
          <w:szCs w:val="24"/>
          <w:highlight w:val="none"/>
          <w:lang w:val="en-US"/>
        </w:rPr>
        <w:t>本项目无需</w:t>
      </w:r>
      <w:r>
        <w:rPr>
          <w:rFonts w:hint="eastAsia" w:ascii="宋体" w:hAnsi="宋体" w:eastAsia="宋体" w:cs="宋体"/>
          <w:b/>
          <w:bCs/>
          <w:sz w:val="24"/>
          <w:szCs w:val="24"/>
          <w:highlight w:val="none"/>
          <w:lang w:val="en-US" w:eastAsia="zh-CN"/>
        </w:rPr>
        <w:t>投标</w:t>
      </w:r>
      <w:r>
        <w:rPr>
          <w:rFonts w:hint="eastAsia" w:ascii="宋体" w:hAnsi="宋体" w:eastAsia="宋体" w:cs="宋体"/>
          <w:b/>
          <w:bCs/>
          <w:sz w:val="24"/>
          <w:szCs w:val="24"/>
          <w:highlight w:val="none"/>
          <w:lang w:val="en-US"/>
        </w:rPr>
        <w:t>保证金。</w:t>
      </w:r>
    </w:p>
    <w:p w14:paraId="676B8932">
      <w:pPr>
        <w:pStyle w:val="297"/>
        <w:keepNext w:val="0"/>
        <w:keepLines w:val="0"/>
        <w:pageBreakBefore w:val="0"/>
        <w:widowControl w:val="0"/>
        <w:spacing w:line="400" w:lineRule="exact"/>
        <w:ind w:left="0" w:right="0" w:firstLine="480"/>
        <w:jc w:val="left"/>
        <w:outlineLvl w:val="9"/>
        <w:rPr>
          <w:rFonts w:hint="eastAsia" w:ascii="宋体" w:hAnsi="宋体" w:eastAsia="宋体" w:cs="宋体"/>
          <w:b/>
          <w:bCs/>
          <w:szCs w:val="24"/>
          <w:highlight w:val="none"/>
          <w:lang w:val="en-US"/>
        </w:rPr>
      </w:pPr>
      <w:r>
        <w:rPr>
          <w:rFonts w:hint="eastAsia" w:ascii="宋体" w:hAnsi="宋体" w:eastAsia="宋体" w:cs="宋体"/>
          <w:szCs w:val="24"/>
          <w:highlight w:val="none"/>
          <w:lang w:val="en-US"/>
        </w:rPr>
        <w:t>3</w:t>
      </w:r>
      <w:r>
        <w:rPr>
          <w:rFonts w:hint="eastAsia" w:ascii="宋体" w:hAnsi="宋体" w:eastAsia="宋体" w:cs="宋体"/>
          <w:szCs w:val="24"/>
          <w:highlight w:val="none"/>
          <w:lang w:val="en-US" w:eastAsia="zh-CN"/>
        </w:rPr>
        <w:t>.</w:t>
      </w:r>
      <w:r>
        <w:rPr>
          <w:rFonts w:hint="eastAsia" w:ascii="宋体" w:hAnsi="宋体" w:eastAsia="宋体" w:cs="宋体"/>
          <w:szCs w:val="24"/>
          <w:highlight w:val="none"/>
          <w:lang w:val="en-US"/>
        </w:rPr>
        <w:t>本项目仅采购非进口产品（注</w:t>
      </w:r>
      <w:r>
        <w:rPr>
          <w:rFonts w:hint="eastAsia" w:ascii="宋体" w:hAnsi="宋体" w:eastAsia="宋体" w:cs="宋体"/>
          <w:szCs w:val="24"/>
          <w:highlight w:val="none"/>
          <w:lang w:val="en-US" w:eastAsia="zh-CN"/>
        </w:rPr>
        <w:t>：</w:t>
      </w:r>
      <w:r>
        <w:rPr>
          <w:rFonts w:hint="eastAsia" w:ascii="宋体" w:hAnsi="宋体" w:eastAsia="宋体" w:cs="宋体"/>
          <w:szCs w:val="24"/>
          <w:highlight w:val="none"/>
          <w:lang w:val="en-US"/>
        </w:rPr>
        <w:t>本文件所称进口产品是指通过中国海关报关验放进入中国境内且产自关境外的产品）。</w:t>
      </w:r>
    </w:p>
    <w:p w14:paraId="57152B62">
      <w:pPr>
        <w:pStyle w:val="297"/>
        <w:keepNext w:val="0"/>
        <w:keepLines w:val="0"/>
        <w:pageBreakBefore w:val="0"/>
        <w:widowControl w:val="0"/>
        <w:spacing w:line="400" w:lineRule="exact"/>
        <w:ind w:left="0" w:right="0" w:firstLine="480"/>
        <w:jc w:val="left"/>
        <w:outlineLvl w:val="9"/>
        <w:rPr>
          <w:rFonts w:hint="eastAsia" w:ascii="宋体" w:hAnsi="宋体" w:eastAsia="宋体" w:cs="宋体"/>
          <w:szCs w:val="24"/>
          <w:highlight w:val="none"/>
          <w:lang w:val="en-US"/>
        </w:rPr>
      </w:pPr>
      <w:r>
        <w:rPr>
          <w:rFonts w:hint="eastAsia" w:ascii="宋体" w:hAnsi="宋体" w:eastAsia="宋体" w:cs="宋体"/>
          <w:szCs w:val="24"/>
          <w:highlight w:val="none"/>
          <w:lang w:val="en-US"/>
        </w:rPr>
        <w:t>4</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lang w:val="en-US"/>
        </w:rPr>
        <w:t>代理（下称代理人）：采购人委托</w:t>
      </w:r>
      <w:r>
        <w:rPr>
          <w:rFonts w:hint="eastAsia" w:ascii="宋体" w:hAnsi="宋体" w:eastAsia="宋体" w:cs="宋体"/>
          <w:highlight w:val="none"/>
          <w:lang w:eastAsia="zh-CN"/>
        </w:rPr>
        <w:t>江苏四维工程咨询管理有限公司</w:t>
      </w:r>
      <w:r>
        <w:rPr>
          <w:rFonts w:hint="eastAsia" w:ascii="宋体" w:hAnsi="宋体" w:eastAsia="宋体" w:cs="宋体"/>
          <w:szCs w:val="24"/>
          <w:highlight w:val="none"/>
          <w:lang w:val="en-US"/>
        </w:rPr>
        <w:t>负责代理本次</w:t>
      </w:r>
      <w:r>
        <w:rPr>
          <w:rFonts w:hint="eastAsia" w:ascii="宋体" w:hAnsi="宋体" w:eastAsia="宋体" w:cs="宋体"/>
          <w:szCs w:val="24"/>
          <w:highlight w:val="none"/>
          <w:lang w:val="en-US" w:eastAsia="zh-CN"/>
        </w:rPr>
        <w:t>投标</w:t>
      </w:r>
      <w:r>
        <w:rPr>
          <w:rFonts w:hint="eastAsia" w:ascii="宋体" w:hAnsi="宋体" w:eastAsia="宋体" w:cs="宋体"/>
          <w:szCs w:val="24"/>
          <w:highlight w:val="none"/>
          <w:lang w:val="en-US"/>
        </w:rPr>
        <w:t>的相关事宜。</w:t>
      </w:r>
    </w:p>
    <w:p w14:paraId="42C44806">
      <w:pPr>
        <w:pStyle w:val="297"/>
        <w:keepNext w:val="0"/>
        <w:keepLines w:val="0"/>
        <w:pageBreakBefore w:val="0"/>
        <w:widowControl w:val="0"/>
        <w:spacing w:line="400" w:lineRule="exact"/>
        <w:ind w:left="0" w:right="0" w:firstLine="480"/>
        <w:jc w:val="left"/>
        <w:outlineLvl w:val="9"/>
        <w:rPr>
          <w:rFonts w:hint="eastAsia" w:ascii="宋体" w:hAnsi="宋体" w:eastAsia="宋体" w:cs="宋体"/>
          <w:szCs w:val="24"/>
          <w:highlight w:val="none"/>
          <w:lang w:val="en-US"/>
        </w:rPr>
      </w:pPr>
      <w:r>
        <w:rPr>
          <w:rFonts w:hint="eastAsia" w:ascii="宋体" w:hAnsi="宋体" w:eastAsia="宋体" w:cs="宋体"/>
          <w:szCs w:val="24"/>
          <w:highlight w:val="none"/>
          <w:lang w:val="en-US"/>
        </w:rPr>
        <w:t>5</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lang w:val="en-US"/>
        </w:rPr>
        <w:t>代理费：</w:t>
      </w:r>
      <w:r>
        <w:rPr>
          <w:rFonts w:hint="eastAsia" w:ascii="宋体" w:hAnsi="宋体" w:eastAsia="宋体" w:cs="宋体"/>
          <w:szCs w:val="24"/>
          <w:highlight w:val="none"/>
          <w:lang w:val="en-US" w:eastAsia="zh-CN"/>
        </w:rPr>
        <w:t>参照苏政采协【2024】20号文件规定标准的85%</w:t>
      </w:r>
      <w:r>
        <w:rPr>
          <w:rFonts w:hint="eastAsia" w:ascii="宋体" w:hAnsi="宋体" w:eastAsia="宋体" w:cs="宋体"/>
          <w:szCs w:val="24"/>
          <w:highlight w:val="none"/>
          <w:lang w:val="en-US"/>
        </w:rPr>
        <w:t>为此次项目的招标代理费，成交</w:t>
      </w:r>
      <w:r>
        <w:rPr>
          <w:rFonts w:hint="eastAsia" w:ascii="宋体" w:hAnsi="宋体" w:eastAsia="宋体" w:cs="宋体"/>
          <w:szCs w:val="24"/>
          <w:highlight w:val="none"/>
          <w:lang w:val="en-US" w:eastAsia="zh-CN"/>
        </w:rPr>
        <w:t>投标人</w:t>
      </w:r>
      <w:r>
        <w:rPr>
          <w:rFonts w:hint="eastAsia" w:ascii="宋体" w:hAnsi="宋体" w:eastAsia="宋体" w:cs="宋体"/>
          <w:szCs w:val="24"/>
          <w:highlight w:val="none"/>
          <w:lang w:val="en-US"/>
        </w:rPr>
        <w:t>应在</w:t>
      </w:r>
      <w:r>
        <w:rPr>
          <w:rFonts w:hint="eastAsia" w:ascii="宋体" w:hAnsi="宋体" w:eastAsia="宋体" w:cs="宋体"/>
          <w:szCs w:val="24"/>
          <w:highlight w:val="none"/>
          <w:lang w:val="en-US" w:eastAsia="zh-CN"/>
        </w:rPr>
        <w:t>成交</w:t>
      </w:r>
      <w:r>
        <w:rPr>
          <w:rFonts w:hint="eastAsia" w:ascii="宋体" w:hAnsi="宋体" w:eastAsia="宋体" w:cs="宋体"/>
          <w:szCs w:val="24"/>
          <w:highlight w:val="none"/>
          <w:lang w:val="en-US"/>
        </w:rPr>
        <w:t>通知书发放后五个工作日内向招标代理人一次性缴纳</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lang w:val="en-US"/>
        </w:rPr>
        <w:t>代理费。此费用包含在投标报价中，不单独列项。（无法计算中标总额的项目，按预算总价计算）</w:t>
      </w:r>
    </w:p>
    <w:p w14:paraId="56B33A74">
      <w:pPr>
        <w:pStyle w:val="206"/>
        <w:keepNext w:val="0"/>
        <w:keepLines w:val="0"/>
        <w:pageBreakBefore w:val="0"/>
        <w:widowControl w:val="0"/>
        <w:numPr>
          <w:ilvl w:val="0"/>
          <w:numId w:val="0"/>
        </w:numPr>
        <w:spacing w:before="0" w:beforeAutospacing="0" w:after="0" w:afterAutospacing="0" w:line="400" w:lineRule="exact"/>
        <w:ind w:right="0" w:firstLine="480"/>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6.本项目采购标的对应的中小企业划分标准所属行业为</w:t>
      </w:r>
      <w:r>
        <w:rPr>
          <w:rFonts w:hint="eastAsia" w:ascii="宋体" w:hAnsi="宋体" w:eastAsia="宋体" w:cs="宋体"/>
          <w:b/>
          <w:bCs/>
          <w:highlight w:val="none"/>
          <w:u w:val="single"/>
          <w:lang w:val="en-US" w:eastAsia="zh-CN"/>
        </w:rPr>
        <w:t>软件和信息技术服务业</w:t>
      </w:r>
      <w:r>
        <w:rPr>
          <w:rFonts w:hint="eastAsia" w:ascii="宋体" w:hAnsi="宋体" w:eastAsia="宋体" w:cs="宋体"/>
          <w:highlight w:val="none"/>
          <w:lang w:val="en-US" w:eastAsia="zh-CN"/>
        </w:rPr>
        <w:t>。</w:t>
      </w:r>
    </w:p>
    <w:p w14:paraId="18AE7525">
      <w:pPr>
        <w:pStyle w:val="206"/>
        <w:keepNext w:val="0"/>
        <w:keepLines w:val="0"/>
        <w:pageBreakBefore w:val="0"/>
        <w:widowControl w:val="0"/>
        <w:numPr>
          <w:ilvl w:val="0"/>
          <w:numId w:val="0"/>
        </w:numPr>
        <w:spacing w:before="0" w:beforeAutospacing="0" w:after="0" w:afterAutospacing="0" w:line="400" w:lineRule="exact"/>
        <w:ind w:right="0" w:firstLine="480"/>
        <w:jc w:val="left"/>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highlight w:val="none"/>
          <w:lang w:eastAsia="zh-CN"/>
        </w:rPr>
        <w:t>投标人</w:t>
      </w:r>
      <w:r>
        <w:rPr>
          <w:rFonts w:hint="eastAsia" w:ascii="宋体" w:hAnsi="宋体" w:eastAsia="宋体" w:cs="宋体"/>
          <w:highlight w:val="none"/>
        </w:rPr>
        <w:t>通过苏采云系统参与政府采购项目，需要更换CA数字证书和电子签章。具体办理指南和操作手册见链接：http://www.ccgp-jiangsu.gov.cn/jiangsu/zlxz/ee/ee3a4bc5a3454aa2b0d9312230633ce9.html。</w:t>
      </w:r>
    </w:p>
    <w:p w14:paraId="44310EF3">
      <w:pPr>
        <w:pStyle w:val="206"/>
        <w:keepNext w:val="0"/>
        <w:keepLines w:val="0"/>
        <w:pageBreakBefore w:val="0"/>
        <w:widowControl w:val="0"/>
        <w:numPr>
          <w:ilvl w:val="0"/>
          <w:numId w:val="0"/>
        </w:numPr>
        <w:spacing w:before="0" w:beforeAutospacing="0" w:after="0" w:afterAutospacing="0" w:line="400" w:lineRule="exact"/>
        <w:ind w:right="0" w:firstLine="480"/>
        <w:jc w:val="left"/>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8.</w:t>
      </w:r>
      <w:r>
        <w:rPr>
          <w:rFonts w:hint="eastAsia" w:ascii="宋体" w:hAnsi="宋体" w:eastAsia="宋体" w:cs="宋体"/>
          <w:highlight w:val="none"/>
        </w:rPr>
        <w:t>领取CA和办理电子签章（请至淮安市清江浦区深圳路16号淮安市公共资源交易中心二楼13号CA办理窗口办理，具体联系方式见《苏采云系统</w:t>
      </w:r>
      <w:r>
        <w:rPr>
          <w:rFonts w:hint="eastAsia" w:ascii="宋体" w:hAnsi="宋体" w:eastAsia="宋体" w:cs="宋体"/>
          <w:highlight w:val="none"/>
          <w:lang w:eastAsia="zh-CN"/>
        </w:rPr>
        <w:t>投标人</w:t>
      </w:r>
      <w:r>
        <w:rPr>
          <w:rFonts w:hint="eastAsia" w:ascii="宋体" w:hAnsi="宋体" w:eastAsia="宋体" w:cs="宋体"/>
          <w:highlight w:val="none"/>
        </w:rPr>
        <w:t>操作手册》（以下简称《操作手册》）、进行注册并按《操作手册》要求制作、上传电子响应文件。</w:t>
      </w:r>
    </w:p>
    <w:p w14:paraId="55BE27F2">
      <w:pPr>
        <w:pStyle w:val="206"/>
        <w:keepNext w:val="0"/>
        <w:keepLines w:val="0"/>
        <w:pageBreakBefore w:val="0"/>
        <w:widowControl w:val="0"/>
        <w:numPr>
          <w:ilvl w:val="0"/>
          <w:numId w:val="0"/>
        </w:numPr>
        <w:spacing w:before="0" w:beforeAutospacing="0" w:after="0" w:afterAutospacing="0" w:line="400" w:lineRule="exact"/>
        <w:ind w:right="0" w:firstLine="480"/>
        <w:jc w:val="left"/>
        <w:rPr>
          <w:rFonts w:hint="eastAsia" w:ascii="宋体" w:hAnsi="宋体" w:eastAsia="宋体" w:cs="宋体"/>
          <w:highlight w:val="none"/>
        </w:rPr>
      </w:pPr>
      <w:r>
        <w:rPr>
          <w:rFonts w:hint="eastAsia" w:ascii="宋体" w:hAnsi="宋体" w:eastAsia="宋体" w:cs="宋体"/>
          <w:highlight w:val="none"/>
          <w:lang w:val="en-US" w:eastAsia="zh-CN"/>
        </w:rPr>
        <w:t>9.</w:t>
      </w:r>
      <w:r>
        <w:rPr>
          <w:rFonts w:hint="eastAsia" w:ascii="宋体" w:hAnsi="宋体" w:eastAsia="宋体" w:cs="宋体"/>
          <w:highlight w:val="none"/>
        </w:rPr>
        <w:t>有关本次招标的事项若存在变动或修改，敬请及时关注</w:t>
      </w:r>
      <w:r>
        <w:rPr>
          <w:rFonts w:hint="eastAsia" w:ascii="宋体" w:hAnsi="宋体" w:eastAsia="宋体" w:cs="宋体"/>
          <w:highlight w:val="none"/>
          <w:lang w:eastAsia="zh-CN"/>
        </w:rPr>
        <w:t>采购人（代理机构）</w:t>
      </w:r>
      <w:r>
        <w:rPr>
          <w:rFonts w:hint="eastAsia" w:ascii="宋体" w:hAnsi="宋体" w:eastAsia="宋体" w:cs="宋体"/>
          <w:highlight w:val="none"/>
        </w:rPr>
        <w:t>在“江苏省政府采购网”、“淮安市政府采购网”发布的更正公告。</w:t>
      </w:r>
    </w:p>
    <w:p w14:paraId="1D5ABFDD">
      <w:pPr>
        <w:keepNext w:val="0"/>
        <w:keepLines w:val="0"/>
        <w:pageBreakBefore w:val="0"/>
        <w:widowControl w:val="0"/>
        <w:spacing w:line="400" w:lineRule="exact"/>
        <w:ind w:right="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八、凡</w:t>
      </w:r>
      <w:r>
        <w:rPr>
          <w:rFonts w:hint="eastAsia" w:ascii="宋体" w:hAnsi="宋体" w:eastAsia="宋体" w:cs="宋体"/>
          <w:b/>
          <w:bCs/>
          <w:sz w:val="24"/>
          <w:szCs w:val="24"/>
          <w:highlight w:val="none"/>
        </w:rPr>
        <w:t>对本次采购提出询问，请按以下方式联系</w:t>
      </w:r>
    </w:p>
    <w:p w14:paraId="59B086AD">
      <w:pPr>
        <w:pStyle w:val="297"/>
        <w:keepNext w:val="0"/>
        <w:keepLines w:val="0"/>
        <w:pageBreakBefore w:val="0"/>
        <w:widowControl w:val="0"/>
        <w:spacing w:line="400" w:lineRule="exact"/>
        <w:ind w:left="0" w:right="0" w:firstLine="482"/>
        <w:jc w:val="left"/>
        <w:outlineLvl w:val="9"/>
        <w:rPr>
          <w:rFonts w:hint="eastAsia" w:ascii="宋体" w:hAnsi="宋体" w:eastAsia="宋体" w:cs="宋体"/>
          <w:szCs w:val="24"/>
          <w:highlight w:val="none"/>
          <w:lang w:val="en-US"/>
        </w:rPr>
      </w:pPr>
      <w:r>
        <w:rPr>
          <w:rFonts w:hint="eastAsia" w:ascii="宋体" w:hAnsi="宋体" w:eastAsia="宋体" w:cs="宋体"/>
          <w:b/>
          <w:bCs/>
          <w:szCs w:val="24"/>
          <w:highlight w:val="none"/>
          <w:lang w:val="en-US"/>
        </w:rPr>
        <w:t>1</w:t>
      </w:r>
      <w:r>
        <w:rPr>
          <w:rFonts w:hint="eastAsia" w:ascii="宋体" w:hAnsi="宋体" w:eastAsia="宋体" w:cs="宋体"/>
          <w:b/>
          <w:bCs/>
          <w:szCs w:val="24"/>
          <w:highlight w:val="none"/>
          <w:lang w:val="en-US" w:eastAsia="zh-CN"/>
        </w:rPr>
        <w:t>.</w:t>
      </w:r>
      <w:r>
        <w:rPr>
          <w:rFonts w:hint="eastAsia" w:ascii="宋体" w:hAnsi="宋体" w:eastAsia="宋体" w:cs="宋体"/>
          <w:b/>
          <w:bCs/>
          <w:szCs w:val="24"/>
          <w:highlight w:val="none"/>
          <w:lang w:val="en-US"/>
        </w:rPr>
        <w:t>采购人信息</w:t>
      </w:r>
    </w:p>
    <w:p w14:paraId="51CB7762">
      <w:pPr>
        <w:keepNext w:val="0"/>
        <w:keepLines w:val="0"/>
        <w:pageBreakBefore w:val="0"/>
        <w:widowControl w:val="0"/>
        <w:spacing w:line="400" w:lineRule="exact"/>
        <w:ind w:left="0" w:right="0" w:firstLine="480"/>
        <w:jc w:val="left"/>
        <w:outlineLvl w:val="9"/>
        <w:rPr>
          <w:rFonts w:hint="eastAsia" w:ascii="宋体" w:hAnsi="宋体" w:eastAsia="宋体" w:cs="宋体"/>
          <w:highlight w:val="none"/>
          <w:lang w:eastAsia="zh-CN"/>
        </w:rPr>
      </w:pPr>
      <w:r>
        <w:rPr>
          <w:rFonts w:hint="eastAsia" w:ascii="宋体" w:hAnsi="宋体" w:eastAsia="宋体" w:cs="宋体"/>
          <w:sz w:val="24"/>
          <w:highlight w:val="none"/>
          <w:lang w:val="en-US" w:eastAsia="zh-CN"/>
        </w:rPr>
        <w:t>单位名称</w:t>
      </w:r>
      <w:r>
        <w:rPr>
          <w:rFonts w:hint="eastAsia" w:ascii="宋体" w:hAnsi="宋体" w:eastAsia="宋体" w:cs="宋体"/>
          <w:sz w:val="24"/>
          <w:highlight w:val="none"/>
        </w:rPr>
        <w:t>：</w:t>
      </w:r>
      <w:r>
        <w:rPr>
          <w:rFonts w:hint="eastAsia" w:ascii="宋体" w:hAnsi="宋体" w:eastAsia="宋体" w:cs="宋体"/>
          <w:sz w:val="24"/>
          <w:highlight w:val="none"/>
          <w:shd w:val="clear" w:color="auto" w:fill="FFFFFF"/>
          <w:lang w:eastAsia="zh-CN"/>
        </w:rPr>
        <w:t>金湖县农业农村局</w:t>
      </w:r>
    </w:p>
    <w:p w14:paraId="40DBEE7F">
      <w:pPr>
        <w:pStyle w:val="297"/>
        <w:keepNext w:val="0"/>
        <w:keepLines w:val="0"/>
        <w:pageBreakBefore w:val="0"/>
        <w:widowControl w:val="0"/>
        <w:spacing w:line="400" w:lineRule="exact"/>
        <w:ind w:left="0" w:right="0" w:firstLine="480"/>
        <w:jc w:val="left"/>
        <w:outlineLvl w:val="9"/>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单位地址</w:t>
      </w:r>
      <w:r>
        <w:rPr>
          <w:rFonts w:hint="eastAsia" w:ascii="宋体" w:hAnsi="宋体" w:eastAsia="宋体" w:cs="宋体"/>
          <w:szCs w:val="24"/>
          <w:highlight w:val="none"/>
          <w:lang w:val="en-US"/>
        </w:rPr>
        <w:t>：</w:t>
      </w:r>
      <w:r>
        <w:rPr>
          <w:rFonts w:hint="eastAsia" w:ascii="宋体" w:hAnsi="宋体" w:eastAsia="宋体" w:cs="宋体"/>
          <w:szCs w:val="24"/>
          <w:highlight w:val="none"/>
          <w:lang w:val="en-US" w:eastAsia="zh-CN"/>
        </w:rPr>
        <w:t>金湖县神华东路95号</w:t>
      </w:r>
    </w:p>
    <w:p w14:paraId="2ED46C9C">
      <w:pPr>
        <w:pStyle w:val="297"/>
        <w:keepNext w:val="0"/>
        <w:keepLines w:val="0"/>
        <w:pageBreakBefore w:val="0"/>
        <w:widowControl w:val="0"/>
        <w:spacing w:line="400" w:lineRule="exact"/>
        <w:ind w:left="0" w:right="0" w:firstLine="480"/>
        <w:jc w:val="left"/>
        <w:outlineLvl w:val="9"/>
        <w:rPr>
          <w:rFonts w:ascii="宋体" w:hAnsi="宋体" w:eastAsia="宋体" w:cs="宋体"/>
          <w:szCs w:val="24"/>
          <w:highlight w:val="none"/>
          <w:lang w:val="en-US" w:eastAsia="zh-CN"/>
        </w:rPr>
      </w:pPr>
      <w:r>
        <w:rPr>
          <w:rFonts w:hint="eastAsia" w:ascii="宋体" w:hAnsi="宋体" w:eastAsia="宋体" w:cs="宋体"/>
          <w:szCs w:val="24"/>
          <w:highlight w:val="none"/>
          <w:lang w:val="en-US"/>
        </w:rPr>
        <w:t>联系</w:t>
      </w:r>
      <w:r>
        <w:rPr>
          <w:rFonts w:hint="eastAsia" w:ascii="宋体" w:hAnsi="宋体" w:eastAsia="宋体" w:cs="宋体"/>
          <w:szCs w:val="24"/>
          <w:highlight w:val="none"/>
          <w:lang w:val="en-US" w:eastAsia="zh-CN"/>
        </w:rPr>
        <w:t>人</w:t>
      </w:r>
      <w:r>
        <w:rPr>
          <w:rFonts w:hint="eastAsia" w:ascii="宋体" w:hAnsi="宋体" w:eastAsia="宋体" w:cs="宋体"/>
          <w:szCs w:val="24"/>
          <w:highlight w:val="none"/>
          <w:lang w:val="en-US"/>
        </w:rPr>
        <w:t>：</w:t>
      </w:r>
      <w:r>
        <w:rPr>
          <w:rFonts w:hint="eastAsia" w:ascii="宋体" w:hAnsi="宋体" w:eastAsia="宋体" w:cs="宋体"/>
          <w:sz w:val="24"/>
          <w:szCs w:val="24"/>
          <w:highlight w:val="none"/>
          <w:lang w:val="en-US" w:eastAsia="zh-CN"/>
        </w:rPr>
        <w:t>侯文宁</w:t>
      </w:r>
    </w:p>
    <w:p w14:paraId="2811A258">
      <w:pPr>
        <w:pStyle w:val="297"/>
        <w:keepNext w:val="0"/>
        <w:keepLines w:val="0"/>
        <w:pageBreakBefore w:val="0"/>
        <w:widowControl w:val="0"/>
        <w:spacing w:line="400" w:lineRule="exact"/>
        <w:ind w:left="0" w:right="0" w:firstLine="480"/>
        <w:jc w:val="left"/>
        <w:outlineLvl w:val="9"/>
        <w:rPr>
          <w:rFonts w:ascii="宋体" w:hAnsi="宋体" w:eastAsia="宋体" w:cs="宋体"/>
          <w:szCs w:val="24"/>
          <w:highlight w:val="none"/>
          <w:lang w:val="en-US" w:eastAsia="zh-CN"/>
        </w:rPr>
      </w:pPr>
      <w:r>
        <w:rPr>
          <w:rFonts w:hint="eastAsia" w:ascii="宋体" w:hAnsi="宋体" w:eastAsia="宋体" w:cs="宋体"/>
          <w:szCs w:val="24"/>
          <w:highlight w:val="none"/>
          <w:lang w:val="en-US" w:eastAsia="zh-CN"/>
        </w:rPr>
        <w:t>联系</w:t>
      </w:r>
      <w:r>
        <w:rPr>
          <w:rFonts w:hint="eastAsia" w:ascii="宋体" w:hAnsi="宋体" w:eastAsia="宋体" w:cs="宋体"/>
          <w:szCs w:val="24"/>
          <w:highlight w:val="none"/>
          <w:lang w:val="en-US"/>
        </w:rPr>
        <w:t>电话：</w:t>
      </w:r>
      <w:r>
        <w:rPr>
          <w:rFonts w:hint="eastAsia" w:ascii="宋体" w:hAnsi="宋体" w:eastAsia="宋体" w:cs="宋体"/>
          <w:sz w:val="24"/>
          <w:szCs w:val="24"/>
          <w:highlight w:val="none"/>
          <w:lang w:val="en-US" w:eastAsia="zh-CN"/>
        </w:rPr>
        <w:t>0517-86800065</w:t>
      </w:r>
    </w:p>
    <w:p w14:paraId="4B1E9073">
      <w:pPr>
        <w:pStyle w:val="297"/>
        <w:keepNext w:val="0"/>
        <w:keepLines w:val="0"/>
        <w:pageBreakBefore w:val="0"/>
        <w:widowControl w:val="0"/>
        <w:spacing w:line="400" w:lineRule="exact"/>
        <w:ind w:left="0" w:right="0" w:firstLine="482"/>
        <w:jc w:val="left"/>
        <w:outlineLvl w:val="9"/>
        <w:rPr>
          <w:rFonts w:hint="eastAsia" w:ascii="宋体" w:hAnsi="宋体" w:eastAsia="宋体" w:cs="宋体"/>
          <w:szCs w:val="24"/>
          <w:highlight w:val="none"/>
          <w:lang w:val="en-US" w:eastAsia="zh-CN"/>
        </w:rPr>
      </w:pPr>
      <w:r>
        <w:rPr>
          <w:rFonts w:hint="eastAsia" w:ascii="宋体" w:hAnsi="宋体" w:eastAsia="宋体" w:cs="宋体"/>
          <w:b/>
          <w:bCs/>
          <w:szCs w:val="24"/>
          <w:highlight w:val="none"/>
          <w:lang w:val="en-US"/>
        </w:rPr>
        <w:t>2</w:t>
      </w:r>
      <w:r>
        <w:rPr>
          <w:rFonts w:hint="eastAsia" w:ascii="宋体" w:hAnsi="宋体" w:eastAsia="宋体" w:cs="宋体"/>
          <w:b/>
          <w:bCs/>
          <w:szCs w:val="24"/>
          <w:highlight w:val="none"/>
          <w:lang w:val="en-US" w:eastAsia="zh-CN"/>
        </w:rPr>
        <w:t>.</w:t>
      </w:r>
      <w:r>
        <w:rPr>
          <w:rFonts w:hint="eastAsia" w:ascii="宋体" w:hAnsi="宋体" w:eastAsia="宋体" w:cs="宋体"/>
          <w:b/>
          <w:bCs/>
          <w:szCs w:val="24"/>
          <w:highlight w:val="none"/>
          <w:lang w:val="en-US"/>
        </w:rPr>
        <w:t>采购代理机构信息</w:t>
      </w:r>
    </w:p>
    <w:p w14:paraId="6BAEA0B3">
      <w:pPr>
        <w:pStyle w:val="206"/>
        <w:keepNext w:val="0"/>
        <w:keepLines w:val="0"/>
        <w:pageBreakBefore w:val="0"/>
        <w:widowControl w:val="0"/>
        <w:spacing w:before="0" w:beforeAutospacing="0" w:after="0" w:afterAutospacing="0" w:line="400" w:lineRule="exact"/>
        <w:ind w:left="0" w:right="0" w:firstLine="480"/>
        <w:jc w:val="left"/>
        <w:outlineLvl w:val="9"/>
        <w:rPr>
          <w:rFonts w:hint="eastAsia" w:ascii="宋体" w:hAnsi="宋体" w:eastAsia="宋体" w:cs="宋体"/>
          <w:szCs w:val="24"/>
          <w:highlight w:val="none"/>
          <w:lang w:eastAsia="zh-CN"/>
        </w:rPr>
      </w:pPr>
      <w:r>
        <w:rPr>
          <w:rFonts w:hint="eastAsia" w:ascii="宋体" w:hAnsi="宋体" w:eastAsia="宋体" w:cs="宋体"/>
          <w:szCs w:val="24"/>
          <w:highlight w:val="none"/>
          <w:lang w:val="en-US" w:eastAsia="zh-CN"/>
        </w:rPr>
        <w:t>单位名称</w:t>
      </w:r>
      <w:r>
        <w:rPr>
          <w:rFonts w:hint="eastAsia" w:ascii="宋体" w:hAnsi="宋体" w:eastAsia="宋体" w:cs="宋体"/>
          <w:szCs w:val="24"/>
          <w:highlight w:val="none"/>
        </w:rPr>
        <w:t>：</w:t>
      </w:r>
      <w:r>
        <w:rPr>
          <w:rFonts w:hint="eastAsia" w:ascii="宋体" w:hAnsi="宋体" w:eastAsia="宋体" w:cs="宋体"/>
          <w:highlight w:val="none"/>
          <w:lang w:eastAsia="zh-CN"/>
        </w:rPr>
        <w:t>江苏四维工程咨询管理有限公司</w:t>
      </w:r>
    </w:p>
    <w:p w14:paraId="7A94015E">
      <w:pPr>
        <w:pStyle w:val="297"/>
        <w:keepNext w:val="0"/>
        <w:keepLines w:val="0"/>
        <w:pageBreakBefore w:val="0"/>
        <w:widowControl w:val="0"/>
        <w:spacing w:line="400" w:lineRule="exact"/>
        <w:ind w:left="0" w:right="0" w:firstLine="480"/>
        <w:jc w:val="left"/>
        <w:outlineLvl w:val="9"/>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单位地址</w:t>
      </w:r>
      <w:r>
        <w:rPr>
          <w:rFonts w:hint="eastAsia" w:ascii="宋体" w:hAnsi="宋体" w:eastAsia="宋体" w:cs="宋体"/>
          <w:szCs w:val="24"/>
          <w:highlight w:val="none"/>
          <w:lang w:val="en-US"/>
        </w:rPr>
        <w:t>：</w:t>
      </w:r>
      <w:r>
        <w:rPr>
          <w:rFonts w:hint="eastAsia" w:ascii="宋体" w:hAnsi="宋体" w:eastAsia="宋体" w:cs="宋体"/>
          <w:szCs w:val="24"/>
          <w:highlight w:val="none"/>
          <w:lang w:val="en-US" w:eastAsia="zh-CN"/>
        </w:rPr>
        <w:t>金湖县金湖西路利达大厦三单元407室</w:t>
      </w:r>
    </w:p>
    <w:p w14:paraId="7B2AE375">
      <w:pPr>
        <w:pStyle w:val="297"/>
        <w:keepNext w:val="0"/>
        <w:keepLines w:val="0"/>
        <w:pageBreakBefore w:val="0"/>
        <w:widowControl w:val="0"/>
        <w:spacing w:line="400" w:lineRule="exact"/>
        <w:ind w:left="0" w:right="0" w:firstLine="480"/>
        <w:jc w:val="left"/>
        <w:outlineLvl w:val="9"/>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rPr>
        <w:t>联系</w:t>
      </w:r>
      <w:r>
        <w:rPr>
          <w:rFonts w:hint="eastAsia" w:ascii="宋体" w:hAnsi="宋体" w:eastAsia="宋体" w:cs="宋体"/>
          <w:szCs w:val="24"/>
          <w:highlight w:val="none"/>
          <w:lang w:val="en-US" w:eastAsia="zh-CN"/>
        </w:rPr>
        <w:t>人</w:t>
      </w:r>
      <w:r>
        <w:rPr>
          <w:rFonts w:hint="eastAsia" w:ascii="宋体" w:hAnsi="宋体" w:eastAsia="宋体" w:cs="宋体"/>
          <w:szCs w:val="24"/>
          <w:highlight w:val="none"/>
          <w:lang w:val="en-US"/>
        </w:rPr>
        <w:t>：</w:t>
      </w:r>
      <w:r>
        <w:rPr>
          <w:rFonts w:hint="eastAsia" w:ascii="宋体" w:hAnsi="宋体" w:eastAsia="宋体" w:cs="宋体"/>
          <w:szCs w:val="24"/>
          <w:highlight w:val="none"/>
          <w:lang w:val="en-US" w:eastAsia="zh-CN"/>
        </w:rPr>
        <w:t>赵建亚</w:t>
      </w:r>
    </w:p>
    <w:p w14:paraId="6BC20494">
      <w:pPr>
        <w:pStyle w:val="297"/>
        <w:keepNext w:val="0"/>
        <w:keepLines w:val="0"/>
        <w:pageBreakBefore w:val="0"/>
        <w:widowControl w:val="0"/>
        <w:spacing w:line="400" w:lineRule="exact"/>
        <w:ind w:left="0" w:right="0" w:firstLine="480"/>
        <w:jc w:val="left"/>
        <w:outlineLvl w:val="9"/>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联系电话</w:t>
      </w:r>
      <w:r>
        <w:rPr>
          <w:rFonts w:hint="eastAsia" w:ascii="宋体" w:hAnsi="宋体" w:eastAsia="宋体" w:cs="宋体"/>
          <w:szCs w:val="24"/>
          <w:highlight w:val="none"/>
          <w:lang w:val="en-US"/>
        </w:rPr>
        <w:t>：</w:t>
      </w:r>
      <w:r>
        <w:rPr>
          <w:rFonts w:hint="eastAsia" w:ascii="宋体" w:hAnsi="宋体" w:eastAsia="宋体" w:cs="宋体"/>
          <w:szCs w:val="24"/>
          <w:highlight w:val="none"/>
          <w:lang w:val="en-US" w:eastAsia="zh-CN"/>
        </w:rPr>
        <w:t>0517-86898966</w:t>
      </w:r>
    </w:p>
    <w:p w14:paraId="1EC1C858">
      <w:pPr>
        <w:pStyle w:val="297"/>
        <w:keepNext w:val="0"/>
        <w:keepLines w:val="0"/>
        <w:pageBreakBefore w:val="0"/>
        <w:widowControl w:val="0"/>
        <w:spacing w:line="400" w:lineRule="exact"/>
        <w:ind w:left="0" w:right="0" w:firstLine="482"/>
        <w:jc w:val="left"/>
        <w:outlineLvl w:val="9"/>
        <w:rPr>
          <w:rFonts w:hint="eastAsia" w:ascii="宋体" w:hAnsi="宋体" w:eastAsia="宋体" w:cs="宋体"/>
          <w:szCs w:val="24"/>
          <w:highlight w:val="none"/>
          <w:lang w:val="en-US"/>
        </w:rPr>
      </w:pPr>
      <w:r>
        <w:rPr>
          <w:rFonts w:hint="eastAsia" w:ascii="宋体" w:hAnsi="宋体" w:eastAsia="宋体" w:cs="宋体"/>
          <w:b/>
          <w:bCs/>
          <w:szCs w:val="24"/>
          <w:highlight w:val="none"/>
          <w:lang w:val="en-US"/>
        </w:rPr>
        <w:t>3</w:t>
      </w:r>
      <w:r>
        <w:rPr>
          <w:rFonts w:hint="eastAsia" w:ascii="宋体" w:hAnsi="宋体" w:eastAsia="宋体" w:cs="宋体"/>
          <w:b/>
          <w:bCs/>
          <w:szCs w:val="24"/>
          <w:highlight w:val="none"/>
          <w:lang w:val="en-US" w:eastAsia="zh-CN"/>
        </w:rPr>
        <w:t>.</w:t>
      </w:r>
      <w:r>
        <w:rPr>
          <w:rFonts w:hint="eastAsia" w:ascii="宋体" w:hAnsi="宋体" w:eastAsia="宋体" w:cs="宋体"/>
          <w:b/>
          <w:bCs/>
          <w:szCs w:val="24"/>
          <w:highlight w:val="none"/>
          <w:lang w:val="en-US"/>
        </w:rPr>
        <w:t>项目联系方式</w:t>
      </w:r>
    </w:p>
    <w:p w14:paraId="01550B1E">
      <w:pPr>
        <w:pStyle w:val="297"/>
        <w:keepNext w:val="0"/>
        <w:keepLines w:val="0"/>
        <w:pageBreakBefore w:val="0"/>
        <w:widowControl w:val="0"/>
        <w:spacing w:line="400" w:lineRule="exact"/>
        <w:ind w:left="0" w:right="0" w:firstLine="480"/>
        <w:jc w:val="left"/>
        <w:outlineLvl w:val="9"/>
        <w:rPr>
          <w:rFonts w:hint="eastAsia" w:ascii="宋体" w:hAnsi="宋体" w:eastAsia="宋体" w:cs="宋体"/>
          <w:szCs w:val="24"/>
          <w:highlight w:val="none"/>
          <w:lang w:val="en-US"/>
        </w:rPr>
      </w:pPr>
      <w:r>
        <w:rPr>
          <w:rFonts w:hint="eastAsia" w:ascii="宋体" w:hAnsi="宋体" w:eastAsia="宋体" w:cs="宋体"/>
          <w:szCs w:val="24"/>
          <w:highlight w:val="none"/>
          <w:lang w:val="en-US"/>
        </w:rPr>
        <w:t>项目联系人：</w:t>
      </w:r>
      <w:r>
        <w:rPr>
          <w:rFonts w:hint="eastAsia" w:ascii="宋体" w:hAnsi="宋体" w:eastAsia="宋体" w:cs="宋体"/>
          <w:szCs w:val="24"/>
          <w:highlight w:val="none"/>
          <w:lang w:val="en-US" w:eastAsia="zh-CN"/>
        </w:rPr>
        <w:t>赵建亚</w:t>
      </w:r>
    </w:p>
    <w:p w14:paraId="450EABB8">
      <w:pPr>
        <w:pStyle w:val="297"/>
        <w:keepNext w:val="0"/>
        <w:keepLines w:val="0"/>
        <w:pageBreakBefore w:val="0"/>
        <w:widowControl w:val="0"/>
        <w:spacing w:line="400" w:lineRule="exact"/>
        <w:ind w:left="0" w:right="0" w:firstLine="480"/>
        <w:jc w:val="left"/>
        <w:outlineLvl w:val="9"/>
        <w:rPr>
          <w:rFonts w:hint="eastAsia" w:ascii="宋体" w:hAnsi="宋体" w:eastAsia="宋体" w:cs="宋体"/>
          <w:bCs/>
          <w:sz w:val="32"/>
          <w:szCs w:val="32"/>
          <w:highlight w:val="none"/>
        </w:rPr>
      </w:pPr>
      <w:r>
        <w:rPr>
          <w:rFonts w:hint="eastAsia" w:ascii="宋体" w:hAnsi="宋体" w:eastAsia="宋体" w:cs="宋体"/>
          <w:szCs w:val="24"/>
          <w:highlight w:val="none"/>
          <w:lang w:val="en-US"/>
        </w:rPr>
        <w:t>电话：</w:t>
      </w:r>
      <w:r>
        <w:rPr>
          <w:rFonts w:hint="eastAsia" w:ascii="宋体" w:hAnsi="宋体" w:eastAsia="宋体" w:cs="宋体"/>
          <w:szCs w:val="24"/>
          <w:highlight w:val="none"/>
          <w:lang w:val="en-US" w:eastAsia="zh-CN"/>
        </w:rPr>
        <w:t>0517-86898966</w:t>
      </w:r>
    </w:p>
    <w:p w14:paraId="01A71751">
      <w:pPr>
        <w:keepNext w:val="0"/>
        <w:keepLines w:val="0"/>
        <w:pageBreakBefore/>
        <w:widowControl w:val="0"/>
        <w:numPr>
          <w:ilvl w:val="0"/>
          <w:numId w:val="0"/>
        </w:numPr>
        <w:spacing w:line="520" w:lineRule="exact"/>
        <w:ind w:right="0"/>
        <w:jc w:val="center"/>
        <w:outlineLvl w:val="0"/>
        <w:rPr>
          <w:rFonts w:hint="eastAsia" w:ascii="宋体" w:hAnsi="宋体" w:eastAsia="宋体" w:cs="宋体"/>
          <w:b/>
          <w:bCs/>
          <w:sz w:val="32"/>
          <w:szCs w:val="32"/>
          <w:highlight w:val="none"/>
        </w:rPr>
      </w:pPr>
      <w:bookmarkStart w:id="1" w:name="_Toc25315"/>
      <w:r>
        <w:rPr>
          <w:rFonts w:hint="eastAsia" w:ascii="宋体" w:hAnsi="宋体" w:eastAsia="宋体" w:cs="宋体"/>
          <w:b/>
          <w:bCs/>
          <w:sz w:val="32"/>
          <w:szCs w:val="32"/>
          <w:highlight w:val="none"/>
          <w:lang w:val="en-US" w:eastAsia="zh-CN"/>
        </w:rPr>
        <w:t>第二章</w:t>
      </w:r>
      <w:r>
        <w:rPr>
          <w:rFonts w:hint="eastAsia" w:ascii="宋体" w:hAnsi="宋体" w:eastAsia="宋体" w:cs="宋体"/>
          <w:b/>
          <w:bCs/>
          <w:sz w:val="32"/>
          <w:szCs w:val="32"/>
          <w:highlight w:val="none"/>
        </w:rPr>
        <w:t xml:space="preserve">  </w:t>
      </w:r>
      <w:r>
        <w:rPr>
          <w:rFonts w:hint="eastAsia" w:ascii="宋体" w:hAnsi="宋体" w:eastAsia="宋体" w:cs="宋体"/>
          <w:b/>
          <w:bCs/>
          <w:sz w:val="32"/>
          <w:szCs w:val="32"/>
          <w:highlight w:val="none"/>
          <w:lang w:eastAsia="zh-CN"/>
        </w:rPr>
        <w:t>投标人</w:t>
      </w:r>
      <w:r>
        <w:rPr>
          <w:rFonts w:hint="eastAsia" w:ascii="宋体" w:hAnsi="宋体" w:eastAsia="宋体" w:cs="宋体"/>
          <w:b/>
          <w:bCs/>
          <w:sz w:val="32"/>
          <w:szCs w:val="32"/>
          <w:highlight w:val="none"/>
        </w:rPr>
        <w:t>须知</w:t>
      </w:r>
      <w:bookmarkEnd w:id="1"/>
    </w:p>
    <w:p w14:paraId="790BFADD">
      <w:pPr>
        <w:keepNext w:val="0"/>
        <w:keepLines w:val="0"/>
        <w:pageBreakBefore w:val="0"/>
        <w:widowControl w:val="0"/>
        <w:spacing w:line="400" w:lineRule="exact"/>
        <w:ind w:right="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一、总则</w:t>
      </w:r>
    </w:p>
    <w:p w14:paraId="5D36437F">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1.适用范围</w:t>
      </w:r>
    </w:p>
    <w:p w14:paraId="4D11863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本招标文件仅适用于本次投标邀请中所述项目的采购。</w:t>
      </w:r>
    </w:p>
    <w:p w14:paraId="572C1356">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2.合格的</w:t>
      </w:r>
      <w:r>
        <w:rPr>
          <w:rFonts w:hint="eastAsia" w:ascii="宋体" w:hAnsi="宋体" w:eastAsia="宋体" w:cs="宋体"/>
          <w:b/>
          <w:bCs/>
          <w:sz w:val="24"/>
          <w:szCs w:val="24"/>
          <w:highlight w:val="none"/>
          <w:lang w:eastAsia="zh-CN"/>
        </w:rPr>
        <w:t>投标人</w:t>
      </w:r>
    </w:p>
    <w:p w14:paraId="7DF43ECA">
      <w:pPr>
        <w:keepNext w:val="0"/>
        <w:keepLines w:val="0"/>
        <w:pageBreakBefore w:val="0"/>
        <w:widowControl w:val="0"/>
        <w:spacing w:line="40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2.1满足第一章投标邀请中投标人资格要求的规定。</w:t>
      </w:r>
    </w:p>
    <w:p w14:paraId="0181665B">
      <w:pPr>
        <w:keepNext w:val="0"/>
        <w:keepLines w:val="0"/>
        <w:pageBreakBefore w:val="0"/>
        <w:widowControl w:val="0"/>
        <w:spacing w:line="40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2.2满足招标文件中实质性条款的规定。</w:t>
      </w:r>
    </w:p>
    <w:p w14:paraId="1619F38C">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3.适用法律</w:t>
      </w:r>
    </w:p>
    <w:p w14:paraId="10D9C32E">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3.1《中华人民共和国政府采购法》、《中华人民共和国政府采购法实施条例》、《政府采购货物和服务招标投标管理办法》等有关法律、规章和规定等。</w:t>
      </w:r>
    </w:p>
    <w:p w14:paraId="10C0F489">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w:t>
      </w:r>
      <w:r>
        <w:rPr>
          <w:rFonts w:hint="eastAsia" w:ascii="宋体" w:hAnsi="宋体" w:eastAsia="宋体" w:cs="宋体"/>
          <w:b/>
          <w:bCs/>
          <w:sz w:val="24"/>
          <w:szCs w:val="24"/>
          <w:highlight w:val="none"/>
          <w:lang w:eastAsia="zh-CN"/>
        </w:rPr>
        <w:t>投标</w:t>
      </w:r>
      <w:r>
        <w:rPr>
          <w:rFonts w:hint="eastAsia" w:ascii="宋体" w:hAnsi="宋体" w:eastAsia="宋体" w:cs="宋体"/>
          <w:b/>
          <w:bCs/>
          <w:sz w:val="24"/>
          <w:szCs w:val="24"/>
          <w:highlight w:val="none"/>
        </w:rPr>
        <w:t>费用</w:t>
      </w:r>
    </w:p>
    <w:p w14:paraId="53A8E458">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4.1</w:t>
      </w: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rPr>
        <w:t>应自行承担所有与参加</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有关的费用。不论</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的结果如何</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采购人（代理机构）在任何情况下均无义务和责任承担这些费用。</w:t>
      </w:r>
    </w:p>
    <w:p w14:paraId="67831459">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4.2采购代理（下称代理机构）：采购人委托</w:t>
      </w:r>
      <w:r>
        <w:rPr>
          <w:rFonts w:hint="eastAsia" w:ascii="宋体" w:hAnsi="宋体" w:eastAsia="宋体" w:cs="宋体"/>
          <w:bCs/>
          <w:sz w:val="24"/>
          <w:szCs w:val="24"/>
          <w:highlight w:val="none"/>
          <w:lang w:eastAsia="zh-CN"/>
        </w:rPr>
        <w:t>江苏四维工程咨询管理有限公司</w:t>
      </w:r>
      <w:r>
        <w:rPr>
          <w:rFonts w:hint="eastAsia" w:ascii="宋体" w:hAnsi="宋体" w:eastAsia="宋体" w:cs="宋体"/>
          <w:bCs/>
          <w:sz w:val="24"/>
          <w:szCs w:val="24"/>
          <w:highlight w:val="none"/>
        </w:rPr>
        <w:t>负责代理本项目的相关事宜。</w:t>
      </w:r>
    </w:p>
    <w:p w14:paraId="392865E2">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4.3采购代理机构服务费：</w:t>
      </w:r>
      <w:r>
        <w:rPr>
          <w:rFonts w:hint="eastAsia" w:ascii="宋体" w:hAnsi="宋体" w:eastAsia="宋体" w:cs="宋体"/>
          <w:bCs/>
          <w:sz w:val="24"/>
          <w:szCs w:val="24"/>
          <w:highlight w:val="none"/>
          <w:lang w:val="en-US" w:eastAsia="zh-CN"/>
        </w:rPr>
        <w:t>中标</w:t>
      </w:r>
      <w:r>
        <w:rPr>
          <w:rFonts w:hint="eastAsia" w:ascii="宋体" w:hAnsi="宋体" w:eastAsia="宋体" w:cs="宋体"/>
          <w:bCs/>
          <w:sz w:val="24"/>
          <w:szCs w:val="24"/>
          <w:highlight w:val="none"/>
          <w:lang w:eastAsia="zh-CN"/>
        </w:rPr>
        <w:t>人参照苏政采协【2024】20号文件规定标准的85%作</w:t>
      </w:r>
      <w:r>
        <w:rPr>
          <w:rFonts w:hint="eastAsia" w:ascii="宋体" w:hAnsi="宋体" w:eastAsia="宋体" w:cs="宋体"/>
          <w:bCs/>
          <w:sz w:val="24"/>
          <w:szCs w:val="24"/>
          <w:highlight w:val="none"/>
        </w:rPr>
        <w:t>为本次项目的采购代理机构服务费。本项目由采购代理机构协助采购人完成此项目，中标人应在成交通知书发放后五个工作日内向招标代理人一次性缴纳采购代理费，此费用须包含在报价中，无须单独列项计取。（无法计算中标总额的项目，按预算总价计算）</w:t>
      </w:r>
    </w:p>
    <w:p w14:paraId="701F2C69">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4.4本次项目不收取文件工本费和成交管理费。</w:t>
      </w:r>
    </w:p>
    <w:p w14:paraId="6813DC9A">
      <w:pPr>
        <w:keepNext w:val="0"/>
        <w:keepLines w:val="0"/>
        <w:pageBreakBefore w:val="0"/>
        <w:widowControl w:val="0"/>
        <w:spacing w:line="400" w:lineRule="exact"/>
        <w:ind w:right="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w:t>
      </w:r>
      <w:r>
        <w:rPr>
          <w:rFonts w:hint="eastAsia" w:ascii="宋体" w:hAnsi="宋体" w:eastAsia="宋体" w:cs="宋体"/>
          <w:b/>
          <w:bCs/>
          <w:sz w:val="24"/>
          <w:szCs w:val="24"/>
          <w:highlight w:val="none"/>
          <w:lang w:eastAsia="zh-CN"/>
        </w:rPr>
        <w:t>投标</w:t>
      </w:r>
      <w:r>
        <w:rPr>
          <w:rFonts w:hint="eastAsia" w:ascii="宋体" w:hAnsi="宋体" w:eastAsia="宋体" w:cs="宋体"/>
          <w:b/>
          <w:bCs/>
          <w:sz w:val="24"/>
          <w:szCs w:val="24"/>
          <w:highlight w:val="none"/>
        </w:rPr>
        <w:t>文件</w:t>
      </w:r>
    </w:p>
    <w:p w14:paraId="5CF4BF0E">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5.</w:t>
      </w:r>
      <w:r>
        <w:rPr>
          <w:rFonts w:hint="eastAsia" w:ascii="宋体" w:hAnsi="宋体" w:eastAsia="宋体" w:cs="宋体"/>
          <w:b/>
          <w:bCs/>
          <w:sz w:val="24"/>
          <w:szCs w:val="24"/>
          <w:highlight w:val="none"/>
          <w:lang w:eastAsia="zh-CN"/>
        </w:rPr>
        <w:t>投标</w:t>
      </w:r>
      <w:r>
        <w:rPr>
          <w:rFonts w:hint="eastAsia" w:ascii="宋体" w:hAnsi="宋体" w:eastAsia="宋体" w:cs="宋体"/>
          <w:b/>
          <w:bCs/>
          <w:sz w:val="24"/>
          <w:szCs w:val="24"/>
          <w:highlight w:val="none"/>
        </w:rPr>
        <w:t>文件由以下部分组成</w:t>
      </w:r>
    </w:p>
    <w:p w14:paraId="7482D345">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5.1投标邀请</w:t>
      </w:r>
    </w:p>
    <w:p w14:paraId="63B66EF9">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5.2投标人须知</w:t>
      </w:r>
    </w:p>
    <w:p w14:paraId="545828A2">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5.3评标标准</w:t>
      </w:r>
    </w:p>
    <w:p w14:paraId="77799F5E">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5.4合同格式及条款</w:t>
      </w:r>
    </w:p>
    <w:p w14:paraId="3C16CDC3">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5.5项目采购需求</w:t>
      </w:r>
    </w:p>
    <w:p w14:paraId="0F15AF6E">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5.6投标文件格式</w:t>
      </w:r>
    </w:p>
    <w:p w14:paraId="489E2894">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w:t>
      </w:r>
      <w:r>
        <w:rPr>
          <w:rFonts w:hint="eastAsia" w:ascii="宋体" w:hAnsi="宋体" w:eastAsia="宋体" w:cs="宋体"/>
          <w:b/>
          <w:bCs/>
          <w:sz w:val="24"/>
          <w:szCs w:val="24"/>
          <w:highlight w:val="none"/>
          <w:lang w:eastAsia="zh-CN"/>
        </w:rPr>
        <w:t>招标</w:t>
      </w:r>
      <w:r>
        <w:rPr>
          <w:rFonts w:hint="eastAsia" w:ascii="宋体" w:hAnsi="宋体" w:eastAsia="宋体" w:cs="宋体"/>
          <w:b/>
          <w:bCs/>
          <w:sz w:val="24"/>
          <w:szCs w:val="24"/>
          <w:highlight w:val="none"/>
        </w:rPr>
        <w:t>文件的澄清</w:t>
      </w:r>
    </w:p>
    <w:p w14:paraId="29D42338">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6.1任何对招标文件要求澄清的投标人，均应在递交投标文件截止时间十日前以书面形式通知</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或代理机构（在递送书面文件的同时请投标人将电</w:t>
      </w:r>
      <w:r>
        <w:rPr>
          <w:rFonts w:hint="eastAsia" w:ascii="宋体" w:hAnsi="宋体" w:eastAsia="宋体" w:cs="宋体"/>
          <w:sz w:val="24"/>
          <w:szCs w:val="24"/>
          <w:highlight w:val="none"/>
          <w:lang w:eastAsia="zh-CN"/>
        </w:rPr>
        <w:t>子文</w:t>
      </w:r>
      <w:r>
        <w:rPr>
          <w:rFonts w:hint="eastAsia" w:ascii="宋体" w:hAnsi="宋体" w:eastAsia="宋体" w:cs="宋体"/>
          <w:sz w:val="24"/>
          <w:szCs w:val="24"/>
          <w:highlight w:val="none"/>
        </w:rPr>
        <w:t>件一并发送给</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或代理机构）。</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或代理机构对递交投标文件截止时间十日前收到的任何澄清要求将以书面形式予以答复。由于投标人所留联系方式有问题而导致</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或代理机构无法通知的其责任由投标人自行承担（逾期递交对招标文件要求进行澄清的</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或代理机构将不予受理）。</w:t>
      </w:r>
    </w:p>
    <w:p w14:paraId="5A8588FD">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7.</w:t>
      </w:r>
      <w:r>
        <w:rPr>
          <w:rFonts w:hint="eastAsia" w:ascii="宋体" w:hAnsi="宋体" w:eastAsia="宋体" w:cs="宋体"/>
          <w:b/>
          <w:bCs/>
          <w:sz w:val="24"/>
          <w:szCs w:val="24"/>
          <w:highlight w:val="none"/>
          <w:lang w:eastAsia="zh-CN"/>
        </w:rPr>
        <w:t>招标</w:t>
      </w:r>
      <w:r>
        <w:rPr>
          <w:rFonts w:hint="eastAsia" w:ascii="宋体" w:hAnsi="宋体" w:eastAsia="宋体" w:cs="宋体"/>
          <w:b/>
          <w:bCs/>
          <w:sz w:val="24"/>
          <w:szCs w:val="24"/>
          <w:highlight w:val="none"/>
        </w:rPr>
        <w:t>文件的更正或补充</w:t>
      </w:r>
    </w:p>
    <w:p w14:paraId="0B820D5A">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7.1在投标截止时间十五日前，采购人（代理机构）可主动或在解答投标人提出的澄清问题时对招标文件用更正公告的方式进行修正。</w:t>
      </w:r>
    </w:p>
    <w:p w14:paraId="0D03679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7.2对招标文件的更正将在淮安市政府采购网、淮安市公共资源交易中心官网电子化交易系统进行公告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同时通过电子交易平台通知所有已获取招标文件的投标人。更正公告将作为招标文件的组成部分，对所有参加本次投标的投标人都具有约束力。</w:t>
      </w:r>
    </w:p>
    <w:p w14:paraId="774FB547">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7.3</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须持续关注本项目在江苏省政府采购网、淮安市政府采购网及电子化系统中发布的信息（含更正、修改等信息），否则产生的后果由</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自行承担。</w:t>
      </w:r>
    </w:p>
    <w:p w14:paraId="5083446E">
      <w:pPr>
        <w:keepNext w:val="0"/>
        <w:keepLines w:val="0"/>
        <w:pageBreakBefore w:val="0"/>
        <w:widowControl w:val="0"/>
        <w:spacing w:line="400" w:lineRule="exact"/>
        <w:ind w:left="0" w:right="0" w:firstLine="480"/>
        <w:jc w:val="left"/>
        <w:rPr>
          <w:rFonts w:hint="eastAsia" w:ascii="宋体" w:hAnsi="宋体" w:eastAsia="宋体" w:cs="宋体"/>
          <w:sz w:val="24"/>
          <w:highlight w:val="none"/>
        </w:rPr>
      </w:pPr>
      <w:r>
        <w:rPr>
          <w:rFonts w:hint="eastAsia" w:ascii="宋体" w:hAnsi="宋体" w:eastAsia="宋体" w:cs="宋体"/>
          <w:sz w:val="24"/>
          <w:szCs w:val="24"/>
          <w:highlight w:val="none"/>
        </w:rPr>
        <w:t>7.4为使投标人有足够的时间按招标文件的更正要求修正投标文件，采购人（代理机构）有权按照相关法定的要求推迟投标截止时间和开标日期。</w:t>
      </w:r>
    </w:p>
    <w:p w14:paraId="462D279A">
      <w:pPr>
        <w:keepNext w:val="0"/>
        <w:keepLines w:val="0"/>
        <w:pageBreakBefore w:val="0"/>
        <w:widowControl w:val="0"/>
        <w:spacing w:line="400" w:lineRule="exact"/>
        <w:ind w:right="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三、投标文件的编制</w:t>
      </w:r>
    </w:p>
    <w:p w14:paraId="43B5FBE2">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rPr>
      </w:pPr>
      <w:bookmarkStart w:id="2" w:name="_Toc462564073"/>
      <w:bookmarkStart w:id="3" w:name="_Toc513029214"/>
      <w:bookmarkStart w:id="4" w:name="_Toc20823286"/>
      <w:bookmarkStart w:id="5" w:name="_Toc16938530"/>
      <w:r>
        <w:rPr>
          <w:rFonts w:hint="eastAsia" w:ascii="宋体" w:hAnsi="宋体" w:eastAsia="宋体" w:cs="宋体"/>
          <w:b/>
          <w:bCs/>
          <w:sz w:val="24"/>
          <w:szCs w:val="24"/>
          <w:highlight w:val="none"/>
          <w:lang w:eastAsia="zh-CN"/>
        </w:rPr>
        <w:t>8.</w:t>
      </w:r>
      <w:bookmarkEnd w:id="2"/>
      <w:bookmarkEnd w:id="3"/>
      <w:bookmarkEnd w:id="4"/>
      <w:bookmarkEnd w:id="5"/>
      <w:r>
        <w:rPr>
          <w:rFonts w:hint="eastAsia" w:ascii="宋体" w:hAnsi="宋体" w:eastAsia="宋体" w:cs="宋体"/>
          <w:b/>
          <w:bCs/>
          <w:sz w:val="24"/>
          <w:szCs w:val="24"/>
          <w:highlight w:val="none"/>
        </w:rPr>
        <w:t>投标文件的语言及度量衡单位</w:t>
      </w:r>
    </w:p>
    <w:p w14:paraId="35169A9A">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8.1</w:t>
      </w:r>
      <w:r>
        <w:rPr>
          <w:rFonts w:hint="eastAsia" w:ascii="宋体" w:hAnsi="宋体" w:eastAsia="宋体" w:cs="宋体"/>
          <w:sz w:val="24"/>
          <w:szCs w:val="24"/>
          <w:highlight w:val="none"/>
          <w:lang w:eastAsia="zh-CN"/>
        </w:rPr>
        <w:t>投标人提交的投标文件以及投标人与采购中心就有关投标的所有来往通知、函件和文件均应使用简体中文</w:t>
      </w:r>
      <w:r>
        <w:rPr>
          <w:rFonts w:hint="eastAsia" w:ascii="宋体" w:hAnsi="宋体" w:eastAsia="宋体" w:cs="宋体"/>
          <w:sz w:val="24"/>
          <w:szCs w:val="24"/>
          <w:highlight w:val="none"/>
        </w:rPr>
        <w:t>。</w:t>
      </w:r>
    </w:p>
    <w:p w14:paraId="4F257B8D">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8.2除技术性能另有规定外，投标文件所使用的度量衡单位，均须采用国家法定计量单位。</w:t>
      </w:r>
    </w:p>
    <w:p w14:paraId="08649E9C">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rPr>
      </w:pPr>
      <w:bookmarkStart w:id="6" w:name="_Toc16938531"/>
      <w:bookmarkStart w:id="7" w:name="_Toc462564074"/>
      <w:bookmarkStart w:id="8" w:name="_Toc513029215"/>
      <w:bookmarkStart w:id="9" w:name="_Toc20823287"/>
      <w:r>
        <w:rPr>
          <w:rFonts w:hint="eastAsia" w:ascii="宋体" w:hAnsi="宋体" w:eastAsia="宋体" w:cs="宋体"/>
          <w:b/>
          <w:bCs/>
          <w:sz w:val="24"/>
          <w:szCs w:val="24"/>
          <w:highlight w:val="none"/>
          <w:lang w:eastAsia="zh-CN"/>
        </w:rPr>
        <w:t>9.</w:t>
      </w:r>
      <w:r>
        <w:rPr>
          <w:rFonts w:hint="eastAsia" w:ascii="宋体" w:hAnsi="宋体" w:eastAsia="宋体" w:cs="宋体"/>
          <w:b/>
          <w:bCs/>
          <w:sz w:val="24"/>
          <w:szCs w:val="24"/>
          <w:highlight w:val="none"/>
          <w:lang w:val="en-US" w:eastAsia="zh-CN"/>
        </w:rPr>
        <w:t>投标</w:t>
      </w:r>
      <w:r>
        <w:rPr>
          <w:rFonts w:hint="eastAsia" w:ascii="宋体" w:hAnsi="宋体" w:eastAsia="宋体" w:cs="宋体"/>
          <w:b/>
          <w:bCs/>
          <w:sz w:val="24"/>
          <w:szCs w:val="24"/>
          <w:highlight w:val="none"/>
        </w:rPr>
        <w:t>文件构成</w:t>
      </w:r>
      <w:bookmarkEnd w:id="6"/>
      <w:bookmarkEnd w:id="7"/>
      <w:bookmarkEnd w:id="8"/>
      <w:bookmarkEnd w:id="9"/>
    </w:p>
    <w:p w14:paraId="5C1349C0">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9.1</w:t>
      </w:r>
      <w:r>
        <w:rPr>
          <w:rFonts w:hint="eastAsia" w:ascii="宋体" w:hAnsi="宋体" w:cs="宋体"/>
          <w:sz w:val="24"/>
          <w:szCs w:val="24"/>
          <w:highlight w:val="none"/>
          <w:lang w:eastAsia="zh-CN"/>
        </w:rPr>
        <w:t>投标</w:t>
      </w:r>
      <w:r>
        <w:rPr>
          <w:rFonts w:hint="eastAsia" w:ascii="宋体" w:hAnsi="宋体" w:eastAsia="宋体" w:cs="宋体"/>
          <w:sz w:val="24"/>
          <w:szCs w:val="24"/>
          <w:highlight w:val="none"/>
          <w:lang w:eastAsia="zh-CN"/>
        </w:rPr>
        <w:t>人</w:t>
      </w:r>
      <w:r>
        <w:rPr>
          <w:rFonts w:hint="eastAsia" w:ascii="宋体" w:hAnsi="宋体" w:eastAsia="宋体" w:cs="宋体"/>
          <w:sz w:val="24"/>
          <w:szCs w:val="24"/>
          <w:highlight w:val="none"/>
        </w:rPr>
        <w:t>编写的响应文件应按</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文件第六章“响应文件格式”中的要求进行编写。</w:t>
      </w:r>
    </w:p>
    <w:p w14:paraId="62F9A42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9.2</w:t>
      </w:r>
      <w:r>
        <w:rPr>
          <w:rFonts w:hint="eastAsia" w:ascii="宋体" w:hAnsi="宋体" w:eastAsia="宋体" w:cs="宋体"/>
          <w:sz w:val="24"/>
          <w:szCs w:val="24"/>
          <w:highlight w:val="none"/>
          <w:lang w:eastAsia="zh-CN"/>
        </w:rPr>
        <w:t>电子投标文件编制必须按“苏采云”交易系统要求制作，具体操作详见《苏采云供应商操作手册》。投标人可自行至“江苏省政府采购网”或“淮安市政府采购网”下载查阅</w:t>
      </w:r>
      <w:r>
        <w:rPr>
          <w:rFonts w:hint="eastAsia" w:ascii="宋体" w:hAnsi="宋体" w:eastAsia="宋体" w:cs="宋体"/>
          <w:sz w:val="24"/>
          <w:szCs w:val="24"/>
          <w:highlight w:val="none"/>
        </w:rPr>
        <w:t>。</w:t>
      </w:r>
    </w:p>
    <w:p w14:paraId="1FB53C22">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如标书制作工具中格式和内容与“江苏省政府采购网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淮安市政府采购网”发布的</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文件不一致，请以“江苏省政府采购网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淮安市政府采购网”发布的</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文件为准。</w:t>
      </w:r>
    </w:p>
    <w:p w14:paraId="3B028215">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rPr>
      </w:pPr>
      <w:bookmarkStart w:id="10" w:name="_Toc49090509"/>
      <w:bookmarkStart w:id="11" w:name="_Toc14577357"/>
      <w:bookmarkStart w:id="12" w:name="_Toc513029219"/>
      <w:bookmarkStart w:id="13" w:name="_Toc513029216"/>
      <w:bookmarkStart w:id="14" w:name="_Toc49090507"/>
      <w:bookmarkStart w:id="15" w:name="_Toc14577354"/>
      <w:bookmarkStart w:id="16" w:name="_Toc14577355"/>
      <w:bookmarkStart w:id="17" w:name="_Toc49090508"/>
      <w:r>
        <w:rPr>
          <w:rFonts w:hint="eastAsia" w:ascii="宋体" w:hAnsi="宋体" w:eastAsia="宋体" w:cs="宋体"/>
          <w:b/>
          <w:bCs/>
          <w:sz w:val="24"/>
          <w:szCs w:val="24"/>
          <w:highlight w:val="none"/>
          <w:lang w:eastAsia="zh-CN"/>
        </w:rPr>
        <w:t>10.</w:t>
      </w:r>
      <w:r>
        <w:rPr>
          <w:rFonts w:hint="eastAsia" w:ascii="宋体" w:hAnsi="宋体" w:eastAsia="宋体" w:cs="宋体"/>
          <w:b/>
          <w:bCs/>
          <w:sz w:val="24"/>
          <w:szCs w:val="24"/>
          <w:highlight w:val="none"/>
        </w:rPr>
        <w:t>证明</w:t>
      </w:r>
      <w:r>
        <w:rPr>
          <w:rFonts w:hint="eastAsia" w:ascii="宋体" w:hAnsi="宋体" w:eastAsia="宋体" w:cs="宋体"/>
          <w:b/>
          <w:bCs/>
          <w:sz w:val="24"/>
          <w:szCs w:val="24"/>
          <w:highlight w:val="none"/>
          <w:lang w:eastAsia="zh-CN"/>
        </w:rPr>
        <w:t>投标</w:t>
      </w:r>
      <w:r>
        <w:rPr>
          <w:rFonts w:hint="eastAsia" w:ascii="宋体" w:hAnsi="宋体" w:eastAsia="宋体" w:cs="宋体"/>
          <w:b/>
          <w:bCs/>
          <w:sz w:val="24"/>
          <w:szCs w:val="24"/>
          <w:highlight w:val="none"/>
        </w:rPr>
        <w:t>响应标的符合</w:t>
      </w:r>
      <w:r>
        <w:rPr>
          <w:rFonts w:hint="eastAsia" w:ascii="宋体" w:hAnsi="宋体" w:eastAsia="宋体" w:cs="宋体"/>
          <w:b/>
          <w:bCs/>
          <w:sz w:val="24"/>
          <w:szCs w:val="24"/>
          <w:highlight w:val="none"/>
          <w:lang w:eastAsia="zh-CN"/>
        </w:rPr>
        <w:t>投标</w:t>
      </w:r>
      <w:r>
        <w:rPr>
          <w:rFonts w:hint="eastAsia" w:ascii="宋体" w:hAnsi="宋体" w:eastAsia="宋体" w:cs="宋体"/>
          <w:b/>
          <w:bCs/>
          <w:sz w:val="24"/>
          <w:szCs w:val="24"/>
          <w:highlight w:val="none"/>
        </w:rPr>
        <w:t>文件规定的文件</w:t>
      </w:r>
      <w:bookmarkEnd w:id="10"/>
      <w:bookmarkEnd w:id="11"/>
      <w:bookmarkEnd w:id="12"/>
    </w:p>
    <w:bookmarkEnd w:id="13"/>
    <w:bookmarkEnd w:id="14"/>
    <w:bookmarkEnd w:id="15"/>
    <w:p w14:paraId="56F92CD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10.1</w:t>
      </w:r>
      <w:r>
        <w:rPr>
          <w:rFonts w:hint="eastAsia" w:ascii="宋体" w:hAnsi="宋体" w:eastAsia="宋体" w:cs="宋体"/>
          <w:sz w:val="24"/>
          <w:szCs w:val="24"/>
          <w:highlight w:val="none"/>
          <w:lang w:eastAsia="zh-CN"/>
        </w:rPr>
        <w:t>投标人应按照招标文件要求提交证明文件，证明其及投标标的符合招标文件规定</w:t>
      </w:r>
      <w:r>
        <w:rPr>
          <w:rFonts w:hint="eastAsia" w:ascii="宋体" w:hAnsi="宋体" w:eastAsia="宋体" w:cs="宋体"/>
          <w:sz w:val="24"/>
          <w:szCs w:val="24"/>
          <w:highlight w:val="none"/>
        </w:rPr>
        <w:t>。</w:t>
      </w:r>
    </w:p>
    <w:p w14:paraId="05E18AA5">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10.2</w:t>
      </w:r>
      <w:r>
        <w:rPr>
          <w:rFonts w:hint="eastAsia" w:ascii="宋体" w:hAnsi="宋体" w:eastAsia="宋体" w:cs="宋体"/>
          <w:sz w:val="24"/>
          <w:szCs w:val="24"/>
          <w:highlight w:val="none"/>
          <w:lang w:eastAsia="zh-CN"/>
        </w:rPr>
        <w:t>招标文件对证明文件无明确形式要求的，证明文件可以以文字资料、图纸和数据等形式提交</w:t>
      </w:r>
      <w:r>
        <w:rPr>
          <w:rFonts w:hint="eastAsia" w:ascii="宋体" w:hAnsi="宋体" w:eastAsia="宋体" w:cs="宋体"/>
          <w:sz w:val="24"/>
          <w:szCs w:val="24"/>
          <w:highlight w:val="none"/>
        </w:rPr>
        <w:t>。</w:t>
      </w:r>
    </w:p>
    <w:bookmarkEnd w:id="16"/>
    <w:bookmarkEnd w:id="17"/>
    <w:p w14:paraId="0DFBF4A0">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11.</w:t>
      </w:r>
      <w:r>
        <w:rPr>
          <w:rFonts w:hint="eastAsia" w:ascii="宋体" w:hAnsi="宋体" w:eastAsia="宋体" w:cs="宋体"/>
          <w:b/>
          <w:bCs/>
          <w:sz w:val="24"/>
          <w:szCs w:val="24"/>
          <w:highlight w:val="none"/>
          <w:lang w:val="en-US" w:eastAsia="zh-CN"/>
        </w:rPr>
        <w:t>投标报价</w:t>
      </w:r>
    </w:p>
    <w:p w14:paraId="5F9E657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11.1本次项目投标报价应是招标文件所确定完成本项目全部工作内容的价格体现，以及为完成上述内容所必需的服务费、劳务、管理、利润、税金及政策性文件规定的各项应有费用（组成详见采购需求），如有疑问应在本文件规定时间内提出，投标人被确定为成交候选人后，合同价格不作调整（合同另有约定及不可抗力除外）。</w:t>
      </w:r>
    </w:p>
    <w:p w14:paraId="31EB7A5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11.2投标人的任何错漏、优惠、竞争性报价不得作为减轻责任、减少服务、增加收费、降低质量的理由。</w:t>
      </w:r>
    </w:p>
    <w:p w14:paraId="6E0961CA">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11.3采购人不接受备选的方案或有选择的报价。</w:t>
      </w:r>
    </w:p>
    <w:p w14:paraId="25EC8082">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11.4投标报价应以人民币为货币单位。</w:t>
      </w:r>
    </w:p>
    <w:p w14:paraId="435B6AD7">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rPr>
      </w:pPr>
      <w:bookmarkStart w:id="18" w:name="_Hlt26954731"/>
      <w:bookmarkEnd w:id="18"/>
      <w:bookmarkStart w:id="19" w:name="_Hlt26670482"/>
      <w:bookmarkEnd w:id="19"/>
      <w:bookmarkStart w:id="20" w:name="_Hlt26670486"/>
      <w:bookmarkEnd w:id="20"/>
      <w:bookmarkStart w:id="21" w:name="_Hlt26954848"/>
      <w:bookmarkEnd w:id="21"/>
      <w:bookmarkStart w:id="22" w:name="_Hlt26954846"/>
      <w:bookmarkEnd w:id="22"/>
      <w:r>
        <w:rPr>
          <w:rFonts w:hint="eastAsia" w:ascii="宋体" w:hAnsi="宋体" w:eastAsia="宋体" w:cs="宋体"/>
          <w:b/>
          <w:bCs/>
          <w:sz w:val="24"/>
          <w:szCs w:val="24"/>
          <w:highlight w:val="none"/>
        </w:rPr>
        <w:t>12.技术要求响应及偏离表、商务要求响应及偏离表（如有）</w:t>
      </w:r>
    </w:p>
    <w:p w14:paraId="5B22BD27">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12.1</w:t>
      </w:r>
      <w:r>
        <w:rPr>
          <w:rFonts w:hint="eastAsia" w:ascii="宋体" w:hAnsi="宋体" w:eastAsia="宋体" w:cs="宋体"/>
          <w:sz w:val="24"/>
          <w:szCs w:val="24"/>
          <w:highlight w:val="none"/>
          <w:lang w:eastAsia="zh-CN"/>
        </w:rPr>
        <w:t>投标人需对招标文件中的技术要求与商务要求逐项作出响应或偏离，并说明原因，</w:t>
      </w:r>
      <w:r>
        <w:rPr>
          <w:rFonts w:hint="eastAsia" w:ascii="宋体" w:hAnsi="宋体" w:eastAsia="宋体" w:cs="宋体"/>
          <w:sz w:val="24"/>
          <w:szCs w:val="24"/>
          <w:highlight w:val="none"/>
        </w:rPr>
        <w:t>否则将被拒绝。</w:t>
      </w:r>
    </w:p>
    <w:p w14:paraId="3AA6DB1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12.2</w:t>
      </w:r>
      <w:r>
        <w:rPr>
          <w:rFonts w:hint="eastAsia" w:ascii="宋体" w:hAnsi="宋体" w:eastAsia="宋体" w:cs="宋体"/>
          <w:sz w:val="24"/>
          <w:szCs w:val="24"/>
          <w:highlight w:val="none"/>
          <w:lang w:eastAsia="zh-CN"/>
        </w:rPr>
        <w:t>投标人可在投标文件中提供认为需要的其他技术文件或说明</w:t>
      </w:r>
      <w:r>
        <w:rPr>
          <w:rFonts w:hint="eastAsia" w:ascii="宋体" w:hAnsi="宋体" w:eastAsia="宋体" w:cs="宋体"/>
          <w:sz w:val="24"/>
          <w:szCs w:val="24"/>
          <w:highlight w:val="none"/>
        </w:rPr>
        <w:t>。</w:t>
      </w:r>
    </w:p>
    <w:p w14:paraId="279C79D3">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13.服务承诺、培训计划、人员安排及其他（如有）</w:t>
      </w:r>
    </w:p>
    <w:p w14:paraId="3B49F357">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13.1</w:t>
      </w:r>
      <w:r>
        <w:rPr>
          <w:rFonts w:hint="eastAsia" w:ascii="宋体" w:hAnsi="宋体" w:eastAsia="宋体" w:cs="宋体"/>
          <w:sz w:val="24"/>
          <w:szCs w:val="24"/>
          <w:highlight w:val="none"/>
          <w:lang w:eastAsia="zh-CN"/>
        </w:rPr>
        <w:t>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t>。</w:t>
      </w:r>
    </w:p>
    <w:p w14:paraId="0BF0F600">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13.2</w:t>
      </w:r>
      <w:r>
        <w:rPr>
          <w:rFonts w:hint="eastAsia" w:ascii="宋体" w:hAnsi="宋体" w:eastAsia="宋体" w:cs="宋体"/>
          <w:sz w:val="24"/>
          <w:szCs w:val="24"/>
          <w:highlight w:val="none"/>
          <w:lang w:eastAsia="zh-CN"/>
        </w:rPr>
        <w:t>投标人需根据招标文件要求提供培训计划</w:t>
      </w:r>
      <w:r>
        <w:rPr>
          <w:rFonts w:hint="eastAsia" w:ascii="宋体" w:hAnsi="宋体" w:eastAsia="宋体" w:cs="宋体"/>
          <w:sz w:val="24"/>
          <w:szCs w:val="24"/>
          <w:highlight w:val="none"/>
        </w:rPr>
        <w:t>。</w:t>
      </w:r>
    </w:p>
    <w:p w14:paraId="07AB81CD">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13.3</w:t>
      </w:r>
      <w:r>
        <w:rPr>
          <w:rFonts w:hint="eastAsia" w:ascii="宋体" w:hAnsi="宋体" w:eastAsia="宋体" w:cs="宋体"/>
          <w:sz w:val="24"/>
          <w:szCs w:val="24"/>
          <w:highlight w:val="none"/>
          <w:lang w:eastAsia="zh-CN"/>
        </w:rPr>
        <w:t>投标人需根据招标文件要求提供所投标的的主要组成部分、功能设计、实现思路及关键技术等</w:t>
      </w:r>
      <w:r>
        <w:rPr>
          <w:rFonts w:hint="eastAsia" w:ascii="宋体" w:hAnsi="宋体" w:eastAsia="宋体" w:cs="宋体"/>
          <w:sz w:val="24"/>
          <w:szCs w:val="24"/>
          <w:highlight w:val="none"/>
        </w:rPr>
        <w:t>。</w:t>
      </w:r>
    </w:p>
    <w:p w14:paraId="41016079">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rPr>
      </w:pPr>
      <w:bookmarkStart w:id="23" w:name="_Toc49090510"/>
      <w:bookmarkStart w:id="24" w:name="_Toc14577359"/>
      <w:r>
        <w:rPr>
          <w:rFonts w:hint="eastAsia" w:ascii="宋体" w:hAnsi="宋体" w:eastAsia="宋体" w:cs="宋体"/>
          <w:b/>
          <w:bCs/>
          <w:sz w:val="24"/>
          <w:szCs w:val="24"/>
          <w:highlight w:val="none"/>
        </w:rPr>
        <w:t>14.</w:t>
      </w:r>
      <w:r>
        <w:rPr>
          <w:rFonts w:hint="eastAsia" w:ascii="宋体" w:hAnsi="宋体" w:eastAsia="宋体" w:cs="宋体"/>
          <w:b/>
          <w:bCs/>
          <w:sz w:val="24"/>
          <w:szCs w:val="24"/>
          <w:highlight w:val="none"/>
          <w:lang w:eastAsia="zh-CN"/>
        </w:rPr>
        <w:t>投标函和开标一览表</w:t>
      </w:r>
    </w:p>
    <w:p w14:paraId="77F72B08">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14.1</w:t>
      </w:r>
      <w:r>
        <w:rPr>
          <w:rFonts w:hint="eastAsia" w:ascii="宋体" w:hAnsi="宋体" w:eastAsia="宋体" w:cs="宋体"/>
          <w:sz w:val="24"/>
          <w:szCs w:val="24"/>
          <w:highlight w:val="none"/>
          <w:lang w:eastAsia="zh-CN"/>
        </w:rPr>
        <w:t>投标人应按照招标文件中提供的格式完整、正确填写投标函、开标一览表</w:t>
      </w:r>
      <w:r>
        <w:rPr>
          <w:rFonts w:hint="eastAsia" w:ascii="宋体" w:hAnsi="宋体" w:eastAsia="宋体" w:cs="宋体"/>
          <w:sz w:val="24"/>
          <w:szCs w:val="24"/>
          <w:highlight w:val="none"/>
        </w:rPr>
        <w:t>。</w:t>
      </w:r>
    </w:p>
    <w:p w14:paraId="2DB352E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14.2对于采用货币报价的项目，开标一览表中的投标总报价应与投标分项报价表中的投标总报价一致，如不一致，不作为无效投标处理，但评标时按开标一览表中价格为准。</w:t>
      </w:r>
    </w:p>
    <w:bookmarkEnd w:id="23"/>
    <w:bookmarkEnd w:id="24"/>
    <w:p w14:paraId="7170C593">
      <w:pPr>
        <w:keepNext w:val="0"/>
        <w:keepLines w:val="0"/>
        <w:pageBreakBefore w:val="0"/>
        <w:widowControl w:val="0"/>
        <w:spacing w:line="400" w:lineRule="exact"/>
        <w:ind w:left="0" w:right="0" w:firstLine="241"/>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15.投标保证金</w:t>
      </w:r>
    </w:p>
    <w:p w14:paraId="09914FB2">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15.1</w:t>
      </w:r>
      <w:r>
        <w:rPr>
          <w:rFonts w:hint="eastAsia" w:ascii="宋体" w:hAnsi="宋体" w:eastAsia="宋体" w:cs="宋体"/>
          <w:b/>
          <w:bCs/>
          <w:sz w:val="24"/>
          <w:szCs w:val="24"/>
          <w:highlight w:val="none"/>
          <w:lang w:val="en-US" w:eastAsia="zh-CN"/>
        </w:rPr>
        <w:t>本项目无需缴纳投标保证金</w:t>
      </w:r>
      <w:r>
        <w:rPr>
          <w:rFonts w:hint="eastAsia" w:ascii="宋体" w:hAnsi="宋体" w:eastAsia="宋体" w:cs="宋体"/>
          <w:sz w:val="24"/>
          <w:szCs w:val="24"/>
          <w:highlight w:val="none"/>
          <w:lang w:val="en-US" w:eastAsia="zh-CN"/>
        </w:rPr>
        <w:t>。</w:t>
      </w:r>
    </w:p>
    <w:p w14:paraId="207D49BB">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16.方案部分（如果本项目涉及的话）</w:t>
      </w:r>
    </w:p>
    <w:p w14:paraId="3FDF65F2">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16.1本项目评标标准中的方案部分</w:t>
      </w:r>
      <w:r>
        <w:rPr>
          <w:rFonts w:hint="eastAsia" w:ascii="宋体" w:hAnsi="宋体" w:eastAsia="宋体" w:cs="宋体"/>
          <w:bCs/>
          <w:sz w:val="24"/>
          <w:szCs w:val="24"/>
          <w:highlight w:val="none"/>
          <w:lang w:val="en-US" w:eastAsia="zh-CN"/>
        </w:rPr>
        <w:t>不</w:t>
      </w:r>
      <w:r>
        <w:rPr>
          <w:rFonts w:hint="eastAsia" w:ascii="宋体" w:hAnsi="宋体" w:eastAsia="宋体" w:cs="宋体"/>
          <w:bCs/>
          <w:sz w:val="24"/>
          <w:szCs w:val="24"/>
          <w:highlight w:val="none"/>
        </w:rPr>
        <w:t>采用暗标方式进行评审</w:t>
      </w:r>
    </w:p>
    <w:p w14:paraId="115A525C">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16.2</w:t>
      </w:r>
      <w:r>
        <w:rPr>
          <w:rFonts w:hint="eastAsia" w:ascii="宋体" w:hAnsi="宋体" w:eastAsia="宋体" w:cs="宋体"/>
          <w:bCs/>
          <w:sz w:val="24"/>
          <w:szCs w:val="24"/>
          <w:highlight w:val="none"/>
          <w:lang w:val="en-US" w:eastAsia="zh-CN"/>
        </w:rPr>
        <w:t>暗标</w:t>
      </w:r>
      <w:r>
        <w:rPr>
          <w:rFonts w:hint="eastAsia" w:ascii="宋体" w:hAnsi="宋体" w:eastAsia="宋体" w:cs="宋体"/>
          <w:bCs/>
          <w:sz w:val="24"/>
          <w:szCs w:val="24"/>
          <w:highlight w:val="none"/>
        </w:rPr>
        <w:t>编制要求</w:t>
      </w:r>
    </w:p>
    <w:p w14:paraId="39011D3E">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p>
    <w:p w14:paraId="6CB5AC2A">
      <w:pPr>
        <w:keepNext w:val="0"/>
        <w:keepLines w:val="0"/>
        <w:pageBreakBefore w:val="0"/>
        <w:widowControl w:val="0"/>
        <w:spacing w:line="400" w:lineRule="exact"/>
        <w:ind w:left="0" w:righ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16.3</w:t>
      </w:r>
      <w:r>
        <w:rPr>
          <w:rFonts w:hint="eastAsia" w:ascii="宋体" w:hAnsi="宋体" w:eastAsia="宋体" w:cs="宋体"/>
          <w:bCs/>
          <w:sz w:val="24"/>
          <w:szCs w:val="24"/>
          <w:highlight w:val="none"/>
          <w:lang w:val="en-US" w:eastAsia="zh-CN"/>
        </w:rPr>
        <w:t>方案部分采用暗标方式的，</w:t>
      </w: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lang w:val="en-US" w:eastAsia="zh-CN"/>
        </w:rPr>
        <w:t>则</w:t>
      </w:r>
      <w:r>
        <w:rPr>
          <w:rFonts w:hint="eastAsia" w:ascii="宋体" w:hAnsi="宋体" w:eastAsia="宋体" w:cs="宋体"/>
          <w:bCs/>
          <w:sz w:val="24"/>
          <w:szCs w:val="24"/>
          <w:highlight w:val="none"/>
        </w:rPr>
        <w:t>需按16.2的要求编制方案</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经三分之二评委认定，</w:t>
      </w: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rPr>
        <w:t>未按</w:t>
      </w:r>
      <w:r>
        <w:rPr>
          <w:rFonts w:hint="eastAsia" w:ascii="宋体" w:hAnsi="宋体" w:eastAsia="宋体" w:cs="宋体"/>
          <w:bCs/>
          <w:sz w:val="24"/>
          <w:szCs w:val="24"/>
          <w:highlight w:val="none"/>
          <w:lang w:val="en-US" w:eastAsia="zh-CN"/>
        </w:rPr>
        <w:t>16.2</w:t>
      </w:r>
      <w:r>
        <w:rPr>
          <w:rFonts w:hint="eastAsia" w:ascii="宋体" w:hAnsi="宋体" w:eastAsia="宋体" w:cs="宋体"/>
          <w:bCs/>
          <w:sz w:val="24"/>
          <w:szCs w:val="24"/>
          <w:highlight w:val="none"/>
        </w:rPr>
        <w:t>的要求编制方案的，按未提供方案处理。</w:t>
      </w:r>
    </w:p>
    <w:p w14:paraId="02F3C383">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17.</w:t>
      </w:r>
      <w:r>
        <w:rPr>
          <w:rFonts w:hint="eastAsia" w:ascii="宋体" w:hAnsi="宋体" w:eastAsia="宋体" w:cs="宋体"/>
          <w:b/>
          <w:bCs w:val="0"/>
          <w:sz w:val="24"/>
          <w:szCs w:val="24"/>
          <w:highlight w:val="none"/>
          <w:lang w:eastAsia="zh-CN"/>
        </w:rPr>
        <w:t>投标</w:t>
      </w:r>
      <w:r>
        <w:rPr>
          <w:rFonts w:hint="eastAsia" w:ascii="宋体" w:hAnsi="宋体" w:eastAsia="宋体" w:cs="宋体"/>
          <w:b/>
          <w:bCs w:val="0"/>
          <w:sz w:val="24"/>
          <w:szCs w:val="24"/>
          <w:highlight w:val="none"/>
        </w:rPr>
        <w:t>有效期</w:t>
      </w:r>
    </w:p>
    <w:p w14:paraId="45713DAA">
      <w:pPr>
        <w:keepNext w:val="0"/>
        <w:keepLines w:val="0"/>
        <w:pageBreakBefore w:val="0"/>
        <w:widowControl w:val="0"/>
        <w:spacing w:line="400" w:lineRule="exact"/>
        <w:ind w:left="0" w:right="0" w:firstLine="480"/>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rPr>
        <w:t>17.1</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有效期为从</w:t>
      </w:r>
      <w:r>
        <w:rPr>
          <w:rFonts w:hint="eastAsia" w:ascii="宋体" w:hAnsi="宋体" w:eastAsia="宋体" w:cs="宋体"/>
          <w:sz w:val="24"/>
          <w:szCs w:val="24"/>
          <w:highlight w:val="none"/>
          <w:lang w:val="en-US" w:eastAsia="zh-CN"/>
        </w:rPr>
        <w:t>开标</w:t>
      </w:r>
      <w:r>
        <w:rPr>
          <w:rFonts w:hint="eastAsia" w:ascii="宋体" w:hAnsi="宋体" w:eastAsia="宋体" w:cs="宋体"/>
          <w:sz w:val="24"/>
          <w:szCs w:val="24"/>
          <w:highlight w:val="none"/>
        </w:rPr>
        <w:t>之日起计算的</w:t>
      </w:r>
      <w:r>
        <w:rPr>
          <w:rFonts w:hint="eastAsia" w:ascii="宋体" w:hAnsi="宋体" w:eastAsia="宋体" w:cs="宋体"/>
          <w:b/>
          <w:bCs w:val="0"/>
          <w:sz w:val="24"/>
          <w:szCs w:val="24"/>
          <w:highlight w:val="none"/>
          <w:u w:val="single"/>
          <w:lang w:val="en-US" w:eastAsia="zh-CN"/>
        </w:rPr>
        <w:t>九</w:t>
      </w:r>
      <w:r>
        <w:rPr>
          <w:rFonts w:hint="eastAsia" w:ascii="宋体" w:hAnsi="宋体" w:eastAsia="宋体" w:cs="宋体"/>
          <w:b/>
          <w:bCs w:val="0"/>
          <w:sz w:val="24"/>
          <w:szCs w:val="24"/>
          <w:highlight w:val="none"/>
          <w:u w:val="single"/>
        </w:rPr>
        <w:t>十天</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有效期比规定短的将被视为</w:t>
      </w:r>
      <w:r>
        <w:rPr>
          <w:rFonts w:hint="eastAsia" w:ascii="宋体" w:hAnsi="宋体" w:eastAsia="宋体" w:cs="宋体"/>
          <w:color w:val="000000"/>
          <w:sz w:val="24"/>
          <w:szCs w:val="24"/>
          <w:highlight w:val="none"/>
          <w:lang w:val="zh-CN"/>
        </w:rPr>
        <w:t>非响应投标而予以拒绝。</w:t>
      </w:r>
    </w:p>
    <w:p w14:paraId="1E706545">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17.2</w:t>
      </w:r>
      <w:r>
        <w:rPr>
          <w:rFonts w:hint="eastAsia" w:ascii="宋体" w:hAnsi="宋体" w:eastAsia="宋体" w:cs="宋体"/>
          <w:sz w:val="24"/>
          <w:szCs w:val="24"/>
          <w:highlight w:val="none"/>
        </w:rPr>
        <w:t>在特殊情况下，采购人（代理机构）于原</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有效期满之前，可向</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提出延长</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有效期的要求，这种要求与答复均应采用书面形式。</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可以拒绝这一要求而放弃</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。同意延长的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既不能要求也不允许修改其响应文件，受</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有效期约束的所有权利与义务均延长至新的有效期。</w:t>
      </w:r>
    </w:p>
    <w:p w14:paraId="5F5B6419">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18.</w:t>
      </w:r>
      <w:r>
        <w:rPr>
          <w:rFonts w:hint="eastAsia" w:ascii="宋体" w:hAnsi="宋体" w:eastAsia="宋体" w:cs="宋体"/>
          <w:b/>
          <w:bCs w:val="0"/>
          <w:sz w:val="24"/>
          <w:szCs w:val="24"/>
          <w:highlight w:val="none"/>
          <w:lang w:val="en-US" w:eastAsia="zh-CN"/>
        </w:rPr>
        <w:t>投标</w:t>
      </w:r>
      <w:r>
        <w:rPr>
          <w:rFonts w:hint="eastAsia" w:ascii="宋体" w:hAnsi="宋体" w:eastAsia="宋体" w:cs="宋体"/>
          <w:b/>
          <w:bCs w:val="0"/>
          <w:sz w:val="24"/>
          <w:szCs w:val="24"/>
          <w:highlight w:val="none"/>
        </w:rPr>
        <w:t>文件的签署</w:t>
      </w:r>
    </w:p>
    <w:p w14:paraId="4940C7A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18.1投标文件应按招标文件要求进行电子签章。电子投标文件不得涂改、行间插字或删除，如果出现上述情况应重新编制。</w:t>
      </w:r>
    </w:p>
    <w:p w14:paraId="3D2171A1">
      <w:pPr>
        <w:keepNext w:val="0"/>
        <w:keepLines w:val="0"/>
        <w:pageBreakBefore w:val="0"/>
        <w:widowControl w:val="0"/>
        <w:spacing w:line="400" w:lineRule="exact"/>
        <w:ind w:right="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四、投标文件的递交</w:t>
      </w:r>
    </w:p>
    <w:p w14:paraId="6DC0E87C">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19.投标文件的递交</w:t>
      </w:r>
    </w:p>
    <w:p w14:paraId="2F22974D">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19.1</w:t>
      </w:r>
      <w:r>
        <w:rPr>
          <w:rFonts w:hint="eastAsia" w:ascii="宋体" w:hAnsi="宋体" w:eastAsia="宋体" w:cs="宋体"/>
          <w:sz w:val="24"/>
          <w:szCs w:val="24"/>
          <w:highlight w:val="none"/>
          <w:lang w:eastAsia="zh-CN"/>
        </w:rPr>
        <w:t>投标人应当按照《苏采云供应商操作手册》规定，在投标文件递交截止时间前制作并上传电子投标文件</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应</w:t>
      </w:r>
      <w:r>
        <w:rPr>
          <w:rFonts w:hint="eastAsia" w:ascii="宋体" w:hAnsi="宋体" w:eastAsia="宋体" w:cs="宋体"/>
          <w:sz w:val="24"/>
          <w:szCs w:val="24"/>
          <w:highlight w:val="none"/>
          <w:lang w:eastAsia="zh-CN"/>
        </w:rPr>
        <w:t>充分考虑</w:t>
      </w:r>
      <w:r>
        <w:rPr>
          <w:rFonts w:hint="eastAsia" w:ascii="宋体" w:hAnsi="宋体" w:eastAsia="宋体" w:cs="宋体"/>
          <w:sz w:val="24"/>
          <w:szCs w:val="24"/>
          <w:highlight w:val="none"/>
        </w:rPr>
        <w:t>网络环境、网络带宽等风险因素，如因</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自身原因造成的电子投标文件上传不</w:t>
      </w:r>
      <w:r>
        <w:rPr>
          <w:rFonts w:hint="eastAsia" w:ascii="宋体" w:hAnsi="宋体" w:eastAsia="宋体" w:cs="宋体"/>
          <w:sz w:val="24"/>
          <w:szCs w:val="24"/>
          <w:highlight w:val="none"/>
          <w:lang w:eastAsia="zh-CN"/>
        </w:rPr>
        <w:t>成功</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lang w:eastAsia="zh-CN"/>
        </w:rPr>
        <w:t>按照</w:t>
      </w:r>
      <w:r>
        <w:rPr>
          <w:rFonts w:hint="eastAsia" w:ascii="宋体" w:hAnsi="宋体" w:eastAsia="宋体" w:cs="宋体"/>
          <w:sz w:val="24"/>
          <w:szCs w:val="24"/>
          <w:highlight w:val="none"/>
        </w:rPr>
        <w:t>无效投标处理。</w:t>
      </w:r>
    </w:p>
    <w:p w14:paraId="6E5DE4D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19.2投标人上传的电子投标文件内容不清楚或不清晰的（含扫描件），造成无法评审或部分影响评审的，责任由投标人自负。</w:t>
      </w:r>
    </w:p>
    <w:p w14:paraId="3466C68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19.3投标人上传电子投标文件的时间不得迟于投标邀请中规定的投标文件递交截止时间。</w:t>
      </w:r>
    </w:p>
    <w:p w14:paraId="768B0E7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19.4采购人（代理机构）可以按第7条规定，通过修改招标文件有权酌情延长投标文件接收截止时间。在此情况下，投标人的所有权利和义务以及投标人受制约的截止日期均应以延长后的截止日期为准。</w:t>
      </w:r>
    </w:p>
    <w:p w14:paraId="3843E0F0">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19.5中标人在领取中标通知书之前，必须提供两份与电子投标文件一致的纸质打印投标文件。</w:t>
      </w:r>
    </w:p>
    <w:p w14:paraId="455777D6">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20.投标文件被拒绝接收的情形</w:t>
      </w:r>
    </w:p>
    <w:p w14:paraId="5423797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20.1在招标文件规定的投标截止时间后上传的电子投标文件。</w:t>
      </w:r>
    </w:p>
    <w:p w14:paraId="07DF2FDA">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21.投标文件的修改和撤回</w:t>
      </w:r>
    </w:p>
    <w:p w14:paraId="4D8B2775">
      <w:pPr>
        <w:keepNext w:val="0"/>
        <w:keepLines w:val="0"/>
        <w:pageBreakBefore w:val="0"/>
        <w:widowControl w:val="0"/>
        <w:spacing w:line="400" w:lineRule="exact"/>
        <w:ind w:left="0" w:right="0" w:firstLine="480"/>
        <w:jc w:val="left"/>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21.1</w:t>
      </w:r>
      <w:r>
        <w:rPr>
          <w:rFonts w:hint="eastAsia" w:ascii="宋体" w:hAnsi="宋体" w:eastAsia="宋体" w:cs="宋体"/>
          <w:sz w:val="24"/>
          <w:szCs w:val="24"/>
          <w:highlight w:val="none"/>
          <w:lang w:eastAsia="zh-CN"/>
        </w:rPr>
        <w:t>投标人在递交投标文件后可以对其修改或撤回，但这种修改和撤回，必须在规定的投标截止时间前。</w:t>
      </w:r>
    </w:p>
    <w:p w14:paraId="0CEC79D8">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21.2对于电子投标文件的修改，投标人可在投标截止时间前登录苏采云系统撤回电子投标文件，并上传新的投标文件。</w:t>
      </w:r>
    </w:p>
    <w:p w14:paraId="65714657">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21.3</w:t>
      </w:r>
      <w:r>
        <w:rPr>
          <w:rFonts w:hint="eastAsia" w:ascii="宋体" w:hAnsi="宋体" w:eastAsia="宋体" w:cs="宋体"/>
          <w:sz w:val="24"/>
          <w:szCs w:val="24"/>
          <w:highlight w:val="none"/>
          <w:lang w:eastAsia="zh-CN"/>
        </w:rPr>
        <w:t>投标人不得在投标截止时间以后修改投标文件</w:t>
      </w:r>
      <w:r>
        <w:rPr>
          <w:rFonts w:hint="eastAsia" w:ascii="宋体" w:hAnsi="宋体" w:eastAsia="宋体" w:cs="宋体"/>
          <w:sz w:val="24"/>
          <w:szCs w:val="24"/>
          <w:highlight w:val="none"/>
        </w:rPr>
        <w:t>。</w:t>
      </w:r>
    </w:p>
    <w:p w14:paraId="6CC08F18">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21.4</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不得在提交电子响应文件截止时间起至</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有效期满前撤回投标文件。</w:t>
      </w:r>
    </w:p>
    <w:p w14:paraId="4C800DD4">
      <w:pPr>
        <w:keepNext w:val="0"/>
        <w:keepLines w:val="0"/>
        <w:pageBreakBefore w:val="0"/>
        <w:widowControl w:val="0"/>
        <w:spacing w:line="400" w:lineRule="exact"/>
        <w:ind w:right="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五、开标及评标</w:t>
      </w:r>
    </w:p>
    <w:p w14:paraId="5CC9EE55">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bookmarkStart w:id="25" w:name="_Toc513029230"/>
      <w:bookmarkStart w:id="26" w:name="_Toc20823302"/>
      <w:bookmarkStart w:id="27" w:name="_Toc16938546"/>
      <w:r>
        <w:rPr>
          <w:rFonts w:hint="eastAsia" w:ascii="宋体" w:hAnsi="宋体" w:eastAsia="宋体" w:cs="宋体"/>
          <w:b/>
          <w:bCs w:val="0"/>
          <w:sz w:val="24"/>
          <w:szCs w:val="24"/>
          <w:highlight w:val="none"/>
        </w:rPr>
        <w:t>2</w:t>
      </w:r>
      <w:bookmarkEnd w:id="25"/>
      <w:bookmarkEnd w:id="26"/>
      <w:bookmarkEnd w:id="27"/>
      <w:r>
        <w:rPr>
          <w:rFonts w:hint="eastAsia" w:ascii="宋体" w:hAnsi="宋体" w:eastAsia="宋体" w:cs="宋体"/>
          <w:b/>
          <w:bCs w:val="0"/>
          <w:sz w:val="24"/>
          <w:szCs w:val="24"/>
          <w:highlight w:val="none"/>
        </w:rPr>
        <w:t>2.开标</w:t>
      </w:r>
    </w:p>
    <w:p w14:paraId="6B0AE99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22.1本项目采用“全流程电子化交易”模式，通过“苏采云”系统及相应的配套硬件设备（摄像头、话筒、麦克风等）完成远程解密、公布报价、澄清等交互环节。投标人应当按照《操作手册》规定，参加开标活动和在苏采云系统规定的时间内对投标文件进行解密。</w:t>
      </w:r>
    </w:p>
    <w:p w14:paraId="6596CF7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22.2开标程序</w:t>
      </w:r>
    </w:p>
    <w:p w14:paraId="27712EAD">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（1）采购人或代理机构将在投标邀请中规定的时间和地点组织采购开始仪式。投标人应当按照《苏采云供应商操作手册》规定，参加开标活动。</w:t>
      </w:r>
    </w:p>
    <w:p w14:paraId="790FF251">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（2）投标人在开标过程中涉及到的投标文件解密、唱标确认等工作，应按照《苏采云供应商操作手册》规定执行。</w:t>
      </w:r>
    </w:p>
    <w:p w14:paraId="4B45809F">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（3）开标一览表内容与投标报价表内容不一致的，一律以开标一览表内容为准。</w:t>
      </w:r>
    </w:p>
    <w:p w14:paraId="06067F85">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（4）投标文件提交截止时间结束后参加的投标人不足三家情况的，除采购任务取消情形外，按财政部令第74号第二十七条条款进行处理。</w:t>
      </w:r>
    </w:p>
    <w:p w14:paraId="7869F29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（5）投标人如果对开标过程和开标记录有疑义，应当根据《苏采云供应商操作手册》规定提出，如苏采云系统中《开标记录表》宣布后5分钟内未提出的，视同认可开标结果。</w:t>
      </w:r>
    </w:p>
    <w:p w14:paraId="0BA7787D">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23.</w:t>
      </w:r>
      <w:r>
        <w:rPr>
          <w:rFonts w:hint="eastAsia" w:ascii="宋体" w:hAnsi="宋体" w:eastAsia="宋体" w:cs="宋体"/>
          <w:b/>
          <w:bCs w:val="0"/>
          <w:sz w:val="24"/>
          <w:szCs w:val="24"/>
          <w:highlight w:val="none"/>
          <w:lang w:eastAsia="zh-CN"/>
        </w:rPr>
        <w:t>评标</w:t>
      </w:r>
    </w:p>
    <w:p w14:paraId="2BA8EBD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.1评标组织</w:t>
      </w:r>
    </w:p>
    <w:p w14:paraId="40AF54FD">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.1.1评标工作由</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（代理机构）负责组织，具体评标事务由依法组建的评标委员会负责，并独立履行下列职责：</w:t>
      </w:r>
    </w:p>
    <w:p w14:paraId="1978D7E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（1）审查、评价投标文件是否符合招标文件的商务、技术等实质性要求；</w:t>
      </w:r>
    </w:p>
    <w:p w14:paraId="59E9977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（2）要求投标人对投标文件有关事项作出澄清或者说明；</w:t>
      </w:r>
    </w:p>
    <w:p w14:paraId="7CC3FE3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（3）对投标文件进行比较和评价；</w:t>
      </w:r>
    </w:p>
    <w:p w14:paraId="3AA59A25">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（4）确定中标候选人名单，根据</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委托协议直接确定中标人；</w:t>
      </w:r>
    </w:p>
    <w:p w14:paraId="613CE54F">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（5）向</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、财政部门报告评标中发现的违法行为。</w:t>
      </w:r>
    </w:p>
    <w:p w14:paraId="58984EE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.1.2评标委员会由</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代表和有关技术、经济等方面的专家组成，独立开展评审工作。</w:t>
      </w:r>
    </w:p>
    <w:p w14:paraId="68154B2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.2评标程序</w:t>
      </w:r>
    </w:p>
    <w:p w14:paraId="7AB0F43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.2.1投标文件的资格审查。</w:t>
      </w:r>
    </w:p>
    <w:p w14:paraId="4D41714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.2.1.1</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或采购代理机构将依法根据招标文件对投标人的资格进行审查。</w:t>
      </w:r>
    </w:p>
    <w:p w14:paraId="2E4A551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.2.1.2资格性审查：依据法律法规和招标文件的规定，对投标文件中的资格证明文件、投标保证金等进行审查，以确定投标人是否具备投标资格。</w:t>
      </w:r>
    </w:p>
    <w:p w14:paraId="3BA7845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p>
    <w:p w14:paraId="2AC3E33D">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.2.1.4投标文件有下列情况之一的，在资格性审查时按照无效投标处理：</w:t>
      </w:r>
    </w:p>
    <w:p w14:paraId="77A399B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（1）不具备招标文件中规定的资格要求的；</w:t>
      </w:r>
    </w:p>
    <w:p w14:paraId="19AF2BC7">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（2）投标人被“信用中国”网站列入失信被执行人或重大税收违法案件当事人名单或政府采购严重失信行为记录名单。</w:t>
      </w:r>
    </w:p>
    <w:p w14:paraId="4C8CD66F">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.2.2投标文件的符合性审查</w:t>
      </w:r>
    </w:p>
    <w:p w14:paraId="2FCDB04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.2.2.1评标委员会将依据法律法规和招标文件的规定，对投标文件的有效性、完整性和对招标文件的响应程度进行审查，以确定是否对招标文件的实质性要求作出响应。</w:t>
      </w:r>
    </w:p>
    <w:p w14:paraId="358437E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.2.2.2实质性要求是指本招标文件中用带星号（“★”）的商务和技术要求。</w:t>
      </w:r>
    </w:p>
    <w:p w14:paraId="6EEB8DFA">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.2.2.3如果投标文件实质上没有响应招标文件的要求，评标委员会将予以拒绝，投标人不得通过修改或撤销不符合要求的偏离或保留而使其投标成为实质性响应的投标。</w:t>
      </w:r>
    </w:p>
    <w:p w14:paraId="2D71868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.2.2.4评标委员会将对确定为实质性响应的投标进行进一步审核，看其是否有计算上或累加上的算术错误，修正错误的原则如下：</w:t>
      </w:r>
    </w:p>
    <w:p w14:paraId="2ACBB971">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（1）投标文件中开标一览表（报价表）内容与投标文件中相应内容不一致的，以开标一览表（报价表）为准。</w:t>
      </w:r>
    </w:p>
    <w:p w14:paraId="1516E0A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（2）大写金额和小写金额不一致的，以大写金额为准。</w:t>
      </w:r>
    </w:p>
    <w:p w14:paraId="5E1E66D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（3）单价金额小数点或者百分比有明显错位的，以开标一览表的总价为准，并修改单价。</w:t>
      </w:r>
    </w:p>
    <w:p w14:paraId="14FC9AD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（4）总价金额与按单价汇总金额不一致的，以单价金额计算结果为准。</w:t>
      </w:r>
    </w:p>
    <w:p w14:paraId="606D2E5D">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同时出现两种以上错误的，按照前款规定的顺序修正。</w:t>
      </w:r>
    </w:p>
    <w:p w14:paraId="7B03075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.2.2.5评标委员会将按上述修正错误的方法调整投标文件中的投标报价，调整后的价格</w:t>
      </w:r>
      <w:r>
        <w:rPr>
          <w:rFonts w:hint="eastAsia" w:ascii="宋体" w:hAnsi="宋体" w:eastAsia="宋体" w:cs="宋体"/>
          <w:sz w:val="24"/>
          <w:szCs w:val="24"/>
          <w:highlight w:val="none"/>
          <w:lang w:eastAsia="zh-CN"/>
        </w:rPr>
        <w:t>对</w:t>
      </w:r>
      <w:r>
        <w:rPr>
          <w:rFonts w:hint="eastAsia" w:ascii="宋体" w:hAnsi="宋体" w:eastAsia="宋体" w:cs="宋体"/>
          <w:sz w:val="24"/>
          <w:szCs w:val="24"/>
          <w:highlight w:val="none"/>
        </w:rPr>
        <w:t>投标人具有约束力。如果投标人不确认签字，其投标无效。</w:t>
      </w:r>
    </w:p>
    <w:p w14:paraId="079A0AF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.2.2.6对投标文件中含义不明确、同类问题表述不一致或者明显文字错误的内容，评标委员会可以要求投标人作出必要的澄清、说明或者补正。（在视频交流时，评标委员会首先会核实授权委托人或</w:t>
      </w:r>
      <w:r>
        <w:rPr>
          <w:rFonts w:hint="eastAsia" w:ascii="宋体" w:hAnsi="宋体" w:eastAsia="宋体" w:cs="宋体"/>
          <w:sz w:val="24"/>
          <w:szCs w:val="24"/>
          <w:highlight w:val="none"/>
          <w:lang w:eastAsia="zh-CN"/>
        </w:rPr>
        <w:t>法定代表人</w:t>
      </w:r>
      <w:r>
        <w:rPr>
          <w:rFonts w:hint="eastAsia" w:ascii="宋体" w:hAnsi="宋体" w:eastAsia="宋体" w:cs="宋体"/>
          <w:sz w:val="24"/>
          <w:szCs w:val="24"/>
          <w:highlight w:val="none"/>
        </w:rPr>
        <w:t>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p>
    <w:p w14:paraId="10C748BF">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.2.2.7接到评标委员会澄清要求的投标人如未按第</w:t>
      </w: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.2.2.6条的规定做出澄清，将视为放弃该权利。</w:t>
      </w:r>
    </w:p>
    <w:p w14:paraId="48F6F57A">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2.2.8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0ACC1D3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p>
    <w:p w14:paraId="2B349D8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非单一产品采购项目，招标文件中将载明其中的核心产品，多家投标人提供的核心产品均为同一品牌相同的，按前两款规定处理。</w:t>
      </w:r>
    </w:p>
    <w:p w14:paraId="7914F78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.2.2.9投标文件有下列情况之一的，在符合性审查时按照无效投标处理：</w:t>
      </w:r>
    </w:p>
    <w:p w14:paraId="6F5FF1E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（1）投标人未按照招标文件要求上传电子响应文件的。</w:t>
      </w:r>
    </w:p>
    <w:p w14:paraId="4AADEE0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（2）投标人在苏采云系统规定的时间内未成功解密电子投标文件的。</w:t>
      </w:r>
    </w:p>
    <w:p w14:paraId="7DBBBF32">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（3）同一投标人提交两个（含两个）以上不同的投标报价的。</w:t>
      </w:r>
    </w:p>
    <w:p w14:paraId="06D05EFF">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（4）投标人不具备采购文件中规</w:t>
      </w:r>
      <w:r>
        <w:rPr>
          <w:rFonts w:hint="eastAsia" w:ascii="宋体" w:hAnsi="宋体" w:eastAsia="宋体" w:cs="宋体"/>
          <w:sz w:val="24"/>
          <w:szCs w:val="24"/>
          <w:highlight w:val="none"/>
          <w:lang w:eastAsia="zh-CN"/>
        </w:rPr>
        <w:t>定的</w:t>
      </w:r>
      <w:r>
        <w:rPr>
          <w:rFonts w:hint="eastAsia" w:ascii="宋体" w:hAnsi="宋体" w:eastAsia="宋体" w:cs="宋体"/>
          <w:sz w:val="24"/>
          <w:szCs w:val="24"/>
          <w:highlight w:val="none"/>
        </w:rPr>
        <w:t>资格要求的。</w:t>
      </w:r>
    </w:p>
    <w:p w14:paraId="648BA3C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（5）投标人的报价超过了采购预算或最高限价的。</w:t>
      </w:r>
    </w:p>
    <w:p w14:paraId="2B58D998">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（6）未通过符合性审查的。</w:t>
      </w:r>
    </w:p>
    <w:p w14:paraId="2665F10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（7）不符合招标文件中规定的其他实质性要求和条件的（实质性要求和条件是指本招标文件中用带星号（“★”）的商务和技术要求）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如有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0A981D7F">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（8）投标人被 “信用中国”网站、“中国政府采购网”网站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p>
    <w:p w14:paraId="14EDBD0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（9）投标文件含有</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不能接受的附加条件的。</w:t>
      </w:r>
    </w:p>
    <w:p w14:paraId="7DB65F48">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10）本项目采购产品被财政部、国家发改委、生态环境部等列入“节能产品品目清单”、“环境标志产品品目清单”强制采购范围，而投标人所投标产品不在强制采购范围内的。（投标产品如属于政府强制采购节能产品品目清单范围内，</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响应文件中必须提供国家确定的认证机构出具的、处于有效期之内的该节能产品认证证书图片）</w:t>
      </w:r>
      <w:r>
        <w:rPr>
          <w:rFonts w:hint="eastAsia" w:ascii="宋体" w:hAnsi="宋体" w:eastAsia="宋体" w:cs="宋体"/>
          <w:b/>
          <w:bCs/>
          <w:sz w:val="24"/>
          <w:szCs w:val="24"/>
          <w:highlight w:val="none"/>
        </w:rPr>
        <w:t>（本项目不涉及）</w:t>
      </w:r>
    </w:p>
    <w:p w14:paraId="28BBF38D">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（11）投标文件未按照招标文件要求加盖电子签章或电子签字的。</w:t>
      </w:r>
    </w:p>
    <w:p w14:paraId="42E31A3F">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（12）经查实提供虚假材料谋取成交的。</w:t>
      </w:r>
    </w:p>
    <w:p w14:paraId="2714F851">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（13）评标委员会认为</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的报价明显低于其他通过符合性审查的投标人的报价，有可能影响产品质量或者不能诚信履约的，未在合理的时间内提供书面说明或相关证明材料，不能证明其报价合理的。</w:t>
      </w:r>
    </w:p>
    <w:p w14:paraId="7937BCF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14）投标人的报价属于《关于推动解决政府采购异常低价问题相关工作的通知》（苏财购〔2025〕62号）异常低价情形的，投标人不提供书面说明、证明材料，或者提供的书面说明、证明材料不能证明其报价合理性的。</w:t>
      </w:r>
    </w:p>
    <w:p w14:paraId="130D6CA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）其他法律、法规及本招标文件规定的无效响应的情形。</w:t>
      </w:r>
    </w:p>
    <w:p w14:paraId="0114BA17">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在评标期间，出现符合专业条件的投标人或者对招标文件作出实质性响应的投标人不足三家情形的，按政府采购相关规定执行。</w:t>
      </w:r>
    </w:p>
    <w:p w14:paraId="556D5EE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23</w:t>
      </w:r>
      <w:r>
        <w:rPr>
          <w:rFonts w:hint="eastAsia" w:ascii="宋体" w:hAnsi="宋体" w:eastAsia="宋体" w:cs="宋体"/>
          <w:sz w:val="24"/>
          <w:szCs w:val="24"/>
          <w:highlight w:val="none"/>
        </w:rPr>
        <w:t>.2.2.10有下列情形之一的予以废标，同时将废标理由通知所有投标人：</w:t>
      </w:r>
    </w:p>
    <w:p w14:paraId="41C494B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（1）符合专业条件的投标人或者对招标文件作实质性响应的投标人不足三家的；</w:t>
      </w:r>
    </w:p>
    <w:p w14:paraId="27D4B6AA">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（2）出现影响采购公正的违法、违规行为的；</w:t>
      </w:r>
    </w:p>
    <w:p w14:paraId="596C50C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（3）投标人的报价均超过了采购预算或最高限价的，</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不能支付的；</w:t>
      </w:r>
    </w:p>
    <w:p w14:paraId="62E61211">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（4）因重大变故，采购任务取消的；</w:t>
      </w:r>
    </w:p>
    <w:p w14:paraId="66402DA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（5）招标文件存在歧义、重大缺陷，或者招标文件内容违反国家有关强制性规定的。</w:t>
      </w:r>
    </w:p>
    <w:p w14:paraId="0F7B4D4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（6）因苏采云</w:t>
      </w:r>
      <w:r>
        <w:rPr>
          <w:rFonts w:hint="eastAsia" w:ascii="宋体" w:hAnsi="宋体" w:eastAsia="宋体" w:cs="宋体"/>
          <w:sz w:val="24"/>
          <w:szCs w:val="24"/>
          <w:highlight w:val="none"/>
          <w:lang w:eastAsia="zh-CN"/>
        </w:rPr>
        <w:t>系统故障</w:t>
      </w:r>
      <w:r>
        <w:rPr>
          <w:rFonts w:hint="eastAsia" w:ascii="宋体" w:hAnsi="宋体" w:eastAsia="宋体" w:cs="宋体"/>
          <w:sz w:val="24"/>
          <w:szCs w:val="24"/>
          <w:highlight w:val="none"/>
        </w:rPr>
        <w:t>原因造成开标不成功的。</w:t>
      </w:r>
    </w:p>
    <w:p w14:paraId="265D2161">
      <w:pPr>
        <w:pageBreakBefore w:val="0"/>
        <w:widowControl w:val="0"/>
        <w:spacing w:beforeAutospacing="0" w:line="480" w:lineRule="exact"/>
        <w:ind w:left="0" w:right="0" w:firstLine="482"/>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23.3异常低价投标审查</w:t>
      </w:r>
    </w:p>
    <w:p w14:paraId="13416F25">
      <w:pPr>
        <w:pageBreakBefore w:val="0"/>
        <w:widowControl w:val="0"/>
        <w:spacing w:beforeAutospacing="0" w:line="480" w:lineRule="exact"/>
        <w:ind w:left="0" w:right="0" w:firstLine="482"/>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23.3.1评标过程中出现下列情形之一的，评委会应当启动异常低价投标审查程序：</w:t>
      </w:r>
    </w:p>
    <w:p w14:paraId="2427BE89">
      <w:pPr>
        <w:pageBreakBefore w:val="0"/>
        <w:widowControl w:val="0"/>
        <w:spacing w:beforeAutospacing="0" w:line="480" w:lineRule="exact"/>
        <w:ind w:left="0" w:right="0" w:firstLine="482"/>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（1）投标报价低于采购项目预算50%的，即投标报价＜采购项目预算×50%；</w:t>
      </w:r>
    </w:p>
    <w:p w14:paraId="1F211689">
      <w:pPr>
        <w:pageBreakBefore w:val="0"/>
        <w:widowControl w:val="0"/>
        <w:spacing w:beforeAutospacing="0" w:line="480" w:lineRule="exact"/>
        <w:ind w:left="0" w:right="0" w:firstLine="482"/>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（2）投标报价低于采购项目最高限价45%的，即投标报价＜采购项目最高限价×45%；</w:t>
      </w:r>
    </w:p>
    <w:p w14:paraId="542ED447">
      <w:pPr>
        <w:pageBreakBefore w:val="0"/>
        <w:widowControl w:val="0"/>
        <w:spacing w:beforeAutospacing="0" w:line="480" w:lineRule="exact"/>
        <w:ind w:left="0" w:right="0" w:firstLine="482"/>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（3）评委会认定的投标人报价过低（含明显低于其他通过符合性审查投标人的报价），有可能影响产品质量或者不能诚信履约的其他情形。</w:t>
      </w:r>
    </w:p>
    <w:p w14:paraId="17E3E4CD">
      <w:pPr>
        <w:pageBreakBefore w:val="0"/>
        <w:widowControl w:val="0"/>
        <w:spacing w:beforeAutospacing="0" w:line="480" w:lineRule="exact"/>
        <w:ind w:left="0" w:right="0" w:firstLine="482"/>
        <w:rPr>
          <w:rFonts w:hint="eastAsia"/>
          <w:b w:val="0"/>
          <w:bCs/>
        </w:rPr>
      </w:pPr>
      <w:r>
        <w:rPr>
          <w:rFonts w:hint="eastAsia" w:ascii="宋体" w:hAnsi="宋体"/>
          <w:b w:val="0"/>
          <w:bCs/>
          <w:color w:val="000000"/>
          <w:sz w:val="24"/>
          <w:highlight w:val="none"/>
          <w:lang w:val="en-US" w:eastAsia="zh-CN"/>
        </w:rPr>
        <w:t>23.3.2启动异常低价投标审查后，评委会应当要求相关投标人在评标现场合理的时间内，提供项目具体成本测算等与报价合理性相关的书面说明材料及相关证明材料，对投标价格作出解释，由评委会结合同类产品在主要电商平台的价格、该行业当地薪资水平等情况，依据专业经验对投标人报价合理性进行判断。投标人不提供书面说明、证明材料，或者提供的书面说明、证明材料不能证明其报价合理性的，评委会应当将其作为无效投标处理。审查相关情况应当在评标报告中进行记录。</w:t>
      </w:r>
    </w:p>
    <w:p w14:paraId="6CC2333F">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24.</w:t>
      </w:r>
      <w:r>
        <w:rPr>
          <w:rFonts w:hint="eastAsia" w:ascii="宋体" w:hAnsi="宋体" w:eastAsia="宋体" w:cs="宋体"/>
          <w:b/>
          <w:bCs w:val="0"/>
          <w:sz w:val="24"/>
          <w:szCs w:val="24"/>
          <w:highlight w:val="none"/>
        </w:rPr>
        <w:t>评审及中标</w:t>
      </w:r>
    </w:p>
    <w:p w14:paraId="6E26017A">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.1评标委员会将对通过资格性审查和符合性审查的投标文件进行评价和比较。</w:t>
      </w:r>
    </w:p>
    <w:p w14:paraId="62610902">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.2评标委员会按招标文件第三章中公布的评标标准对每份合格投标文件进行评审，确定中标投标人，任何单项因素的最优不能作为中标的保证。</w:t>
      </w:r>
    </w:p>
    <w:p w14:paraId="60C29C71">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w:t>
      </w:r>
      <w:r>
        <w:rPr>
          <w:rFonts w:hint="eastAsia" w:ascii="宋体" w:hAnsi="宋体" w:eastAsia="宋体" w:cs="宋体"/>
          <w:b/>
          <w:bCs w:val="0"/>
          <w:sz w:val="24"/>
          <w:szCs w:val="24"/>
          <w:highlight w:val="none"/>
          <w:lang w:val="en-US" w:eastAsia="zh-CN"/>
        </w:rPr>
        <w:t>5</w:t>
      </w:r>
      <w:r>
        <w:rPr>
          <w:rFonts w:hint="eastAsia" w:ascii="宋体" w:hAnsi="宋体" w:eastAsia="宋体" w:cs="宋体"/>
          <w:b/>
          <w:bCs w:val="0"/>
          <w:sz w:val="24"/>
          <w:szCs w:val="24"/>
          <w:highlight w:val="none"/>
        </w:rPr>
        <w:t>.评审过程的保密</w:t>
      </w:r>
    </w:p>
    <w:p w14:paraId="7A8D9C9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bookmarkStart w:id="28" w:name="_Toc513029232"/>
      <w:bookmarkStart w:id="29" w:name="_Toc16938548"/>
      <w:bookmarkStart w:id="30" w:name="_Toc20823304"/>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.1在宣布中标结果之前，凡属于审查、澄清、评价、比较投标文件和中标意向等有关信息，相关当事人均不得泄露给任何投标人或与评审工作无关的人员。</w:t>
      </w:r>
    </w:p>
    <w:p w14:paraId="23A8F2C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（代理机构）和评审委员会不向未中标的投标人解释未中标原因，也不公布评审过程中的相关细节。</w:t>
      </w:r>
    </w:p>
    <w:p w14:paraId="2D08C8B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.3评标委员会名单在开标前确定，并在招标结果确定前保密。</w:t>
      </w:r>
    </w:p>
    <w:bookmarkEnd w:id="28"/>
    <w:bookmarkEnd w:id="29"/>
    <w:bookmarkEnd w:id="30"/>
    <w:p w14:paraId="5F689A2B">
      <w:pPr>
        <w:keepNext w:val="0"/>
        <w:keepLines w:val="0"/>
        <w:pageBreakBefore w:val="0"/>
        <w:widowControl w:val="0"/>
        <w:numPr>
          <w:ilvl w:val="0"/>
          <w:numId w:val="0"/>
        </w:numPr>
        <w:spacing w:line="400" w:lineRule="exact"/>
        <w:ind w:right="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六、</w:t>
      </w:r>
      <w:r>
        <w:rPr>
          <w:rFonts w:hint="eastAsia" w:ascii="宋体" w:hAnsi="宋体" w:eastAsia="宋体" w:cs="宋体"/>
          <w:b/>
          <w:bCs/>
          <w:sz w:val="24"/>
          <w:szCs w:val="24"/>
          <w:highlight w:val="none"/>
        </w:rPr>
        <w:t>定标及合同签订</w:t>
      </w:r>
    </w:p>
    <w:p w14:paraId="1ACAC3E8">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w:t>
      </w:r>
      <w:r>
        <w:rPr>
          <w:rFonts w:hint="eastAsia" w:ascii="宋体" w:hAnsi="宋体" w:eastAsia="宋体" w:cs="宋体"/>
          <w:b/>
          <w:bCs w:val="0"/>
          <w:sz w:val="24"/>
          <w:szCs w:val="24"/>
          <w:highlight w:val="none"/>
          <w:lang w:val="en-US" w:eastAsia="zh-CN"/>
        </w:rPr>
        <w:t>6</w:t>
      </w:r>
      <w:r>
        <w:rPr>
          <w:rFonts w:hint="eastAsia" w:ascii="宋体" w:hAnsi="宋体" w:eastAsia="宋体" w:cs="宋体"/>
          <w:b/>
          <w:bCs w:val="0"/>
          <w:sz w:val="24"/>
          <w:szCs w:val="24"/>
          <w:highlight w:val="none"/>
        </w:rPr>
        <w:t>.确定中标投标人</w:t>
      </w:r>
    </w:p>
    <w:p w14:paraId="30397442">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.1中标候选人的选取原则和数量见招标文件第三章规定。</w:t>
      </w:r>
    </w:p>
    <w:p w14:paraId="7E99107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应根据评标委员会推荐的中标候选人确认中标人。</w:t>
      </w:r>
    </w:p>
    <w:p w14:paraId="0A996125">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（代理机构）将在淮安市政府采购网发布中标结果公告，公告期限为1个工作日。</w:t>
      </w:r>
    </w:p>
    <w:p w14:paraId="4163F1D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.4若有充分证据证明，中标人出现下列情况之一的，一经查实，将被取消中标资格：</w:t>
      </w:r>
    </w:p>
    <w:p w14:paraId="36E224E0">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.4.1提供虚假材料谋取中标的。</w:t>
      </w:r>
    </w:p>
    <w:p w14:paraId="23E8E520">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.4.2向采购人、采购中心行贿或者提供其他不正当利益的。</w:t>
      </w:r>
    </w:p>
    <w:p w14:paraId="44957D0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.4.3属于本文件规定的无效条件，但在评标过程中又未被评委会发现的。</w:t>
      </w:r>
    </w:p>
    <w:p w14:paraId="19F8189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.4.4与采购人或者其他</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恶意串通的。</w:t>
      </w:r>
    </w:p>
    <w:p w14:paraId="58457F1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.4.5采取不正当手段诋毁、排挤其他</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w:t>
      </w:r>
    </w:p>
    <w:p w14:paraId="046F5CC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.5有下列情形之一的，视为投标人串通投标，投标无效：</w:t>
      </w:r>
    </w:p>
    <w:p w14:paraId="65D10C3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.5.1不同投标人的投标文件由同一单位或者个人编制；</w:t>
      </w:r>
    </w:p>
    <w:p w14:paraId="422DCFC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.5.2不同投标人委托同一单位或者个人办理投标事宜；</w:t>
      </w:r>
    </w:p>
    <w:p w14:paraId="229B7E2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.5.3 不同投标人的投标文件载明的项目管理成员或者联系人员为同一人；</w:t>
      </w:r>
    </w:p>
    <w:p w14:paraId="4280BE0F">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26</w:t>
      </w:r>
      <w:r>
        <w:rPr>
          <w:rFonts w:hint="eastAsia" w:ascii="宋体" w:hAnsi="宋体" w:eastAsia="宋体" w:cs="宋体"/>
          <w:sz w:val="24"/>
          <w:szCs w:val="24"/>
          <w:highlight w:val="none"/>
        </w:rPr>
        <w:t>.5.4不同投标人的投标文件异常一致或者投标报价呈规律性差异。</w:t>
      </w:r>
    </w:p>
    <w:p w14:paraId="2CC67B55">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27</w:t>
      </w:r>
      <w:r>
        <w:rPr>
          <w:rFonts w:hint="eastAsia" w:ascii="宋体" w:hAnsi="宋体" w:eastAsia="宋体" w:cs="宋体"/>
          <w:b/>
          <w:bCs w:val="0"/>
          <w:sz w:val="24"/>
          <w:szCs w:val="24"/>
          <w:highlight w:val="none"/>
        </w:rPr>
        <w:t>.</w:t>
      </w:r>
      <w:r>
        <w:rPr>
          <w:rFonts w:hint="eastAsia" w:ascii="宋体" w:hAnsi="宋体" w:eastAsia="宋体" w:cs="宋体"/>
          <w:b/>
          <w:bCs w:val="0"/>
          <w:sz w:val="24"/>
          <w:szCs w:val="24"/>
          <w:highlight w:val="none"/>
          <w:lang w:val="en-US" w:eastAsia="zh-CN"/>
        </w:rPr>
        <w:t>中标通知书</w:t>
      </w:r>
    </w:p>
    <w:p w14:paraId="0BAFACE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.1在公告中标结果的同时，</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（代理机构）将向中标人发出中标通知书。</w:t>
      </w:r>
    </w:p>
    <w:p w14:paraId="6903144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.2中标人在接到</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（代理机构）通知后五个工作日内必须到</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（代理机构）处领取中标通知书并办理相关交费手续，逾期未办理</w:t>
      </w:r>
      <w:r>
        <w:rPr>
          <w:rFonts w:hint="eastAsia" w:ascii="宋体" w:hAnsi="宋体" w:eastAsia="宋体" w:cs="宋体"/>
          <w:sz w:val="24"/>
          <w:szCs w:val="24"/>
          <w:highlight w:val="none"/>
          <w:lang w:eastAsia="zh-CN"/>
        </w:rPr>
        <w:t>作为</w:t>
      </w:r>
      <w:r>
        <w:rPr>
          <w:rFonts w:hint="eastAsia" w:ascii="宋体" w:hAnsi="宋体" w:eastAsia="宋体" w:cs="宋体"/>
          <w:sz w:val="24"/>
          <w:szCs w:val="24"/>
          <w:highlight w:val="none"/>
        </w:rPr>
        <w:t>自动放弃处理。中标投标人在领取中标通知书的同时必须递交与电子投标文件一致的纸质投标文件（印章齐全）正本一份，副本一份。</w:t>
      </w:r>
    </w:p>
    <w:p w14:paraId="395C266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.3中标通知书将是合同的一个组成部分。</w:t>
      </w:r>
    </w:p>
    <w:p w14:paraId="23661BA3">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28</w:t>
      </w:r>
      <w:r>
        <w:rPr>
          <w:rFonts w:hint="eastAsia" w:ascii="宋体" w:hAnsi="宋体" w:eastAsia="宋体" w:cs="宋体"/>
          <w:b/>
          <w:bCs w:val="0"/>
          <w:sz w:val="24"/>
          <w:szCs w:val="24"/>
          <w:highlight w:val="none"/>
        </w:rPr>
        <w:t>.签订合同</w:t>
      </w:r>
    </w:p>
    <w:p w14:paraId="3E0046D5">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28</w:t>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与中标人应在中标通知书发出之日起三十日内签订政府采购合同。招标文件、中标人的投标文件及澄清文件等均为签订合同依据。</w:t>
      </w:r>
    </w:p>
    <w:p w14:paraId="346831E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28</w:t>
      </w:r>
      <w:r>
        <w:rPr>
          <w:rFonts w:hint="eastAsia" w:ascii="宋体" w:hAnsi="宋体" w:eastAsia="宋体" w:cs="宋体"/>
          <w:sz w:val="24"/>
          <w:szCs w:val="24"/>
          <w:highlight w:val="none"/>
        </w:rPr>
        <w:t>.2中标人自中标通知书发出之日起三十日内无正当理由不与</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签订合同，将按财政部第87号令相关规定进行处理。</w:t>
      </w:r>
    </w:p>
    <w:p w14:paraId="2433D3F7">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29</w:t>
      </w:r>
      <w:r>
        <w:rPr>
          <w:rFonts w:hint="eastAsia" w:ascii="宋体" w:hAnsi="宋体" w:eastAsia="宋体" w:cs="宋体"/>
          <w:b/>
          <w:bCs w:val="0"/>
          <w:sz w:val="24"/>
          <w:szCs w:val="24"/>
          <w:highlight w:val="none"/>
        </w:rPr>
        <w:t>.货物和服务的减少</w:t>
      </w:r>
    </w:p>
    <w:p w14:paraId="3C71968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.1采购结束后，采购人若由于各种客观原因，必须对采购项目所牵涉的货物和服务进行</w:t>
      </w:r>
      <w:r>
        <w:rPr>
          <w:rFonts w:hint="eastAsia" w:ascii="宋体" w:hAnsi="宋体" w:eastAsia="宋体" w:cs="宋体"/>
          <w:sz w:val="24"/>
          <w:szCs w:val="24"/>
          <w:highlight w:val="none"/>
          <w:lang w:eastAsia="zh-CN"/>
        </w:rPr>
        <w:t>适当地减少</w:t>
      </w:r>
      <w:r>
        <w:rPr>
          <w:rFonts w:hint="eastAsia" w:ascii="宋体" w:hAnsi="宋体" w:eastAsia="宋体" w:cs="宋体"/>
          <w:sz w:val="24"/>
          <w:szCs w:val="24"/>
          <w:highlight w:val="none"/>
        </w:rPr>
        <w:t>时，在双方协商一致的前提下，可以按照</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时的价格水平做相应的调减，并据此签订补充合同。</w:t>
      </w:r>
    </w:p>
    <w:p w14:paraId="2A5DB785">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30.</w:t>
      </w:r>
      <w:r>
        <w:rPr>
          <w:rFonts w:hint="eastAsia" w:ascii="宋体" w:hAnsi="宋体" w:eastAsia="宋体" w:cs="宋体"/>
          <w:b/>
          <w:bCs w:val="0"/>
          <w:sz w:val="24"/>
          <w:szCs w:val="24"/>
          <w:highlight w:val="none"/>
        </w:rPr>
        <w:t>履约保证金</w:t>
      </w:r>
    </w:p>
    <w:p w14:paraId="205209EB">
      <w:pPr>
        <w:keepNext w:val="0"/>
        <w:keepLines w:val="0"/>
        <w:pageBreakBefore w:val="0"/>
        <w:widowControl w:val="0"/>
        <w:spacing w:line="400" w:lineRule="exact"/>
        <w:ind w:left="0" w:right="0" w:firstLine="482"/>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30.1本项目履约保证金为成交价的</w:t>
      </w:r>
      <w:r>
        <w:rPr>
          <w:rFonts w:hint="eastAsia" w:ascii="宋体" w:hAnsi="宋体" w:eastAsia="宋体" w:cs="宋体"/>
          <w:b/>
          <w:bCs/>
          <w:sz w:val="24"/>
          <w:szCs w:val="24"/>
          <w:highlight w:val="none"/>
          <w:u w:val="single"/>
          <w:lang w:val="en-US" w:eastAsia="zh-CN"/>
        </w:rPr>
        <w:t>1%</w:t>
      </w:r>
      <w:r>
        <w:rPr>
          <w:rFonts w:hint="eastAsia" w:ascii="宋体" w:hAnsi="宋体" w:eastAsia="宋体" w:cs="宋体"/>
          <w:b/>
          <w:bCs/>
          <w:sz w:val="24"/>
          <w:szCs w:val="24"/>
          <w:highlight w:val="none"/>
          <w:lang w:val="en-US" w:eastAsia="zh-CN"/>
        </w:rPr>
        <w:t>。</w:t>
      </w:r>
    </w:p>
    <w:p w14:paraId="795BD1BA">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30.2投标人提供的履约保证金可以是人民币形式（银行本票、汇票、支票、电汇、数字人民币），或银行保函、担保公司的保证担保或保险公司的保证保险等多种形式。</w:t>
      </w:r>
    </w:p>
    <w:p w14:paraId="248185A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30.3投标人选取银行保函、担保公司的保证担保或保险公司的保证保险等形式向采购人缴纳的，如保函（担保、保险等）的约定期到期但投标人履约仍未结束的，投标人须进行续保。</w:t>
      </w:r>
    </w:p>
    <w:p w14:paraId="6C8D303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30.4投标人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p>
    <w:p w14:paraId="5A4FBCE1">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30.5如投标人未能履行合同规定的义务，采购人有权从履约保证金中取得补偿。</w:t>
      </w:r>
    </w:p>
    <w:p w14:paraId="1D6965F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30.6履约保证金在合同约定期间内不予退还或者完全有效，在约定期间届满之日起5个工作日内，采购人应将履约保证金退还投标人；逾期退还的，按中国人民银行同期贷款基准利率上浮20%后的利率支付逾期资金占用费，但因投标人自身原因导致无法及时退还的除外。</w:t>
      </w:r>
    </w:p>
    <w:p w14:paraId="5E44E8B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30.7履约保证金在合同约定期间内不予退还或者完全有效，履约保证金在项目验收合格后无息退还给投标人。</w:t>
      </w:r>
    </w:p>
    <w:p w14:paraId="3CF98B55">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30.8如果成交投标人没有按照31条或32条的规定去做，采购人可以报财政部门取消其成交资格，在此情况下采购人可将标授予下一个成交候选投标人，或重新采购。</w:t>
      </w:r>
    </w:p>
    <w:p w14:paraId="310CB3B1">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30.9本次文件中涉及中小企业的相关执行文件以财政部下发的[财库[2020]46号]关于印发《政府采购促进中小企业发展管理办法》的通知为依据。本次文件中涉及中小企业的认定标准均以工业和信息化部、国家统计局、国家发展和改革委员会、财政部联合下发的[工信部联企业〔2011〕300号]《中小企业划型标准规定》为准。</w:t>
      </w:r>
    </w:p>
    <w:p w14:paraId="675221CF">
      <w:pPr>
        <w:keepNext w:val="0"/>
        <w:keepLines w:val="0"/>
        <w:pageBreakBefore w:val="0"/>
        <w:widowControl w:val="0"/>
        <w:spacing w:line="400" w:lineRule="exact"/>
        <w:ind w:right="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七、质疑处理</w:t>
      </w:r>
    </w:p>
    <w:p w14:paraId="5B961F88">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31</w:t>
      </w:r>
      <w:r>
        <w:rPr>
          <w:rFonts w:hint="eastAsia" w:ascii="宋体" w:hAnsi="宋体" w:eastAsia="宋体" w:cs="宋体"/>
          <w:b/>
          <w:bCs w:val="0"/>
          <w:sz w:val="24"/>
          <w:szCs w:val="24"/>
          <w:highlight w:val="none"/>
        </w:rPr>
        <w:t>.质疑处理</w:t>
      </w:r>
    </w:p>
    <w:p w14:paraId="1255489F">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31</w:t>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p>
    <w:p w14:paraId="1CA7133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w:t>
      </w:r>
      <w:r>
        <w:rPr>
          <w:rFonts w:hint="eastAsia" w:ascii="宋体" w:hAnsi="宋体" w:eastAsia="宋体" w:cs="宋体"/>
          <w:sz w:val="24"/>
          <w:szCs w:val="24"/>
          <w:highlight w:val="none"/>
        </w:rPr>
        <w:t>.2上述应知其权益受到损害之日是指</w:t>
      </w:r>
    </w:p>
    <w:p w14:paraId="1A0FB08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（1）对</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文件提出质疑的，为采购文件公告期限届满之日起计算；</w:t>
      </w:r>
    </w:p>
    <w:p w14:paraId="2F4700C0">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（2）对采购过程提出质疑的，为各采购程序环节结束之日起计算；</w:t>
      </w:r>
    </w:p>
    <w:p w14:paraId="53DB7DC1">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（3）对成交结果提出质疑的，为成交结果公告期限届满之日起计算。</w:t>
      </w:r>
    </w:p>
    <w:p w14:paraId="56D9FD6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31</w:t>
      </w:r>
      <w:r>
        <w:rPr>
          <w:rFonts w:hint="eastAsia" w:ascii="宋体" w:hAnsi="宋体" w:eastAsia="宋体" w:cs="宋体"/>
          <w:sz w:val="24"/>
          <w:szCs w:val="24"/>
          <w:highlight w:val="none"/>
        </w:rPr>
        <w:t>.3质疑</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是指直接参加本次</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活动的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，未参加</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活动的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或在</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活动中自身权益未受到损害的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所提出的质疑不予受理。</w:t>
      </w:r>
    </w:p>
    <w:p w14:paraId="1B64AF2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31</w:t>
      </w:r>
      <w:r>
        <w:rPr>
          <w:rFonts w:hint="eastAsia" w:ascii="宋体" w:hAnsi="宋体" w:eastAsia="宋体" w:cs="宋体"/>
          <w:sz w:val="24"/>
          <w:szCs w:val="24"/>
          <w:highlight w:val="none"/>
        </w:rPr>
        <w:t>.4质疑</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在法定质疑期内应当一次性针对同一采购环节提出质疑。</w:t>
      </w:r>
    </w:p>
    <w:p w14:paraId="774ECD3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31</w:t>
      </w:r>
      <w:r>
        <w:rPr>
          <w:rFonts w:hint="eastAsia" w:ascii="宋体" w:hAnsi="宋体" w:eastAsia="宋体" w:cs="宋体"/>
          <w:sz w:val="24"/>
          <w:szCs w:val="24"/>
          <w:highlight w:val="none"/>
        </w:rPr>
        <w:t>.5质疑函应当包括以下主要内容，附上相关证明材料。否则，</w:t>
      </w:r>
      <w:r>
        <w:rPr>
          <w:rFonts w:hint="eastAsia" w:ascii="宋体" w:hAnsi="宋体" w:eastAsia="宋体" w:cs="宋体"/>
          <w:color w:val="000000"/>
          <w:sz w:val="24"/>
          <w:highlight w:val="none"/>
        </w:rPr>
        <w:t>采购人（代理机构）</w:t>
      </w:r>
      <w:r>
        <w:rPr>
          <w:rFonts w:hint="eastAsia" w:ascii="宋体" w:hAnsi="宋体" w:eastAsia="宋体" w:cs="宋体"/>
          <w:sz w:val="24"/>
          <w:szCs w:val="24"/>
          <w:highlight w:val="none"/>
        </w:rPr>
        <w:t>不予受理。</w:t>
      </w:r>
    </w:p>
    <w:p w14:paraId="7B98F58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（1）质疑</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的名称、地址、邮编、联系人及联系电话；</w:t>
      </w:r>
    </w:p>
    <w:p w14:paraId="5F223DCA">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（2）质疑项目的名称、编号；</w:t>
      </w:r>
    </w:p>
    <w:p w14:paraId="4F66CC3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（3）具体、明确的质疑事项和与质疑事实相关的请求；</w:t>
      </w:r>
    </w:p>
    <w:p w14:paraId="38A0C8CB">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（4）事实依据；</w:t>
      </w:r>
    </w:p>
    <w:p w14:paraId="3867630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（5）必要的法律依据；</w:t>
      </w:r>
    </w:p>
    <w:p w14:paraId="31F7785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（6）提起质疑的日期；</w:t>
      </w:r>
    </w:p>
    <w:p w14:paraId="2F5330B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【质疑函必须署名，由法定代表人或者其授权代表签字，并加盖单位电子公章。授权代表签字的，还需提供法定代表人出具的办理质疑事项授权书（授权中必须载明具体权限、期限和事项）。】</w:t>
      </w:r>
    </w:p>
    <w:p w14:paraId="73453E6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31</w:t>
      </w:r>
      <w:r>
        <w:rPr>
          <w:rFonts w:hint="eastAsia" w:ascii="宋体" w:hAnsi="宋体" w:eastAsia="宋体" w:cs="宋体"/>
          <w:sz w:val="24"/>
          <w:szCs w:val="24"/>
          <w:highlight w:val="none"/>
        </w:rPr>
        <w:t>.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w:t>
      </w:r>
      <w:r>
        <w:rPr>
          <w:rFonts w:hint="eastAsia" w:ascii="宋体" w:hAnsi="宋体" w:eastAsia="宋体" w:cs="宋体"/>
          <w:sz w:val="24"/>
          <w:szCs w:val="24"/>
          <w:highlight w:val="none"/>
          <w:lang w:eastAsia="zh-CN"/>
        </w:rPr>
        <w:t>，作</w:t>
      </w:r>
      <w:r>
        <w:rPr>
          <w:rFonts w:hint="eastAsia" w:ascii="宋体" w:hAnsi="宋体" w:eastAsia="宋体" w:cs="宋体"/>
          <w:sz w:val="24"/>
          <w:szCs w:val="24"/>
          <w:highlight w:val="none"/>
        </w:rPr>
        <w:t>为无效质疑，采购人（代理机构）有权不予受理。</w:t>
      </w:r>
    </w:p>
    <w:p w14:paraId="138FC94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31</w:t>
      </w:r>
      <w:r>
        <w:rPr>
          <w:rFonts w:hint="eastAsia" w:ascii="宋体" w:hAnsi="宋体" w:eastAsia="宋体" w:cs="宋体"/>
          <w:sz w:val="24"/>
          <w:szCs w:val="24"/>
          <w:highlight w:val="none"/>
        </w:rPr>
        <w:t>.7对于内容、格式符合规定的质疑函，采购人（代理机构）将在七个工作日内以电子文件的形式作出答复，但质疑答复的内容不涉及商业秘密。如果质疑</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还需要纸质形式回复函的，需主动与采购人（代理机构）联系索取，或者在质疑函中明确提出该要求。</w:t>
      </w:r>
    </w:p>
    <w:p w14:paraId="7637023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31</w:t>
      </w:r>
      <w:r>
        <w:rPr>
          <w:rFonts w:hint="eastAsia" w:ascii="宋体" w:hAnsi="宋体" w:eastAsia="宋体" w:cs="宋体"/>
          <w:sz w:val="24"/>
          <w:szCs w:val="24"/>
          <w:highlight w:val="none"/>
        </w:rPr>
        <w:t>.8</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提出的质疑必须有理、有据，不得恶意质疑或提交虚假质疑。否则，一经查实，采购人（代理机构）有权依据政府采购的有关规定，报请淮安市财政局政府采购管理处对该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列入失信行为或不良行为记录名单，进行相应的行政处罚。</w:t>
      </w:r>
    </w:p>
    <w:p w14:paraId="745F8F5E">
      <w:pPr>
        <w:keepNext w:val="0"/>
        <w:keepLines w:val="0"/>
        <w:pageBreakBefore w:val="0"/>
        <w:widowControl w:val="0"/>
        <w:spacing w:line="400" w:lineRule="exact"/>
        <w:ind w:right="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八、政府采购政策功能落实</w:t>
      </w:r>
    </w:p>
    <w:p w14:paraId="2A7FBBB8">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32</w:t>
      </w:r>
      <w:r>
        <w:rPr>
          <w:rFonts w:hint="eastAsia" w:ascii="宋体" w:hAnsi="宋体" w:eastAsia="宋体" w:cs="宋体"/>
          <w:b/>
          <w:bCs w:val="0"/>
          <w:sz w:val="24"/>
          <w:szCs w:val="24"/>
          <w:highlight w:val="none"/>
        </w:rPr>
        <w:t>.政策功能落实</w:t>
      </w:r>
    </w:p>
    <w:p w14:paraId="096E1D61">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32</w:t>
      </w:r>
      <w:r>
        <w:rPr>
          <w:rFonts w:hint="eastAsia" w:ascii="宋体" w:hAnsi="宋体" w:eastAsia="宋体" w:cs="宋体"/>
          <w:sz w:val="24"/>
          <w:szCs w:val="24"/>
          <w:highlight w:val="none"/>
        </w:rPr>
        <w:t>.1小微型企业价格扣除</w:t>
      </w:r>
    </w:p>
    <w:p w14:paraId="53FC11D8">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32</w:t>
      </w:r>
      <w:r>
        <w:rPr>
          <w:rFonts w:hint="eastAsia" w:ascii="宋体" w:hAnsi="宋体" w:eastAsia="宋体" w:cs="宋体"/>
          <w:sz w:val="24"/>
          <w:szCs w:val="24"/>
          <w:highlight w:val="none"/>
        </w:rPr>
        <w:t>.1.1</w:t>
      </w:r>
      <w:r>
        <w:rPr>
          <w:rFonts w:hint="eastAsia" w:ascii="宋体" w:hAnsi="宋体" w:eastAsia="宋体" w:cs="宋体"/>
          <w:sz w:val="24"/>
          <w:szCs w:val="24"/>
          <w:highlight w:val="none"/>
          <w:lang w:val="zh-CN"/>
        </w:rPr>
        <w:t>对于未预留份额专门面向中小企业采购的采购项目，投标人提供的货物或者服务</w:t>
      </w:r>
      <w:r>
        <w:rPr>
          <w:rFonts w:hint="eastAsia" w:ascii="宋体" w:hAnsi="宋体" w:eastAsia="宋体" w:cs="宋体"/>
          <w:sz w:val="24"/>
          <w:szCs w:val="24"/>
          <w:highlight w:val="none"/>
        </w:rPr>
        <w:t>符合下列情形的，享受本办法规定的中小企业扶持政策给予小微企业报价20%的扣除，用扣除后的价格参与评审：</w:t>
      </w:r>
    </w:p>
    <w:p w14:paraId="69733C4F">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（1）在货物采购项目中，货物由中小企业制造，即货物由中小企业生产且使用该中小企业商号或者注册商标；</w:t>
      </w:r>
    </w:p>
    <w:p w14:paraId="74FEA592">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（2）在服务采购项目中，服务由中小企业承接，即提供服务的人员为中小企业依照《中华人民共和国劳动合同法》订立劳动合同的从业人员。</w:t>
      </w:r>
    </w:p>
    <w:p w14:paraId="5F4A1365">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32</w:t>
      </w:r>
      <w:r>
        <w:rPr>
          <w:rFonts w:hint="eastAsia" w:ascii="宋体" w:hAnsi="宋体" w:eastAsia="宋体" w:cs="宋体"/>
          <w:sz w:val="24"/>
          <w:szCs w:val="24"/>
          <w:highlight w:val="none"/>
        </w:rPr>
        <w:t>.1.2在货物采购项目中，</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提供的货物既有中小企业制造货物，也有大型企业制造货物的，不享受本办法规定的中小企业扶持政策。</w:t>
      </w:r>
    </w:p>
    <w:p w14:paraId="17B833E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32</w:t>
      </w:r>
      <w:r>
        <w:rPr>
          <w:rFonts w:hint="eastAsia" w:ascii="宋体" w:hAnsi="宋体" w:eastAsia="宋体" w:cs="宋体"/>
          <w:sz w:val="24"/>
          <w:szCs w:val="24"/>
          <w:highlight w:val="none"/>
        </w:rPr>
        <w:t>.2联合体及分包</w:t>
      </w:r>
    </w:p>
    <w:p w14:paraId="79709167">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32</w:t>
      </w:r>
      <w:r>
        <w:rPr>
          <w:rFonts w:hint="eastAsia" w:ascii="宋体" w:hAnsi="宋体" w:eastAsia="宋体" w:cs="宋体"/>
          <w:sz w:val="24"/>
          <w:szCs w:val="24"/>
          <w:highlight w:val="none"/>
        </w:rPr>
        <w:t>.2.1以联合体形式参加政府采购活动，联合体各方均为中小企业的，联合体视同中小企业。其中，联合体各方均为小微企业的，联合体视同小微企业。</w:t>
      </w:r>
    </w:p>
    <w:p w14:paraId="224851D5">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32</w:t>
      </w:r>
      <w:r>
        <w:rPr>
          <w:rFonts w:hint="eastAsia" w:ascii="宋体" w:hAnsi="宋体" w:eastAsia="宋体" w:cs="宋体"/>
          <w:sz w:val="24"/>
          <w:szCs w:val="24"/>
          <w:highlight w:val="none"/>
        </w:rPr>
        <w:t>.2.2享受扶持政策获得政府采购合同的，小微企业不得将合同分包给大中型企业，中型企业不得将合同分包给大型企业。</w:t>
      </w:r>
    </w:p>
    <w:p w14:paraId="76143F3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32</w:t>
      </w:r>
      <w:r>
        <w:rPr>
          <w:rFonts w:hint="eastAsia" w:ascii="宋体" w:hAnsi="宋体" w:eastAsia="宋体" w:cs="宋体"/>
          <w:sz w:val="24"/>
          <w:szCs w:val="24"/>
          <w:highlight w:val="none"/>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45C4D96F">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32</w:t>
      </w:r>
      <w:r>
        <w:rPr>
          <w:rFonts w:hint="eastAsia" w:ascii="宋体" w:hAnsi="宋体" w:eastAsia="宋体" w:cs="宋体"/>
          <w:sz w:val="24"/>
          <w:szCs w:val="24"/>
          <w:highlight w:val="none"/>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2D3DD8AD">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32</w:t>
      </w:r>
      <w:r>
        <w:rPr>
          <w:rFonts w:hint="eastAsia" w:ascii="宋体" w:hAnsi="宋体" w:eastAsia="宋体" w:cs="宋体"/>
          <w:sz w:val="24"/>
          <w:szCs w:val="24"/>
          <w:highlight w:val="none"/>
        </w:rPr>
        <w:t>.3小微型企业</w:t>
      </w:r>
    </w:p>
    <w:p w14:paraId="5082E55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须按照</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文件的要求提供相应的《企业声明函》，详见</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文件第六章示范格式。</w:t>
      </w:r>
    </w:p>
    <w:p w14:paraId="7EEF3C06">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（2）企业标准请参照《政府采购促进中小企业发展管理办法》（财库【2020】46号）文件规定自行填写。</w:t>
      </w:r>
    </w:p>
    <w:p w14:paraId="3D31F5CA">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32</w:t>
      </w:r>
      <w:r>
        <w:rPr>
          <w:rFonts w:hint="eastAsia" w:ascii="宋体" w:hAnsi="宋体" w:eastAsia="宋体" w:cs="宋体"/>
          <w:sz w:val="24"/>
          <w:szCs w:val="24"/>
          <w:highlight w:val="none"/>
        </w:rPr>
        <w:t>.4残疾人福利单位</w:t>
      </w:r>
    </w:p>
    <w:p w14:paraId="7D8B202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（1）残疾人福利单位需按照招标文件的要求提供《残疾人福利性单位声明函》，详见招标文件第六章示范格式。</w:t>
      </w:r>
    </w:p>
    <w:p w14:paraId="42F0A83C">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（2）残疾人福利单位标准请参照《关于促进残疾人就业政府采购政策的通知》（财库〔2017〕141号）。</w:t>
      </w:r>
    </w:p>
    <w:p w14:paraId="0AD1B254">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32</w:t>
      </w:r>
      <w:r>
        <w:rPr>
          <w:rFonts w:hint="eastAsia" w:ascii="宋体" w:hAnsi="宋体" w:eastAsia="宋体" w:cs="宋体"/>
          <w:sz w:val="24"/>
          <w:szCs w:val="24"/>
          <w:highlight w:val="none"/>
        </w:rPr>
        <w:t>.5监狱和戒毒企业</w:t>
      </w:r>
    </w:p>
    <w:p w14:paraId="6244C83D">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（1）监狱企业参加政府采购活动时，需提供由省级以上监狱管理局、戒毒管理局（含新疆生产建设兵团）出具的属于监狱企业的证明文件）（</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文件中上传加盖出具单位公章的电子件）。</w:t>
      </w:r>
    </w:p>
    <w:p w14:paraId="6BC180ED">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（2）监狱企业标准请参照《关于政府采购支持监狱企业发展有关问题的通知》（财库[2014]68号）。</w:t>
      </w:r>
    </w:p>
    <w:p w14:paraId="4FB88CAC">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33</w:t>
      </w:r>
      <w:r>
        <w:rPr>
          <w:rFonts w:hint="eastAsia" w:ascii="宋体" w:hAnsi="宋体" w:eastAsia="宋体" w:cs="宋体"/>
          <w:b/>
          <w:bCs w:val="0"/>
          <w:sz w:val="24"/>
          <w:szCs w:val="24"/>
          <w:highlight w:val="none"/>
        </w:rPr>
        <w:t>.节能、环保政策（本项目不涉及）</w:t>
      </w:r>
    </w:p>
    <w:p w14:paraId="4737F5B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33</w:t>
      </w:r>
      <w:r>
        <w:rPr>
          <w:rFonts w:hint="eastAsia" w:ascii="宋体" w:hAnsi="宋体" w:eastAsia="宋体" w:cs="宋体"/>
          <w:sz w:val="24"/>
          <w:szCs w:val="24"/>
          <w:highlight w:val="none"/>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29CB2D3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33</w:t>
      </w:r>
      <w:r>
        <w:rPr>
          <w:rFonts w:hint="eastAsia" w:ascii="宋体" w:hAnsi="宋体" w:eastAsia="宋体" w:cs="宋体"/>
          <w:sz w:val="24"/>
          <w:szCs w:val="24"/>
          <w:highlight w:val="none"/>
        </w:rPr>
        <w:t>.2节能产品</w:t>
      </w:r>
    </w:p>
    <w:p w14:paraId="2FA025F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被列入“节能产品品目清单”的，实行</w:t>
      </w:r>
      <w:r>
        <w:rPr>
          <w:rFonts w:hint="eastAsia" w:ascii="宋体" w:hAnsi="宋体" w:eastAsia="宋体" w:cs="宋体"/>
          <w:sz w:val="24"/>
          <w:szCs w:val="24"/>
          <w:highlight w:val="none"/>
          <w:u w:val="single"/>
        </w:rPr>
        <w:t>（优先采购/强制采购）</w:t>
      </w:r>
      <w:r>
        <w:rPr>
          <w:rFonts w:hint="eastAsia" w:ascii="宋体" w:hAnsi="宋体" w:eastAsia="宋体" w:cs="宋体"/>
          <w:sz w:val="24"/>
          <w:szCs w:val="24"/>
          <w:highlight w:val="none"/>
        </w:rPr>
        <w:t>。</w:t>
      </w:r>
    </w:p>
    <w:p w14:paraId="16EF1D0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33</w:t>
      </w:r>
      <w:r>
        <w:rPr>
          <w:rFonts w:hint="eastAsia" w:ascii="宋体" w:hAnsi="宋体" w:eastAsia="宋体" w:cs="宋体"/>
          <w:sz w:val="24"/>
          <w:szCs w:val="24"/>
          <w:highlight w:val="none"/>
        </w:rPr>
        <w:t>.3环保产品</w:t>
      </w:r>
    </w:p>
    <w:p w14:paraId="59DF7AC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被列入“环境标志产品品目清单”的，实行优先采购。</w:t>
      </w:r>
    </w:p>
    <w:p w14:paraId="4F466217">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33</w:t>
      </w:r>
      <w:r>
        <w:rPr>
          <w:rFonts w:hint="eastAsia" w:ascii="宋体" w:hAnsi="宋体" w:eastAsia="宋体" w:cs="宋体"/>
          <w:sz w:val="24"/>
          <w:szCs w:val="24"/>
          <w:highlight w:val="none"/>
        </w:rPr>
        <w:t>.4本项目中实行“强制采购”的，需提供国家市场监督管理总局确定的列入“参与实施政府采购节能产品认证机构名录”内的认证机构出具的、有效期内的该产品环境标志产品认证证书电子件，未提供的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宋体" w:hAnsi="宋体" w:eastAsia="宋体" w:cs="宋体"/>
          <w:sz w:val="24"/>
          <w:szCs w:val="24"/>
          <w:highlight w:val="none"/>
          <w:lang w:eastAsia="zh-CN"/>
        </w:rPr>
        <w:t>作为</w:t>
      </w:r>
      <w:r>
        <w:rPr>
          <w:rFonts w:hint="eastAsia" w:ascii="宋体" w:hAnsi="宋体" w:eastAsia="宋体" w:cs="宋体"/>
          <w:sz w:val="24"/>
          <w:szCs w:val="24"/>
          <w:highlight w:val="none"/>
        </w:rPr>
        <w:t>无效投标处理；实行“优先采购”的，在评分标准的“政策导向”处参与加分（详见第三章评标标准）。</w:t>
      </w:r>
    </w:p>
    <w:p w14:paraId="67290783">
      <w:pPr>
        <w:keepNext w:val="0"/>
        <w:keepLines w:val="0"/>
        <w:pageBreakBefore w:val="0"/>
        <w:widowControl w:val="0"/>
        <w:spacing w:line="400" w:lineRule="exact"/>
        <w:ind w:left="0" w:right="0" w:firstLine="480"/>
        <w:jc w:val="lef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eastAsia="zh-CN"/>
        </w:rPr>
        <w:t>33</w:t>
      </w:r>
      <w:r>
        <w:rPr>
          <w:rFonts w:hint="eastAsia" w:ascii="宋体" w:hAnsi="宋体" w:eastAsia="宋体" w:cs="宋体"/>
          <w:sz w:val="24"/>
          <w:szCs w:val="24"/>
          <w:highlight w:val="none"/>
        </w:rPr>
        <w:t>.5节能、环保产品的品目清单按照《关于印发环境标志产品政府采购品目清单的通知》（财库〔2019〕18号）、《关于印发节能产品政府采购品目清单的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通知》（财库〔2019〕19号）执行。国家对品目清单进行调整的，按照最新调整的品目清单执行。</w:t>
      </w:r>
    </w:p>
    <w:p w14:paraId="4F88632A">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34.</w:t>
      </w:r>
      <w:r>
        <w:rPr>
          <w:rFonts w:hint="eastAsia" w:ascii="宋体" w:hAnsi="宋体" w:eastAsia="宋体" w:cs="宋体"/>
          <w:b/>
          <w:bCs w:val="0"/>
          <w:sz w:val="24"/>
          <w:szCs w:val="24"/>
          <w:highlight w:val="none"/>
        </w:rPr>
        <w:t>政府绿色采购（本项目不涉及）</w:t>
      </w:r>
    </w:p>
    <w:p w14:paraId="6A39445B">
      <w:pPr>
        <w:keepNext w:val="0"/>
        <w:keepLines w:val="0"/>
        <w:pageBreakBefore w:val="0"/>
        <w:widowControl w:val="0"/>
        <w:spacing w:line="400" w:lineRule="exact"/>
        <w:ind w:left="0" w:right="0" w:firstLine="480"/>
        <w:jc w:val="lef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根据《江苏省财政厅关于加强政府绿色采购有关事项的通知》（苏财购〔2023〕65号）的要求，落实政府绿色采购相关政策，具体如下：</w:t>
      </w:r>
    </w:p>
    <w:p w14:paraId="63B541A9">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34</w:t>
      </w:r>
      <w:r>
        <w:rPr>
          <w:rFonts w:hint="eastAsia" w:ascii="宋体" w:hAnsi="宋体" w:eastAsia="宋体" w:cs="宋体"/>
          <w:sz w:val="24"/>
          <w:szCs w:val="24"/>
          <w:highlight w:val="none"/>
        </w:rPr>
        <w:t>.1本项目为货物类采购项目的，所提供的产品需综合考虑节能环保、节水、循环再生、低碳、有机等因素；本项目为物业、合同能源管理等服务类采购项目的，应在服务中加强绿色低碳管理。</w:t>
      </w:r>
    </w:p>
    <w:p w14:paraId="04A5A2B4">
      <w:pPr>
        <w:pStyle w:val="208"/>
        <w:keepNext w:val="0"/>
        <w:keepLines w:val="0"/>
        <w:pageBreakBefore w:val="0"/>
        <w:widowControl w:val="0"/>
        <w:spacing w:after="0"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34</w:t>
      </w:r>
      <w:r>
        <w:rPr>
          <w:rFonts w:hint="eastAsia" w:ascii="宋体" w:hAnsi="宋体" w:eastAsia="宋体" w:cs="宋体"/>
          <w:sz w:val="24"/>
          <w:szCs w:val="24"/>
          <w:highlight w:val="none"/>
        </w:rPr>
        <w:t>.2本项目中涉及商品的包装应按照“财办库〔2020〕123号《关于印发《商品包装政府采购需求标准（试行）》、《快递包装政府采购需求标准（试行）》的通知》”执行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在供货、安装过程中</w:t>
      </w:r>
      <w:r>
        <w:rPr>
          <w:rFonts w:hint="eastAsia" w:ascii="宋体" w:hAnsi="宋体" w:eastAsia="宋体" w:cs="宋体"/>
          <w:sz w:val="24"/>
          <w:szCs w:val="24"/>
          <w:highlight w:val="none"/>
          <w:lang w:eastAsia="zh-CN"/>
        </w:rPr>
        <w:t>能</w:t>
      </w:r>
      <w:r>
        <w:rPr>
          <w:rFonts w:hint="eastAsia" w:ascii="宋体" w:hAnsi="宋体" w:eastAsia="宋体" w:cs="宋体"/>
          <w:sz w:val="24"/>
          <w:szCs w:val="24"/>
          <w:highlight w:val="none"/>
        </w:rPr>
        <w:t>做到低碳物流、环保节约、提高资源利用率；涉及设备运维参考《绿色数据中心政府采购需求标准（试行）》（财库【2023】7号文）执行。</w:t>
      </w:r>
    </w:p>
    <w:p w14:paraId="3DDFC5AC">
      <w:pPr>
        <w:pStyle w:val="208"/>
        <w:keepNext w:val="0"/>
        <w:keepLines w:val="0"/>
        <w:pageBreakBefore w:val="0"/>
        <w:widowControl w:val="0"/>
        <w:spacing w:after="0"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34</w:t>
      </w:r>
      <w:r>
        <w:rPr>
          <w:rFonts w:hint="eastAsia" w:ascii="宋体" w:hAnsi="宋体" w:eastAsia="宋体" w:cs="宋体"/>
          <w:sz w:val="24"/>
          <w:szCs w:val="24"/>
          <w:highlight w:val="none"/>
        </w:rPr>
        <w:t>.3本项目中涉及涂料、胶黏剂、油墨、清洗剂等挥发性有机物产品的，要执行国家和江苏省VOCs含量限制标准，优先使用低挥发性原辅材料，使用低VOCs含量的涂料、胶黏剂等。</w:t>
      </w:r>
    </w:p>
    <w:p w14:paraId="64819CF4">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35</w:t>
      </w:r>
      <w:r>
        <w:rPr>
          <w:rFonts w:hint="eastAsia" w:ascii="宋体" w:hAnsi="宋体" w:eastAsia="宋体" w:cs="宋体"/>
          <w:b/>
          <w:bCs w:val="0"/>
          <w:sz w:val="24"/>
          <w:szCs w:val="24"/>
          <w:highlight w:val="none"/>
        </w:rPr>
        <w:t>.履约资金扶持政策</w:t>
      </w:r>
    </w:p>
    <w:p w14:paraId="0B5D6CA2">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35</w:t>
      </w:r>
      <w:r>
        <w:rPr>
          <w:rFonts w:hint="eastAsia" w:ascii="宋体" w:hAnsi="宋体" w:eastAsia="宋体" w:cs="宋体"/>
          <w:sz w:val="24"/>
          <w:szCs w:val="24"/>
          <w:highlight w:val="none"/>
        </w:rPr>
        <w:t>.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65ACCF5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35</w:t>
      </w:r>
      <w:r>
        <w:rPr>
          <w:rFonts w:hint="eastAsia" w:ascii="宋体" w:hAnsi="宋体" w:eastAsia="宋体" w:cs="宋体"/>
          <w:sz w:val="24"/>
          <w:szCs w:val="24"/>
          <w:highlight w:val="none"/>
        </w:rPr>
        <w:t>.2有融资贷款需求的成交人，与采购人在苏采云【合同在线签订】模块中进行合同在线签订时，【账户信息完善】的“是否融资”一栏中需选择“是”，同时完善收款账号信息和合同补充协议（融资账号）。</w:t>
      </w:r>
    </w:p>
    <w:p w14:paraId="1B5BD6F3">
      <w:pPr>
        <w:keepNext w:val="0"/>
        <w:keepLines w:val="0"/>
        <w:pageBreakBefore w:val="0"/>
        <w:widowControl w:val="0"/>
        <w:spacing w:line="400" w:lineRule="exact"/>
        <w:ind w:left="0" w:right="0" w:firstLine="241"/>
        <w:jc w:val="left"/>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36.采购本国产品的支持政策</w:t>
      </w:r>
    </w:p>
    <w:p w14:paraId="5D705FC3">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36</w:t>
      </w:r>
      <w:r>
        <w:rPr>
          <w:rFonts w:hint="eastAsia" w:ascii="宋体" w:hAnsi="宋体" w:eastAsia="宋体" w:cs="宋体"/>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1EA0DD2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36</w:t>
      </w:r>
      <w:r>
        <w:rPr>
          <w:rFonts w:hint="eastAsia" w:ascii="宋体" w:hAnsi="宋体" w:eastAsia="宋体" w:cs="宋体"/>
          <w:sz w:val="24"/>
          <w:szCs w:val="24"/>
          <w:highlight w:val="none"/>
        </w:rPr>
        <w:t>.2当采购项目或者采购包中含有多种产品，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为该采购项目或者采购包提供的符合本国产品标准的产品成本之和占该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提供的全部产品成本之和的比例达到80%以上时</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eastAsia="zh-CN"/>
        </w:rPr>
        <w:t>投标人</w:t>
      </w:r>
      <w:r>
        <w:rPr>
          <w:rFonts w:hint="eastAsia" w:ascii="宋体" w:hAnsi="宋体" w:eastAsia="宋体" w:cs="宋体"/>
          <w:b/>
          <w:bCs/>
          <w:sz w:val="24"/>
          <w:szCs w:val="24"/>
          <w:highlight w:val="none"/>
        </w:rPr>
        <w:t>需在“第六章投标文件格式”的“</w:t>
      </w:r>
      <w:r>
        <w:rPr>
          <w:rFonts w:hint="eastAsia" w:ascii="宋体" w:hAnsi="宋体" w:eastAsia="宋体" w:cs="宋体"/>
          <w:b/>
          <w:bCs/>
          <w:sz w:val="24"/>
          <w:szCs w:val="24"/>
          <w:highlight w:val="none"/>
          <w:lang w:val="en-US" w:eastAsia="zh-CN"/>
        </w:rPr>
        <w:t>投标报价明细表</w:t>
      </w:r>
      <w:r>
        <w:rPr>
          <w:rFonts w:hint="eastAsia" w:ascii="宋体" w:hAnsi="宋体" w:eastAsia="宋体" w:cs="宋体"/>
          <w:b/>
          <w:bCs/>
          <w:sz w:val="24"/>
          <w:szCs w:val="24"/>
          <w:highlight w:val="none"/>
        </w:rPr>
        <w:t>”中填写比例数值）</w:t>
      </w:r>
      <w:r>
        <w:rPr>
          <w:rFonts w:hint="eastAsia" w:ascii="宋体" w:hAnsi="宋体" w:eastAsia="宋体" w:cs="宋体"/>
          <w:sz w:val="24"/>
          <w:szCs w:val="24"/>
          <w:highlight w:val="none"/>
        </w:rPr>
        <w:t>，依法对该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提供的全部产品给予价格评审优惠，即对该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提供的全部产品的总报价给予20%的价格扣除，用扣除后的价格参与评审。</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未填写比例数值，或比例数值未达到80%的，将不享受本国产品价格评审优惠。</w:t>
      </w:r>
    </w:p>
    <w:p w14:paraId="7D806435">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36</w:t>
      </w: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需按照招标文件的要求提供《关于符合本国产品标准的声明函》（以下简称《声明函》），如不提供将不享受本国产品价格评审优惠。</w:t>
      </w:r>
    </w:p>
    <w:p w14:paraId="4277350E">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36</w:t>
      </w: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需在《声明函》中逐一、准确填写产品名称、厂名、生产厂址三项信息（《声明函》中用斜线划除的地方无需填写），三项信息中任意一项未填写的视为该项产品不符合本国产品标准，不享受本国产品价格评审优惠。</w:t>
      </w:r>
    </w:p>
    <w:p w14:paraId="645DC992">
      <w:pPr>
        <w:keepNext w:val="0"/>
        <w:keepLines w:val="0"/>
        <w:pageBreakBefore w:val="0"/>
        <w:widowControl w:val="0"/>
        <w:spacing w:line="400" w:lineRule="exact"/>
        <w:ind w:left="0"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36</w:t>
      </w:r>
      <w:r>
        <w:rPr>
          <w:rFonts w:hint="eastAsia" w:ascii="宋体" w:hAnsi="宋体" w:eastAsia="宋体" w:cs="宋体"/>
          <w:sz w:val="24"/>
          <w:szCs w:val="24"/>
          <w:highlight w:val="none"/>
        </w:rPr>
        <w:t>.5评标过程中，如发现</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在《声明函》内容含义不明确、同类事项与投标（响应）文件表述不一致或者有明显文字错误等情况的，评标委员会应当以书面形式要求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提供的相关产品视为不符合本国产品标准。</w:t>
      </w:r>
    </w:p>
    <w:p w14:paraId="33E5D884">
      <w:pPr>
        <w:keepNext w:val="0"/>
        <w:keepLines w:val="0"/>
        <w:pageBreakBefore/>
        <w:widowControl w:val="0"/>
        <w:spacing w:line="440" w:lineRule="exact"/>
        <w:ind w:right="0"/>
        <w:jc w:val="center"/>
        <w:outlineLvl w:val="0"/>
        <w:rPr>
          <w:rFonts w:hint="eastAsia" w:ascii="宋体" w:hAnsi="宋体" w:eastAsia="宋体" w:cs="宋体"/>
          <w:b/>
          <w:sz w:val="32"/>
          <w:szCs w:val="32"/>
          <w:highlight w:val="none"/>
        </w:rPr>
      </w:pPr>
      <w:bookmarkStart w:id="31" w:name="_Toc19320"/>
      <w:r>
        <w:rPr>
          <w:rFonts w:hint="eastAsia" w:ascii="宋体" w:hAnsi="宋体" w:eastAsia="宋体" w:cs="宋体"/>
          <w:b/>
          <w:sz w:val="32"/>
          <w:szCs w:val="32"/>
          <w:highlight w:val="none"/>
        </w:rPr>
        <w:t>第三章  评标标准</w:t>
      </w:r>
      <w:bookmarkEnd w:id="31"/>
    </w:p>
    <w:p w14:paraId="7ED48D4F">
      <w:pPr>
        <w:keepNext w:val="0"/>
        <w:keepLines w:val="0"/>
        <w:pageBreakBefore w:val="0"/>
        <w:widowControl w:val="0"/>
        <w:spacing w:line="480" w:lineRule="exact"/>
        <w:ind w:right="0" w:firstLine="480"/>
        <w:jc w:val="left"/>
        <w:rPr>
          <w:rFonts w:hint="eastAsia" w:ascii="宋体" w:hAnsi="宋体" w:eastAsia="宋体" w:cs="宋体"/>
          <w:sz w:val="24"/>
          <w:highlight w:val="none"/>
          <w:lang w:val="zh-CN"/>
        </w:rPr>
      </w:pPr>
      <w:r>
        <w:rPr>
          <w:rFonts w:hint="eastAsia" w:ascii="宋体" w:hAnsi="宋体" w:eastAsia="宋体" w:cs="宋体"/>
          <w:sz w:val="24"/>
          <w:highlight w:val="none"/>
          <w:lang w:val="zh-CN"/>
        </w:rPr>
        <w:t>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0C43D814">
      <w:pPr>
        <w:keepNext w:val="0"/>
        <w:keepLines w:val="0"/>
        <w:pageBreakBefore w:val="0"/>
        <w:widowControl w:val="0"/>
        <w:spacing w:line="480" w:lineRule="exact"/>
        <w:ind w:right="0" w:firstLine="480"/>
        <w:jc w:val="left"/>
        <w:rPr>
          <w:rFonts w:hint="eastAsia" w:ascii="宋体" w:hAnsi="宋体" w:eastAsia="宋体" w:cs="宋体"/>
          <w:sz w:val="24"/>
          <w:highlight w:val="none"/>
          <w:lang w:val="zh-CN"/>
        </w:rPr>
      </w:pPr>
      <w:r>
        <w:rPr>
          <w:rFonts w:hint="eastAsia" w:ascii="宋体" w:hAnsi="宋体" w:eastAsia="宋体" w:cs="宋体"/>
          <w:sz w:val="24"/>
          <w:highlight w:val="none"/>
          <w:lang w:val="zh-CN"/>
        </w:rPr>
        <w:t>二、评委会将依据下列评标标准进行评标，本评标标准的总分为100分。按评审后得分由高到低顺序排列。得分相同的，按投标报价由低到高顺序排列。得分且投标报价相同的并列，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p>
    <w:p w14:paraId="47241D9F">
      <w:pPr>
        <w:keepNext w:val="0"/>
        <w:keepLines w:val="0"/>
        <w:pageBreakBefore w:val="0"/>
        <w:widowControl w:val="0"/>
        <w:spacing w:line="480" w:lineRule="exact"/>
        <w:ind w:right="0" w:firstLine="480"/>
        <w:jc w:val="left"/>
        <w:rPr>
          <w:rFonts w:hint="eastAsia" w:ascii="宋体" w:hAnsi="宋体" w:eastAsia="宋体" w:cs="宋体"/>
          <w:b/>
          <w:bCs/>
          <w:sz w:val="24"/>
          <w:highlight w:val="none"/>
          <w:lang w:eastAsia="zh-CN"/>
        </w:rPr>
      </w:pPr>
      <w:r>
        <w:rPr>
          <w:rFonts w:hint="eastAsia" w:ascii="宋体" w:hAnsi="宋体" w:eastAsia="宋体" w:cs="宋体"/>
          <w:sz w:val="24"/>
          <w:highlight w:val="none"/>
        </w:rPr>
        <w:t>三、具体标准</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100分</w:t>
      </w:r>
      <w:r>
        <w:rPr>
          <w:rFonts w:hint="eastAsia" w:ascii="宋体" w:hAnsi="宋体" w:eastAsia="宋体" w:cs="宋体"/>
          <w:b/>
          <w:bCs/>
          <w:sz w:val="24"/>
          <w:highlight w:val="none"/>
          <w:lang w:eastAsia="zh-CN"/>
        </w:rPr>
        <w:t>）</w:t>
      </w:r>
    </w:p>
    <w:tbl>
      <w:tblPr>
        <w:tblStyle w:val="28"/>
        <w:tblW w:w="973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90"/>
        <w:gridCol w:w="45"/>
        <w:gridCol w:w="1335"/>
        <w:gridCol w:w="6165"/>
        <w:gridCol w:w="900"/>
      </w:tblGrid>
      <w:tr w14:paraId="4DE67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6" w:hRule="atLeast"/>
        </w:trPr>
        <w:tc>
          <w:tcPr>
            <w:tcW w:w="2670" w:type="dxa"/>
            <w:gridSpan w:val="3"/>
            <w:noWrap w:val="0"/>
            <w:vAlign w:val="center"/>
          </w:tcPr>
          <w:p w14:paraId="64F07AB4">
            <w:pPr>
              <w:jc w:val="center"/>
              <w:rPr>
                <w:rFonts w:hint="eastAsia" w:ascii="宋体" w:hAnsi="宋体" w:eastAsia="宋体" w:cs="宋体"/>
                <w:b/>
                <w:bCs/>
                <w:sz w:val="24"/>
                <w:highlight w:val="none"/>
              </w:rPr>
            </w:pPr>
            <w:r>
              <w:rPr>
                <w:rFonts w:hint="eastAsia" w:ascii="宋体" w:hAnsi="宋体" w:eastAsia="宋体" w:cs="宋体"/>
                <w:b/>
                <w:bCs/>
                <w:sz w:val="24"/>
                <w:highlight w:val="none"/>
              </w:rPr>
              <w:t>评分项目</w:t>
            </w:r>
          </w:p>
        </w:tc>
        <w:tc>
          <w:tcPr>
            <w:tcW w:w="6165" w:type="dxa"/>
            <w:noWrap/>
            <w:vAlign w:val="center"/>
          </w:tcPr>
          <w:p w14:paraId="7FAE5ED0">
            <w:pPr>
              <w:jc w:val="center"/>
              <w:rPr>
                <w:rFonts w:hint="eastAsia" w:ascii="宋体" w:hAnsi="宋体" w:eastAsia="宋体" w:cs="宋体"/>
                <w:b/>
                <w:bCs/>
                <w:sz w:val="24"/>
                <w:highlight w:val="none"/>
              </w:rPr>
            </w:pPr>
            <w:r>
              <w:rPr>
                <w:rFonts w:hint="eastAsia" w:ascii="宋体" w:hAnsi="宋体" w:eastAsia="宋体" w:cs="宋体"/>
                <w:b/>
                <w:bCs/>
                <w:sz w:val="24"/>
                <w:highlight w:val="none"/>
              </w:rPr>
              <w:t>评 审 细 则</w:t>
            </w:r>
          </w:p>
        </w:tc>
        <w:tc>
          <w:tcPr>
            <w:tcW w:w="900" w:type="dxa"/>
            <w:noWrap/>
            <w:vAlign w:val="center"/>
          </w:tcPr>
          <w:p w14:paraId="37E0C29F">
            <w:pPr>
              <w:jc w:val="center"/>
              <w:rPr>
                <w:rFonts w:hint="eastAsia" w:ascii="宋体" w:hAnsi="宋体" w:eastAsia="宋体" w:cs="宋体"/>
                <w:b/>
                <w:bCs/>
                <w:sz w:val="24"/>
                <w:highlight w:val="none"/>
              </w:rPr>
            </w:pPr>
            <w:r>
              <w:rPr>
                <w:rFonts w:hint="eastAsia" w:ascii="宋体" w:hAnsi="宋体" w:eastAsia="宋体" w:cs="宋体"/>
                <w:b/>
                <w:bCs/>
                <w:sz w:val="24"/>
                <w:highlight w:val="none"/>
              </w:rPr>
              <w:t>分值</w:t>
            </w:r>
          </w:p>
        </w:tc>
      </w:tr>
      <w:tr w14:paraId="2D27F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1" w:hRule="atLeast"/>
        </w:trPr>
        <w:tc>
          <w:tcPr>
            <w:tcW w:w="1335" w:type="dxa"/>
            <w:gridSpan w:val="2"/>
            <w:noWrap w:val="0"/>
            <w:vAlign w:val="center"/>
          </w:tcPr>
          <w:p w14:paraId="3B89F530">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投标报价</w:t>
            </w:r>
          </w:p>
          <w:p w14:paraId="3C10D7B1">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（20分）</w:t>
            </w:r>
          </w:p>
        </w:tc>
        <w:tc>
          <w:tcPr>
            <w:tcW w:w="1335" w:type="dxa"/>
            <w:noWrap w:val="0"/>
            <w:vAlign w:val="center"/>
          </w:tcPr>
          <w:p w14:paraId="3EB76DF0">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投标</w:t>
            </w:r>
            <w:r>
              <w:rPr>
                <w:rFonts w:hint="eastAsia" w:ascii="宋体" w:hAnsi="宋体" w:eastAsia="宋体" w:cs="宋体"/>
                <w:sz w:val="24"/>
                <w:highlight w:val="none"/>
              </w:rPr>
              <w:t>报价与</w:t>
            </w:r>
            <w:r>
              <w:rPr>
                <w:rFonts w:hint="eastAsia" w:ascii="宋体" w:hAnsi="宋体" w:eastAsia="宋体" w:cs="宋体"/>
                <w:sz w:val="24"/>
                <w:highlight w:val="none"/>
                <w:lang w:val="en-US" w:eastAsia="zh-CN"/>
              </w:rPr>
              <w:t>评标</w:t>
            </w:r>
            <w:r>
              <w:rPr>
                <w:rFonts w:hint="eastAsia" w:ascii="宋体" w:hAnsi="宋体" w:eastAsia="宋体" w:cs="宋体"/>
                <w:sz w:val="24"/>
                <w:highlight w:val="none"/>
              </w:rPr>
              <w:t>基准价</w:t>
            </w:r>
          </w:p>
        </w:tc>
        <w:tc>
          <w:tcPr>
            <w:tcW w:w="6165" w:type="dxa"/>
            <w:noWrap/>
            <w:vAlign w:val="center"/>
          </w:tcPr>
          <w:p w14:paraId="2193F0B9">
            <w:pPr>
              <w:jc w:val="left"/>
              <w:rPr>
                <w:rFonts w:hint="eastAsia" w:ascii="宋体" w:hAnsi="宋体" w:eastAsia="宋体" w:cs="宋体"/>
                <w:sz w:val="24"/>
                <w:highlight w:val="none"/>
              </w:rPr>
            </w:pPr>
            <w:r>
              <w:rPr>
                <w:rFonts w:hint="eastAsia" w:ascii="宋体" w:hAnsi="宋体" w:eastAsia="宋体" w:cs="宋体"/>
                <w:sz w:val="24"/>
                <w:highlight w:val="none"/>
              </w:rPr>
              <w:t>满足招标文件要求且投标价格最低的投标报价为评标基准价，其价格分为满分。其他</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的价格分统一按照下列公式计算：投标报价得分=</w:t>
            </w:r>
            <w:r>
              <w:rPr>
                <w:rFonts w:hint="eastAsia" w:ascii="宋体" w:hAnsi="宋体" w:eastAsia="宋体" w:cs="宋体"/>
                <w:sz w:val="24"/>
                <w:highlight w:val="none"/>
                <w:lang w:eastAsia="zh-CN"/>
              </w:rPr>
              <w:t>（</w:t>
            </w:r>
            <w:r>
              <w:rPr>
                <w:rFonts w:hint="eastAsia" w:ascii="宋体" w:hAnsi="宋体" w:eastAsia="宋体" w:cs="宋体"/>
                <w:sz w:val="24"/>
                <w:highlight w:val="none"/>
              </w:rPr>
              <w:t>评标基准价／投标报价</w:t>
            </w:r>
            <w:r>
              <w:rPr>
                <w:rFonts w:hint="eastAsia" w:ascii="宋体" w:hAnsi="宋体" w:eastAsia="宋体" w:cs="宋体"/>
                <w:sz w:val="24"/>
                <w:highlight w:val="none"/>
                <w:lang w:eastAsia="zh-CN"/>
              </w:rPr>
              <w:t>）</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20</w:t>
            </w:r>
            <w:r>
              <w:rPr>
                <w:rFonts w:hint="eastAsia" w:ascii="宋体" w:hAnsi="宋体" w:eastAsia="宋体" w:cs="宋体"/>
                <w:sz w:val="24"/>
                <w:highlight w:val="none"/>
              </w:rPr>
              <w:t>（该结果四舍五入，保留两位小数）。</w:t>
            </w:r>
          </w:p>
        </w:tc>
        <w:tc>
          <w:tcPr>
            <w:tcW w:w="900" w:type="dxa"/>
            <w:noWrap/>
            <w:vAlign w:val="center"/>
          </w:tcPr>
          <w:p w14:paraId="2BA261F2">
            <w:pPr>
              <w:pStyle w:val="300"/>
              <w:jc w:val="center"/>
              <w:rPr>
                <w:rFonts w:hint="eastAsia" w:ascii="宋体" w:hAnsi="宋体" w:eastAsia="宋体" w:cs="宋体"/>
                <w:sz w:val="24"/>
                <w:highlight w:val="none"/>
                <w:lang w:val="en-US" w:bidi="ar-SA"/>
              </w:rPr>
            </w:pPr>
            <w:r>
              <w:rPr>
                <w:rFonts w:hint="eastAsia" w:cs="宋体"/>
                <w:sz w:val="24"/>
                <w:highlight w:val="none"/>
                <w:lang w:val="en-US" w:eastAsia="zh-CN" w:bidi="ar-SA"/>
              </w:rPr>
              <w:t>20</w:t>
            </w:r>
            <w:r>
              <w:rPr>
                <w:rFonts w:hint="eastAsia" w:ascii="宋体" w:hAnsi="宋体" w:eastAsia="宋体" w:cs="宋体"/>
                <w:sz w:val="24"/>
                <w:highlight w:val="none"/>
                <w:lang w:val="en-US" w:bidi="ar-SA"/>
              </w:rPr>
              <w:t>分</w:t>
            </w:r>
          </w:p>
        </w:tc>
      </w:tr>
      <w:tr w14:paraId="16230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335" w:type="dxa"/>
            <w:gridSpan w:val="2"/>
            <w:vMerge w:val="restart"/>
            <w:noWrap w:val="0"/>
            <w:vAlign w:val="center"/>
          </w:tcPr>
          <w:p w14:paraId="3AC6BBAE">
            <w:pPr>
              <w:pStyle w:val="300"/>
              <w:jc w:val="center"/>
              <w:rPr>
                <w:rFonts w:hint="eastAsia" w:cs="宋体"/>
                <w:sz w:val="24"/>
                <w:highlight w:val="none"/>
                <w:lang w:val="en-US" w:eastAsia="zh-CN" w:bidi="ar-SA"/>
              </w:rPr>
            </w:pPr>
            <w:r>
              <w:rPr>
                <w:rFonts w:hint="eastAsia" w:cs="宋体"/>
                <w:sz w:val="24"/>
                <w:highlight w:val="none"/>
                <w:lang w:val="en-US" w:eastAsia="zh-CN" w:bidi="ar-SA"/>
              </w:rPr>
              <w:t>商务部分</w:t>
            </w:r>
          </w:p>
          <w:p w14:paraId="14A3C7E9">
            <w:pPr>
              <w:pStyle w:val="300"/>
              <w:jc w:val="center"/>
              <w:rPr>
                <w:rFonts w:ascii="宋体" w:hAnsi="宋体" w:eastAsia="宋体" w:cs="宋体"/>
                <w:sz w:val="24"/>
                <w:highlight w:val="none"/>
                <w:lang w:val="en-US" w:eastAsia="zh-CN" w:bidi="ar-SA"/>
              </w:rPr>
            </w:pPr>
            <w:r>
              <w:rPr>
                <w:rFonts w:hint="eastAsia" w:cs="宋体"/>
                <w:sz w:val="24"/>
                <w:highlight w:val="none"/>
                <w:lang w:val="en-US" w:eastAsia="zh-CN" w:bidi="ar-SA"/>
              </w:rPr>
              <w:t>（30分）</w:t>
            </w:r>
          </w:p>
        </w:tc>
        <w:tc>
          <w:tcPr>
            <w:tcW w:w="1335" w:type="dxa"/>
            <w:noWrap w:val="0"/>
            <w:vAlign w:val="center"/>
          </w:tcPr>
          <w:p w14:paraId="344E4352">
            <w:pPr>
              <w:pStyle w:val="300"/>
              <w:jc w:val="center"/>
              <w:rPr>
                <w:rFonts w:hint="eastAsia"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企业实力</w:t>
            </w:r>
          </w:p>
        </w:tc>
        <w:tc>
          <w:tcPr>
            <w:tcW w:w="6165" w:type="dxa"/>
            <w:noWrap/>
            <w:vAlign w:val="top"/>
          </w:tcPr>
          <w:p w14:paraId="0755B761">
            <w:pPr>
              <w:widowControl/>
              <w:rPr>
                <w:rFonts w:hint="eastAsia"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lang w:eastAsia="zh-CN"/>
              </w:rPr>
              <w:t>投标人</w:t>
            </w:r>
            <w:r>
              <w:rPr>
                <w:rFonts w:hint="eastAsia" w:ascii="宋体" w:hAnsi="宋体" w:cs="宋体"/>
                <w:sz w:val="24"/>
                <w:highlight w:val="none"/>
              </w:rPr>
              <w:t>具有有效期内的ISO9001质量管理体系认证</w:t>
            </w:r>
            <w:r>
              <w:rPr>
                <w:rFonts w:hint="eastAsia" w:ascii="宋体" w:hAnsi="宋体" w:cs="宋体"/>
                <w:sz w:val="24"/>
                <w:highlight w:val="none"/>
                <w:lang w:val="en-US" w:eastAsia="zh-CN"/>
              </w:rPr>
              <w:t>的</w:t>
            </w:r>
            <w:r>
              <w:rPr>
                <w:rFonts w:hint="eastAsia" w:ascii="宋体" w:hAnsi="宋体" w:cs="宋体"/>
                <w:sz w:val="24"/>
                <w:highlight w:val="none"/>
              </w:rPr>
              <w:t>得</w:t>
            </w:r>
            <w:r>
              <w:rPr>
                <w:rFonts w:hint="eastAsia" w:ascii="宋体" w:hAnsi="宋体" w:cs="宋体"/>
                <w:sz w:val="24"/>
                <w:highlight w:val="none"/>
                <w:lang w:val="en-US" w:eastAsia="zh-CN"/>
              </w:rPr>
              <w:t>1</w:t>
            </w:r>
            <w:r>
              <w:rPr>
                <w:rFonts w:hint="eastAsia" w:ascii="宋体" w:hAnsi="宋体" w:cs="宋体"/>
                <w:sz w:val="24"/>
                <w:highlight w:val="none"/>
              </w:rPr>
              <w:t>分，本项最高得</w:t>
            </w:r>
            <w:r>
              <w:rPr>
                <w:rFonts w:hint="eastAsia" w:ascii="宋体" w:hAnsi="宋体" w:cs="宋体"/>
                <w:sz w:val="24"/>
                <w:highlight w:val="none"/>
                <w:lang w:val="en-US" w:eastAsia="zh-CN"/>
              </w:rPr>
              <w:t>1</w:t>
            </w:r>
            <w:r>
              <w:rPr>
                <w:rFonts w:hint="eastAsia" w:ascii="宋体" w:hAnsi="宋体" w:cs="宋体"/>
                <w:sz w:val="24"/>
                <w:highlight w:val="none"/>
              </w:rPr>
              <w:t>分，未提供不得分。</w:t>
            </w:r>
            <w:r>
              <w:rPr>
                <w:rFonts w:hint="eastAsia" w:ascii="宋体" w:hAnsi="宋体" w:cs="宋体"/>
                <w:b/>
                <w:bCs/>
                <w:sz w:val="24"/>
                <w:highlight w:val="none"/>
              </w:rPr>
              <w:t>（提供有效</w:t>
            </w:r>
            <w:r>
              <w:rPr>
                <w:rFonts w:hint="eastAsia" w:ascii="宋体" w:hAnsi="宋体" w:cs="宋体"/>
                <w:b/>
                <w:bCs/>
                <w:sz w:val="24"/>
                <w:highlight w:val="none"/>
                <w:lang w:val="en-US" w:eastAsia="zh-CN"/>
              </w:rPr>
              <w:t>的认证</w:t>
            </w:r>
            <w:r>
              <w:rPr>
                <w:rFonts w:hint="eastAsia" w:ascii="宋体" w:hAnsi="宋体" w:cs="宋体"/>
                <w:b/>
                <w:bCs/>
                <w:sz w:val="24"/>
                <w:highlight w:val="none"/>
              </w:rPr>
              <w:t>证书原件扫描件上传）</w:t>
            </w:r>
          </w:p>
          <w:p w14:paraId="5AE1BFE0">
            <w:pPr>
              <w:widowControl/>
              <w:rPr>
                <w:rFonts w:ascii="宋体" w:hAnsi="宋体" w:eastAsia="宋体" w:cs="宋体"/>
                <w:sz w:val="24"/>
                <w:highlight w:val="none"/>
                <w:lang w:val="en-US" w:eastAsia="zh-CN"/>
              </w:rPr>
            </w:pPr>
            <w:r>
              <w:rPr>
                <w:rFonts w:hint="eastAsia" w:ascii="宋体" w:hAnsi="宋体" w:cs="宋体"/>
                <w:sz w:val="24"/>
                <w:highlight w:val="none"/>
                <w:lang w:val="en-US" w:eastAsia="zh-CN"/>
              </w:rPr>
              <w:t>2.投标人具有与智慧农业、农业数字化相关国家版权局颁发的计算机软件著作权登记证书的得3分，本项最高得3分，未提供不得分。</w:t>
            </w:r>
            <w:r>
              <w:rPr>
                <w:rFonts w:hint="eastAsia" w:ascii="宋体" w:hAnsi="宋体" w:cs="宋体"/>
                <w:b/>
                <w:bCs/>
                <w:sz w:val="24"/>
                <w:highlight w:val="none"/>
              </w:rPr>
              <w:t>（提供有效</w:t>
            </w:r>
            <w:r>
              <w:rPr>
                <w:rFonts w:hint="eastAsia" w:ascii="宋体" w:hAnsi="宋体" w:cs="宋体"/>
                <w:b/>
                <w:bCs/>
                <w:sz w:val="24"/>
                <w:highlight w:val="none"/>
                <w:lang w:val="en-US" w:eastAsia="zh-CN"/>
              </w:rPr>
              <w:t>的</w:t>
            </w:r>
            <w:r>
              <w:rPr>
                <w:rFonts w:hint="eastAsia" w:ascii="宋体" w:hAnsi="宋体" w:cs="宋体"/>
                <w:b/>
                <w:bCs/>
                <w:sz w:val="24"/>
                <w:highlight w:val="none"/>
              </w:rPr>
              <w:t>证书原件扫描件上传）</w:t>
            </w:r>
          </w:p>
          <w:p w14:paraId="1583AAD3">
            <w:pPr>
              <w:widowControl/>
              <w:rPr>
                <w:rFonts w:hint="eastAsia" w:ascii="宋体" w:hAnsi="宋体" w:cs="宋体"/>
                <w:b/>
                <w:bCs/>
                <w:sz w:val="24"/>
                <w:highlight w:val="none"/>
                <w:lang w:val="en-US" w:eastAsia="zh-CN"/>
              </w:rPr>
            </w:pPr>
            <w:r>
              <w:rPr>
                <w:rFonts w:hint="eastAsia" w:ascii="宋体" w:hAnsi="宋体" w:cs="宋体"/>
                <w:sz w:val="24"/>
                <w:highlight w:val="none"/>
                <w:lang w:val="en-US" w:eastAsia="zh-CN"/>
              </w:rPr>
              <w:t>3.投标人具有与农业平台相关的专利证书的，每提供一个得3分，本项最高得6分，未提供的不得分。</w:t>
            </w:r>
            <w:r>
              <w:rPr>
                <w:rFonts w:hint="eastAsia" w:ascii="宋体" w:hAnsi="宋体" w:cs="宋体"/>
                <w:b/>
                <w:bCs/>
                <w:sz w:val="24"/>
                <w:highlight w:val="none"/>
                <w:lang w:val="en-US" w:eastAsia="zh-CN"/>
              </w:rPr>
              <w:t>（提供</w:t>
            </w:r>
            <w:r>
              <w:rPr>
                <w:rFonts w:hint="eastAsia" w:ascii="宋体" w:hAnsi="宋体" w:cs="宋体"/>
                <w:b/>
                <w:bCs/>
                <w:sz w:val="24"/>
                <w:highlight w:val="none"/>
              </w:rPr>
              <w:t>有效</w:t>
            </w:r>
            <w:r>
              <w:rPr>
                <w:rFonts w:hint="eastAsia" w:ascii="宋体" w:hAnsi="宋体" w:cs="宋体"/>
                <w:b/>
                <w:bCs/>
                <w:sz w:val="24"/>
                <w:highlight w:val="none"/>
                <w:lang w:val="en-US" w:eastAsia="zh-CN"/>
              </w:rPr>
              <w:t>的</w:t>
            </w:r>
            <w:r>
              <w:rPr>
                <w:rFonts w:hint="eastAsia" w:ascii="宋体" w:hAnsi="宋体" w:cs="宋体"/>
                <w:b/>
                <w:bCs/>
                <w:sz w:val="24"/>
                <w:highlight w:val="none"/>
              </w:rPr>
              <w:t>证书原件扫描件上传</w:t>
            </w:r>
            <w:r>
              <w:rPr>
                <w:rFonts w:hint="eastAsia" w:ascii="宋体" w:hAnsi="宋体" w:cs="宋体"/>
                <w:b/>
                <w:bCs/>
                <w:sz w:val="24"/>
                <w:highlight w:val="none"/>
                <w:lang w:val="en-US" w:eastAsia="zh-CN"/>
              </w:rPr>
              <w:t>）</w:t>
            </w:r>
          </w:p>
          <w:p w14:paraId="11ED6DE2">
            <w:pPr>
              <w:widowControl/>
              <w:rPr>
                <w:rFonts w:hint="eastAsia" w:ascii="宋体" w:hAnsi="宋体" w:eastAsia="宋体" w:cs="宋体"/>
                <w:sz w:val="24"/>
                <w:highlight w:val="none"/>
                <w:lang w:val="en-US" w:eastAsia="zh-CN"/>
              </w:rPr>
            </w:pPr>
            <w:r>
              <w:rPr>
                <w:rFonts w:hint="eastAsia" w:ascii="宋体" w:hAnsi="宋体" w:cs="宋体"/>
                <w:b w:val="0"/>
                <w:bCs w:val="0"/>
                <w:sz w:val="24"/>
                <w:highlight w:val="none"/>
                <w:lang w:val="en-US" w:eastAsia="zh-CN"/>
              </w:rPr>
              <w:t>4.</w:t>
            </w:r>
            <w:r>
              <w:rPr>
                <w:rFonts w:hint="eastAsia" w:ascii="宋体" w:hAnsi="宋体" w:cs="宋体"/>
                <w:sz w:val="24"/>
                <w:highlight w:val="none"/>
                <w:lang w:val="en-US" w:eastAsia="zh-CN"/>
              </w:rPr>
              <w:t>投标人获得过科技进步奖的得4分，本项最高得4分，未提供的不得分。</w:t>
            </w:r>
            <w:r>
              <w:rPr>
                <w:rFonts w:hint="eastAsia" w:ascii="宋体" w:hAnsi="宋体" w:cs="宋体"/>
                <w:b/>
                <w:bCs/>
                <w:sz w:val="24"/>
                <w:highlight w:val="none"/>
                <w:lang w:val="en-US" w:eastAsia="zh-CN"/>
              </w:rPr>
              <w:t>（提供</w:t>
            </w:r>
            <w:r>
              <w:rPr>
                <w:rFonts w:hint="eastAsia" w:ascii="宋体" w:hAnsi="宋体" w:cs="宋体"/>
                <w:b/>
                <w:bCs/>
                <w:sz w:val="24"/>
                <w:highlight w:val="none"/>
              </w:rPr>
              <w:t>有效</w:t>
            </w:r>
            <w:r>
              <w:rPr>
                <w:rFonts w:hint="eastAsia" w:ascii="宋体" w:hAnsi="宋体" w:cs="宋体"/>
                <w:b/>
                <w:bCs/>
                <w:sz w:val="24"/>
                <w:highlight w:val="none"/>
                <w:lang w:val="en-US" w:eastAsia="zh-CN"/>
              </w:rPr>
              <w:t>的</w:t>
            </w:r>
            <w:r>
              <w:rPr>
                <w:rFonts w:hint="eastAsia" w:ascii="宋体" w:hAnsi="宋体" w:cs="宋体"/>
                <w:b/>
                <w:bCs/>
                <w:sz w:val="24"/>
                <w:highlight w:val="none"/>
              </w:rPr>
              <w:t>证书原件扫描件上传</w:t>
            </w:r>
            <w:r>
              <w:rPr>
                <w:rFonts w:hint="eastAsia" w:ascii="宋体" w:hAnsi="宋体" w:cs="宋体"/>
                <w:b/>
                <w:bCs/>
                <w:sz w:val="24"/>
                <w:highlight w:val="none"/>
                <w:lang w:val="en-US" w:eastAsia="zh-CN"/>
              </w:rPr>
              <w:t>）</w:t>
            </w:r>
          </w:p>
        </w:tc>
        <w:tc>
          <w:tcPr>
            <w:tcW w:w="900" w:type="dxa"/>
            <w:noWrap/>
            <w:vAlign w:val="center"/>
          </w:tcPr>
          <w:p w14:paraId="3567F8DA">
            <w:pPr>
              <w:pStyle w:val="191"/>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bidi="ar"/>
              </w:rPr>
              <w:t>14</w:t>
            </w:r>
            <w:r>
              <w:rPr>
                <w:rFonts w:hint="eastAsia" w:ascii="宋体" w:hAnsi="宋体" w:eastAsia="宋体" w:cs="宋体"/>
                <w:color w:val="000000"/>
                <w:sz w:val="24"/>
                <w:highlight w:val="none"/>
                <w:lang w:bidi="ar"/>
              </w:rPr>
              <w:t>分</w:t>
            </w:r>
          </w:p>
        </w:tc>
      </w:tr>
      <w:tr w14:paraId="746EC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335" w:type="dxa"/>
            <w:gridSpan w:val="2"/>
            <w:vMerge w:val="continue"/>
            <w:noWrap w:val="0"/>
            <w:vAlign w:val="center"/>
          </w:tcPr>
          <w:p w14:paraId="748E2BC3">
            <w:pPr>
              <w:widowControl/>
              <w:jc w:val="center"/>
              <w:rPr>
                <w:rFonts w:hint="eastAsia" w:ascii="宋体" w:hAnsi="宋体" w:eastAsia="宋体" w:cs="宋体"/>
                <w:sz w:val="24"/>
                <w:highlight w:val="none"/>
              </w:rPr>
            </w:pPr>
          </w:p>
        </w:tc>
        <w:tc>
          <w:tcPr>
            <w:tcW w:w="1335" w:type="dxa"/>
            <w:noWrap w:val="0"/>
            <w:vAlign w:val="center"/>
          </w:tcPr>
          <w:p w14:paraId="0B161954">
            <w:pPr>
              <w:widowControl/>
              <w:jc w:val="center"/>
              <w:rPr>
                <w:rFonts w:hint="eastAsia" w:ascii="宋体" w:hAnsi="宋体" w:eastAsia="宋体" w:cs="宋体"/>
                <w:sz w:val="24"/>
                <w:highlight w:val="none"/>
              </w:rPr>
            </w:pPr>
            <w:r>
              <w:rPr>
                <w:rFonts w:hint="eastAsia" w:ascii="宋体" w:hAnsi="宋体" w:eastAsia="宋体" w:cs="宋体"/>
                <w:sz w:val="24"/>
                <w:highlight w:val="none"/>
              </w:rPr>
              <w:t>业绩</w:t>
            </w:r>
          </w:p>
        </w:tc>
        <w:tc>
          <w:tcPr>
            <w:tcW w:w="6165" w:type="dxa"/>
            <w:noWrap/>
            <w:vAlign w:val="center"/>
          </w:tcPr>
          <w:p w14:paraId="7C2B9255">
            <w:pPr>
              <w:widowControl/>
              <w:rPr>
                <w:rFonts w:hint="eastAsia" w:ascii="宋体" w:hAnsi="宋体" w:eastAsia="宋体" w:cs="宋体"/>
                <w:sz w:val="24"/>
                <w:highlight w:val="none"/>
                <w:lang w:eastAsia="zh-CN"/>
              </w:rPr>
            </w:pPr>
            <w:r>
              <w:rPr>
                <w:rFonts w:hint="eastAsia" w:ascii="宋体" w:hAnsi="宋体" w:cs="宋体"/>
                <w:sz w:val="24"/>
                <w:highlight w:val="none"/>
                <w:lang w:eastAsia="zh-CN"/>
              </w:rPr>
              <w:t>投标人</w:t>
            </w:r>
            <w:r>
              <w:rPr>
                <w:rFonts w:hint="eastAsia" w:ascii="宋体" w:hAnsi="宋体" w:cs="宋体"/>
                <w:sz w:val="24"/>
                <w:highlight w:val="none"/>
                <w:lang w:val="en-US" w:eastAsia="zh-CN"/>
              </w:rPr>
              <w:t>自</w:t>
            </w:r>
            <w:r>
              <w:rPr>
                <w:rFonts w:hint="eastAsia" w:ascii="宋体" w:hAnsi="宋体" w:cs="宋体"/>
                <w:sz w:val="24"/>
                <w:highlight w:val="none"/>
              </w:rPr>
              <w:t>202</w:t>
            </w:r>
            <w:r>
              <w:rPr>
                <w:rFonts w:hint="eastAsia" w:ascii="宋体" w:hAnsi="宋体" w:cs="宋体"/>
                <w:sz w:val="24"/>
                <w:highlight w:val="none"/>
                <w:lang w:val="en-US" w:eastAsia="zh-CN"/>
              </w:rPr>
              <w:t>3</w:t>
            </w:r>
            <w:r>
              <w:rPr>
                <w:rFonts w:hint="eastAsia" w:ascii="宋体" w:hAnsi="宋体" w:cs="宋体"/>
                <w:sz w:val="24"/>
                <w:highlight w:val="none"/>
              </w:rPr>
              <w:t>年</w:t>
            </w:r>
            <w:r>
              <w:rPr>
                <w:rFonts w:hint="eastAsia" w:ascii="宋体" w:hAnsi="宋体" w:cs="宋体"/>
                <w:sz w:val="24"/>
                <w:highlight w:val="none"/>
                <w:lang w:val="en-US" w:eastAsia="zh-CN"/>
              </w:rPr>
              <w:t>1</w:t>
            </w:r>
            <w:r>
              <w:rPr>
                <w:rFonts w:hint="eastAsia" w:ascii="宋体" w:hAnsi="宋体" w:cs="宋体"/>
                <w:sz w:val="24"/>
                <w:highlight w:val="none"/>
              </w:rPr>
              <w:t>月</w:t>
            </w:r>
            <w:r>
              <w:rPr>
                <w:rFonts w:hint="eastAsia" w:ascii="宋体" w:hAnsi="宋体" w:cs="宋体"/>
                <w:sz w:val="24"/>
                <w:highlight w:val="none"/>
                <w:lang w:val="en-US" w:eastAsia="zh-CN"/>
              </w:rPr>
              <w:t>1</w:t>
            </w:r>
            <w:r>
              <w:rPr>
                <w:rFonts w:hint="eastAsia" w:ascii="宋体" w:hAnsi="宋体" w:cs="宋体"/>
                <w:sz w:val="24"/>
                <w:highlight w:val="none"/>
              </w:rPr>
              <w:t>日以来</w:t>
            </w:r>
            <w:r>
              <w:rPr>
                <w:rFonts w:hint="eastAsia" w:ascii="宋体" w:hAnsi="宋体" w:cs="宋体"/>
                <w:sz w:val="24"/>
                <w:highlight w:val="none"/>
                <w:lang w:eastAsia="zh-CN"/>
              </w:rPr>
              <w:t>，</w:t>
            </w:r>
            <w:r>
              <w:rPr>
                <w:rFonts w:hint="eastAsia" w:ascii="宋体" w:hAnsi="宋体" w:cs="宋体"/>
                <w:sz w:val="24"/>
                <w:highlight w:val="none"/>
                <w:lang w:val="en-US" w:eastAsia="zh-CN"/>
              </w:rPr>
              <w:t>承担过</w:t>
            </w:r>
            <w:r>
              <w:rPr>
                <w:rFonts w:hint="eastAsia" w:ascii="宋体" w:hAnsi="宋体" w:cs="宋体"/>
                <w:sz w:val="24"/>
                <w:highlight w:val="none"/>
              </w:rPr>
              <w:t>农业数字化、信息化类</w:t>
            </w:r>
            <w:r>
              <w:rPr>
                <w:rFonts w:hint="eastAsia" w:ascii="宋体" w:hAnsi="宋体" w:cs="宋体"/>
                <w:sz w:val="24"/>
                <w:highlight w:val="none"/>
                <w:lang w:val="en-US" w:eastAsia="zh-CN"/>
              </w:rPr>
              <w:t>平台建设</w:t>
            </w:r>
            <w:r>
              <w:rPr>
                <w:rFonts w:hint="eastAsia" w:ascii="宋体" w:hAnsi="宋体" w:cs="宋体"/>
                <w:sz w:val="24"/>
                <w:highlight w:val="none"/>
              </w:rPr>
              <w:t>项目的，每提供一个得</w:t>
            </w:r>
            <w:r>
              <w:rPr>
                <w:rFonts w:hint="eastAsia" w:ascii="宋体" w:hAnsi="宋体" w:cs="宋体"/>
                <w:sz w:val="24"/>
                <w:highlight w:val="none"/>
                <w:lang w:val="en-US" w:eastAsia="zh-CN"/>
              </w:rPr>
              <w:t>5</w:t>
            </w:r>
            <w:r>
              <w:rPr>
                <w:rFonts w:hint="eastAsia" w:ascii="宋体" w:hAnsi="宋体" w:cs="宋体"/>
                <w:sz w:val="24"/>
                <w:highlight w:val="none"/>
              </w:rPr>
              <w:t>分，本项最高得</w:t>
            </w:r>
            <w:r>
              <w:rPr>
                <w:rFonts w:hint="eastAsia" w:ascii="宋体" w:hAnsi="宋体" w:cs="宋体"/>
                <w:sz w:val="24"/>
                <w:highlight w:val="none"/>
                <w:lang w:val="en-US" w:eastAsia="zh-CN"/>
              </w:rPr>
              <w:t>10</w:t>
            </w:r>
            <w:r>
              <w:rPr>
                <w:rFonts w:hint="eastAsia" w:ascii="宋体" w:hAnsi="宋体" w:cs="宋体"/>
                <w:sz w:val="24"/>
                <w:highlight w:val="none"/>
              </w:rPr>
              <w:t>分，未提供不得分</w:t>
            </w:r>
            <w:r>
              <w:rPr>
                <w:rFonts w:hint="eastAsia" w:ascii="宋体" w:hAnsi="宋体" w:cs="宋体"/>
                <w:sz w:val="24"/>
                <w:highlight w:val="none"/>
                <w:lang w:eastAsia="zh-CN"/>
              </w:rPr>
              <w:t>；</w:t>
            </w:r>
          </w:p>
          <w:p w14:paraId="67C98672">
            <w:pPr>
              <w:widowControl/>
              <w:rPr>
                <w:rFonts w:hint="eastAsia" w:ascii="宋体" w:hAnsi="宋体" w:eastAsia="宋体" w:cs="宋体"/>
                <w:sz w:val="24"/>
                <w:highlight w:val="none"/>
              </w:rPr>
            </w:pPr>
            <w:r>
              <w:rPr>
                <w:rFonts w:hint="eastAsia" w:ascii="宋体" w:hAnsi="宋体"/>
                <w:b/>
                <w:bCs/>
                <w:sz w:val="24"/>
                <w:highlight w:val="none"/>
              </w:rPr>
              <w:t>（</w:t>
            </w:r>
            <w:r>
              <w:rPr>
                <w:rFonts w:hint="eastAsia" w:ascii="宋体" w:hAnsi="宋体"/>
                <w:b/>
                <w:bCs/>
                <w:sz w:val="24"/>
                <w:highlight w:val="none"/>
                <w:lang w:val="zh-CN"/>
              </w:rPr>
              <w:t>提供</w:t>
            </w:r>
            <w:r>
              <w:rPr>
                <w:rFonts w:hint="eastAsia" w:ascii="宋体" w:hAnsi="宋体"/>
                <w:b/>
                <w:bCs/>
                <w:sz w:val="24"/>
                <w:highlight w:val="none"/>
                <w:lang w:val="en-US" w:eastAsia="zh-CN"/>
              </w:rPr>
              <w:t>中标通知书、</w:t>
            </w:r>
            <w:r>
              <w:rPr>
                <w:rFonts w:hint="eastAsia" w:ascii="宋体" w:hAnsi="宋体"/>
                <w:b/>
                <w:bCs/>
                <w:sz w:val="24"/>
                <w:highlight w:val="none"/>
                <w:lang w:val="zh-CN"/>
              </w:rPr>
              <w:t>合同原件扫描件上传，时间以合同签订时间为准，合同内容中需能反映出相关内容，否则不得分）</w:t>
            </w:r>
          </w:p>
        </w:tc>
        <w:tc>
          <w:tcPr>
            <w:tcW w:w="900" w:type="dxa"/>
            <w:noWrap/>
            <w:vAlign w:val="center"/>
          </w:tcPr>
          <w:p w14:paraId="2B38F05A">
            <w:pPr>
              <w:pStyle w:val="300"/>
              <w:jc w:val="center"/>
              <w:rPr>
                <w:rFonts w:hint="eastAsia" w:ascii="宋体" w:hAnsi="宋体" w:eastAsia="宋体" w:cs="宋体"/>
                <w:sz w:val="24"/>
                <w:highlight w:val="none"/>
                <w:lang w:val="en-US" w:bidi="ar-SA"/>
              </w:rPr>
            </w:pPr>
            <w:r>
              <w:rPr>
                <w:rFonts w:hint="eastAsia" w:cs="宋体"/>
                <w:sz w:val="24"/>
                <w:highlight w:val="none"/>
                <w:lang w:val="en-US" w:eastAsia="zh-CN" w:bidi="ar-SA"/>
              </w:rPr>
              <w:t>10</w:t>
            </w:r>
            <w:r>
              <w:rPr>
                <w:rFonts w:hint="eastAsia" w:ascii="宋体" w:hAnsi="宋体" w:eastAsia="宋体" w:cs="宋体"/>
                <w:sz w:val="24"/>
                <w:highlight w:val="none"/>
                <w:lang w:val="en-US" w:bidi="ar-SA"/>
              </w:rPr>
              <w:t>分</w:t>
            </w:r>
          </w:p>
        </w:tc>
      </w:tr>
      <w:tr w14:paraId="1B8BE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1335" w:type="dxa"/>
            <w:gridSpan w:val="2"/>
            <w:vMerge w:val="continue"/>
            <w:noWrap w:val="0"/>
            <w:vAlign w:val="center"/>
          </w:tcPr>
          <w:p w14:paraId="0DF69A7F">
            <w:pPr>
              <w:jc w:val="center"/>
              <w:rPr>
                <w:rFonts w:hint="eastAsia" w:ascii="宋体" w:hAnsi="宋体" w:eastAsia="宋体" w:cs="宋体"/>
                <w:sz w:val="24"/>
                <w:highlight w:val="none"/>
                <w:lang w:val="en-US" w:eastAsia="zh-CN"/>
              </w:rPr>
            </w:pPr>
          </w:p>
        </w:tc>
        <w:tc>
          <w:tcPr>
            <w:tcW w:w="1335" w:type="dxa"/>
            <w:noWrap w:val="0"/>
            <w:vAlign w:val="center"/>
          </w:tcPr>
          <w:p w14:paraId="3D75F29C">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项目人员</w:t>
            </w:r>
          </w:p>
        </w:tc>
        <w:tc>
          <w:tcPr>
            <w:tcW w:w="6165" w:type="dxa"/>
            <w:noWrap/>
            <w:vAlign w:val="center"/>
          </w:tcPr>
          <w:p w14:paraId="3205BA1A">
            <w:pPr>
              <w:jc w:val="lef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投标人拟配备本项目的项目组成员中，具有信息系统项目管理师资格证书的得6分，具有信息系统管理工程师资格证书的得3分，本项最高得6分，未提供不得分。</w:t>
            </w:r>
          </w:p>
          <w:p w14:paraId="5CD8DC72">
            <w:pPr>
              <w:jc w:val="left"/>
              <w:rPr>
                <w:rFonts w:hint="eastAsia" w:ascii="宋体" w:hAnsi="宋体" w:eastAsia="宋体" w:cs="宋体"/>
                <w:sz w:val="24"/>
                <w:highlight w:val="none"/>
              </w:rPr>
            </w:pPr>
            <w:r>
              <w:rPr>
                <w:rFonts w:hint="eastAsia" w:ascii="宋体" w:hAnsi="宋体" w:eastAsia="宋体" w:cs="宋体"/>
                <w:b/>
                <w:bCs/>
                <w:sz w:val="24"/>
                <w:highlight w:val="none"/>
                <w:lang w:val="en-US" w:eastAsia="zh-CN"/>
              </w:rPr>
              <w:t>（提供人员的资格证书和</w:t>
            </w:r>
            <w:r>
              <w:rPr>
                <w:rFonts w:hint="eastAsia" w:ascii="宋体" w:hAnsi="宋体" w:cs="宋体"/>
                <w:b/>
                <w:bCs/>
                <w:sz w:val="24"/>
                <w:highlight w:val="none"/>
              </w:rPr>
              <w:t>社保机构出具的任意1个月</w:t>
            </w:r>
            <w:r>
              <w:rPr>
                <w:rFonts w:hint="eastAsia" w:ascii="宋体" w:hAnsi="宋体" w:cs="宋体"/>
                <w:b/>
                <w:bCs/>
                <w:sz w:val="24"/>
                <w:highlight w:val="none"/>
                <w:lang w:eastAsia="zh-CN"/>
              </w:rPr>
              <w:t>投标人</w:t>
            </w:r>
            <w:r>
              <w:rPr>
                <w:rFonts w:hint="eastAsia" w:ascii="宋体" w:hAnsi="宋体" w:cs="宋体"/>
                <w:b/>
                <w:bCs/>
                <w:sz w:val="24"/>
                <w:highlight w:val="none"/>
              </w:rPr>
              <w:t>为其缴纳的养老保险缴费证明材料原件并加盖社保中心章或社保中心参保缴费证明电子专用章（加盖社保中心参保缴费证明电子专用章的社保材料可视为原件），原件扫描件上传</w:t>
            </w:r>
            <w:r>
              <w:rPr>
                <w:rFonts w:hint="eastAsia" w:ascii="宋体" w:hAnsi="宋体" w:eastAsia="宋体" w:cs="宋体"/>
                <w:b/>
                <w:bCs/>
                <w:sz w:val="24"/>
                <w:highlight w:val="none"/>
                <w:lang w:val="en-US" w:eastAsia="zh-CN"/>
              </w:rPr>
              <w:t>）</w:t>
            </w:r>
          </w:p>
        </w:tc>
        <w:tc>
          <w:tcPr>
            <w:tcW w:w="900" w:type="dxa"/>
            <w:noWrap/>
            <w:vAlign w:val="center"/>
          </w:tcPr>
          <w:p w14:paraId="6CDCC039">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6分</w:t>
            </w:r>
          </w:p>
        </w:tc>
      </w:tr>
      <w:tr w14:paraId="47308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1290" w:type="dxa"/>
            <w:vMerge w:val="restart"/>
            <w:noWrap w:val="0"/>
            <w:vAlign w:val="center"/>
          </w:tcPr>
          <w:p w14:paraId="22749414">
            <w:pPr>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售后服务（10分）</w:t>
            </w:r>
          </w:p>
        </w:tc>
        <w:tc>
          <w:tcPr>
            <w:tcW w:w="1380" w:type="dxa"/>
            <w:gridSpan w:val="2"/>
            <w:noWrap w:val="0"/>
            <w:vAlign w:val="center"/>
          </w:tcPr>
          <w:p w14:paraId="5270B4B3">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日常运维</w:t>
            </w:r>
          </w:p>
        </w:tc>
        <w:tc>
          <w:tcPr>
            <w:tcW w:w="6165" w:type="dxa"/>
            <w:noWrap/>
            <w:vAlign w:val="center"/>
          </w:tcPr>
          <w:p w14:paraId="0705E741">
            <w:pPr>
              <w:jc w:val="left"/>
              <w:rPr>
                <w:rFonts w:hint="eastAsia" w:ascii="宋体" w:hAnsi="宋体" w:cs="宋体"/>
                <w:sz w:val="24"/>
                <w:highlight w:val="none"/>
                <w:lang w:val="en-US" w:eastAsia="zh-CN"/>
              </w:rPr>
            </w:pPr>
            <w:r>
              <w:rPr>
                <w:rFonts w:hint="eastAsia" w:ascii="宋体" w:hAnsi="宋体" w:cs="宋体"/>
                <w:sz w:val="24"/>
                <w:highlight w:val="none"/>
                <w:lang w:val="en-US" w:eastAsia="zh-CN"/>
              </w:rPr>
              <w:t>根据投标人提供的日常运维服务内容的全面性、针对性、可操作性、合理性等进行综合评审。4＜优≤6分，2＜良≤4分，0＜差≤2分，未提供或有明显缺项的不得分。</w:t>
            </w:r>
          </w:p>
        </w:tc>
        <w:tc>
          <w:tcPr>
            <w:tcW w:w="900" w:type="dxa"/>
            <w:noWrap/>
            <w:vAlign w:val="center"/>
          </w:tcPr>
          <w:p w14:paraId="1FF42A70">
            <w:pPr>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6分</w:t>
            </w:r>
          </w:p>
        </w:tc>
      </w:tr>
      <w:tr w14:paraId="44E10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1290" w:type="dxa"/>
            <w:vMerge w:val="continue"/>
            <w:noWrap w:val="0"/>
            <w:vAlign w:val="center"/>
          </w:tcPr>
          <w:p w14:paraId="662BB42B">
            <w:pPr>
              <w:jc w:val="center"/>
              <w:rPr>
                <w:rFonts w:hint="eastAsia" w:ascii="宋体" w:hAnsi="宋体" w:eastAsia="宋体" w:cs="宋体"/>
                <w:sz w:val="24"/>
                <w:highlight w:val="none"/>
                <w:lang w:val="en-US" w:eastAsia="zh-CN"/>
              </w:rPr>
            </w:pPr>
          </w:p>
        </w:tc>
        <w:tc>
          <w:tcPr>
            <w:tcW w:w="1380" w:type="dxa"/>
            <w:gridSpan w:val="2"/>
            <w:noWrap w:val="0"/>
            <w:vAlign w:val="center"/>
          </w:tcPr>
          <w:p w14:paraId="577C3F4B">
            <w:pPr>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应急响应</w:t>
            </w:r>
          </w:p>
        </w:tc>
        <w:tc>
          <w:tcPr>
            <w:tcW w:w="6165" w:type="dxa"/>
            <w:noWrap/>
            <w:vAlign w:val="center"/>
          </w:tcPr>
          <w:p w14:paraId="78CED649">
            <w:pPr>
              <w:jc w:val="left"/>
              <w:rPr>
                <w:rFonts w:hint="eastAsia" w:ascii="宋体" w:hAnsi="宋体" w:cs="宋体"/>
                <w:sz w:val="24"/>
                <w:highlight w:val="none"/>
                <w:lang w:val="en-US" w:eastAsia="zh-CN"/>
              </w:rPr>
            </w:pPr>
            <w:r>
              <w:rPr>
                <w:rFonts w:hint="eastAsia" w:ascii="宋体" w:hAnsi="宋体" w:cs="宋体"/>
                <w:sz w:val="24"/>
                <w:highlight w:val="none"/>
                <w:lang w:val="en-US" w:eastAsia="zh-CN"/>
              </w:rPr>
              <w:t>根据投标人提供的售后应急响应服务内容的合理性、可操作性等进行综合评审。2＜优≤4分，2＜良≤2分，0＜差≤1分，未提供或有明显缺项的不得分。</w:t>
            </w:r>
          </w:p>
        </w:tc>
        <w:tc>
          <w:tcPr>
            <w:tcW w:w="900" w:type="dxa"/>
            <w:noWrap/>
            <w:vAlign w:val="center"/>
          </w:tcPr>
          <w:p w14:paraId="3C221B31">
            <w:pPr>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4分</w:t>
            </w:r>
          </w:p>
        </w:tc>
      </w:tr>
      <w:tr w14:paraId="3C419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290" w:type="dxa"/>
            <w:vMerge w:val="restart"/>
            <w:noWrap w:val="0"/>
            <w:vAlign w:val="center"/>
          </w:tcPr>
          <w:p w14:paraId="6DA5ED0E">
            <w:pPr>
              <w:jc w:val="center"/>
              <w:rPr>
                <w:rFonts w:hint="eastAsia" w:ascii="宋体" w:hAnsi="宋体" w:eastAsia="宋体" w:cs="宋体"/>
                <w:sz w:val="24"/>
                <w:highlight w:val="none"/>
              </w:rPr>
            </w:pPr>
            <w:r>
              <w:rPr>
                <w:rFonts w:hint="eastAsia" w:ascii="宋体" w:hAnsi="宋体" w:eastAsia="宋体" w:cs="宋体"/>
                <w:sz w:val="24"/>
                <w:highlight w:val="none"/>
              </w:rPr>
              <w:t>方案部分（</w:t>
            </w:r>
            <w:r>
              <w:rPr>
                <w:rFonts w:hint="eastAsia" w:ascii="宋体" w:hAnsi="宋体" w:eastAsia="宋体" w:cs="宋体"/>
                <w:sz w:val="24"/>
                <w:highlight w:val="none"/>
                <w:lang w:val="en-US" w:eastAsia="zh-CN"/>
              </w:rPr>
              <w:t>40</w:t>
            </w:r>
            <w:r>
              <w:rPr>
                <w:rFonts w:hint="eastAsia" w:ascii="宋体" w:hAnsi="宋体" w:eastAsia="宋体" w:cs="宋体"/>
                <w:sz w:val="24"/>
                <w:highlight w:val="none"/>
              </w:rPr>
              <w:t>分）</w:t>
            </w:r>
          </w:p>
        </w:tc>
        <w:tc>
          <w:tcPr>
            <w:tcW w:w="1380" w:type="dxa"/>
            <w:gridSpan w:val="2"/>
            <w:noWrap/>
            <w:vAlign w:val="center"/>
          </w:tcPr>
          <w:p w14:paraId="3253B23D">
            <w:pPr>
              <w:widowControl/>
              <w:jc w:val="center"/>
              <w:rPr>
                <w:rFonts w:hint="eastAsia" w:ascii="宋体" w:hAnsi="宋体" w:eastAsia="宋体" w:cs="宋体"/>
                <w:sz w:val="24"/>
                <w:highlight w:val="none"/>
              </w:rPr>
            </w:pPr>
            <w:r>
              <w:rPr>
                <w:rFonts w:hint="eastAsia" w:ascii="宋体" w:hAnsi="宋体" w:cs="宋体"/>
                <w:sz w:val="24"/>
                <w:highlight w:val="none"/>
                <w:lang w:val="en-US" w:eastAsia="zh-CN"/>
              </w:rPr>
              <w:t>现状分析</w:t>
            </w:r>
          </w:p>
        </w:tc>
        <w:tc>
          <w:tcPr>
            <w:tcW w:w="6165" w:type="dxa"/>
            <w:noWrap/>
            <w:vAlign w:val="center"/>
          </w:tcPr>
          <w:p w14:paraId="6B48431F">
            <w:pPr>
              <w:widowControl/>
              <w:rPr>
                <w:rFonts w:hint="eastAsia" w:ascii="宋体" w:hAnsi="宋体" w:eastAsia="宋体" w:cs="宋体"/>
                <w:sz w:val="24"/>
                <w:highlight w:val="none"/>
              </w:rPr>
            </w:pPr>
            <w:r>
              <w:rPr>
                <w:rFonts w:hint="eastAsia" w:ascii="宋体" w:hAnsi="宋体" w:cs="宋体"/>
                <w:sz w:val="24"/>
                <w:highlight w:val="none"/>
                <w:lang w:eastAsia="zh-CN"/>
              </w:rPr>
              <w:t>投标人</w:t>
            </w:r>
            <w:r>
              <w:rPr>
                <w:rFonts w:hint="eastAsia" w:ascii="宋体" w:hAnsi="宋体" w:cs="宋体"/>
                <w:sz w:val="24"/>
                <w:highlight w:val="none"/>
              </w:rPr>
              <w:t>根据国家政策对项目的背景、依据、目标、内容</w:t>
            </w:r>
            <w:r>
              <w:rPr>
                <w:rFonts w:hint="eastAsia" w:ascii="宋体" w:hAnsi="宋体" w:cs="宋体"/>
                <w:sz w:val="24"/>
                <w:highlight w:val="none"/>
                <w:lang w:val="en-US" w:eastAsia="zh-CN"/>
              </w:rPr>
              <w:t>并结合种业发展现状、存在问题对项目的需求展开针对性分析，对分析内容的针对性、准确性、完整性、详细性等进行综合评审。5</w:t>
            </w:r>
            <w:r>
              <w:rPr>
                <w:rFonts w:hint="eastAsia" w:ascii="宋体" w:hAnsi="宋体" w:cs="宋体"/>
                <w:sz w:val="24"/>
                <w:highlight w:val="none"/>
              </w:rPr>
              <w:t>＜优≤</w:t>
            </w:r>
            <w:r>
              <w:rPr>
                <w:rFonts w:hint="eastAsia" w:ascii="宋体" w:hAnsi="宋体" w:cs="宋体"/>
                <w:sz w:val="24"/>
                <w:highlight w:val="none"/>
                <w:lang w:val="en-US" w:eastAsia="zh-CN"/>
              </w:rPr>
              <w:t>8</w:t>
            </w:r>
            <w:r>
              <w:rPr>
                <w:rFonts w:hint="eastAsia" w:ascii="宋体" w:hAnsi="宋体" w:cs="宋体"/>
                <w:sz w:val="24"/>
                <w:highlight w:val="none"/>
              </w:rPr>
              <w:t>分，</w:t>
            </w:r>
            <w:r>
              <w:rPr>
                <w:rFonts w:hint="eastAsia" w:ascii="宋体" w:hAnsi="宋体" w:cs="宋体"/>
                <w:sz w:val="24"/>
                <w:highlight w:val="none"/>
                <w:lang w:val="en-US" w:eastAsia="zh-CN"/>
              </w:rPr>
              <w:t>2</w:t>
            </w:r>
            <w:r>
              <w:rPr>
                <w:rFonts w:hint="eastAsia" w:ascii="宋体" w:hAnsi="宋体" w:cs="宋体"/>
                <w:sz w:val="24"/>
                <w:highlight w:val="none"/>
              </w:rPr>
              <w:t>＜良≤</w:t>
            </w:r>
            <w:r>
              <w:rPr>
                <w:rFonts w:hint="eastAsia" w:ascii="宋体" w:hAnsi="宋体" w:cs="宋体"/>
                <w:sz w:val="24"/>
                <w:highlight w:val="none"/>
                <w:lang w:val="en-US" w:eastAsia="zh-CN"/>
              </w:rPr>
              <w:t>5</w:t>
            </w:r>
            <w:r>
              <w:rPr>
                <w:rFonts w:hint="eastAsia" w:ascii="宋体" w:hAnsi="宋体" w:cs="宋体"/>
                <w:sz w:val="24"/>
                <w:highlight w:val="none"/>
              </w:rPr>
              <w:t>分，0＜差≤</w:t>
            </w:r>
            <w:r>
              <w:rPr>
                <w:rFonts w:hint="eastAsia" w:ascii="宋体" w:hAnsi="宋体" w:cs="宋体"/>
                <w:sz w:val="24"/>
                <w:highlight w:val="none"/>
                <w:lang w:val="en-US" w:eastAsia="zh-CN"/>
              </w:rPr>
              <w:t>2</w:t>
            </w:r>
            <w:r>
              <w:rPr>
                <w:rFonts w:hint="eastAsia" w:ascii="宋体" w:hAnsi="宋体" w:cs="宋体"/>
                <w:sz w:val="24"/>
                <w:highlight w:val="none"/>
              </w:rPr>
              <w:t>分，未提供或有明显缺项的不得分。</w:t>
            </w:r>
          </w:p>
        </w:tc>
        <w:tc>
          <w:tcPr>
            <w:tcW w:w="900" w:type="dxa"/>
            <w:noWrap/>
            <w:vAlign w:val="center"/>
          </w:tcPr>
          <w:p w14:paraId="4241D400">
            <w:pPr>
              <w:widowControl/>
              <w:jc w:val="center"/>
              <w:rPr>
                <w:rFonts w:hint="eastAsia" w:ascii="宋体" w:hAnsi="宋体" w:eastAsia="宋体" w:cs="宋体"/>
                <w:sz w:val="24"/>
                <w:highlight w:val="none"/>
              </w:rPr>
            </w:pPr>
            <w:r>
              <w:rPr>
                <w:rFonts w:hint="eastAsia" w:ascii="宋体" w:hAnsi="宋体" w:cs="宋体"/>
                <w:sz w:val="24"/>
                <w:highlight w:val="none"/>
                <w:lang w:val="en-US" w:eastAsia="zh-CN"/>
              </w:rPr>
              <w:t>8</w:t>
            </w:r>
            <w:r>
              <w:rPr>
                <w:rFonts w:hint="eastAsia" w:ascii="宋体" w:hAnsi="宋体" w:cs="宋体"/>
                <w:color w:val="000000"/>
                <w:sz w:val="24"/>
                <w:highlight w:val="none"/>
                <w:lang w:bidi="ar"/>
              </w:rPr>
              <w:t>分</w:t>
            </w:r>
          </w:p>
        </w:tc>
      </w:tr>
      <w:tr w14:paraId="449F6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63" w:hRule="atLeast"/>
        </w:trPr>
        <w:tc>
          <w:tcPr>
            <w:tcW w:w="1290" w:type="dxa"/>
            <w:vMerge w:val="continue"/>
            <w:noWrap w:val="0"/>
            <w:vAlign w:val="center"/>
          </w:tcPr>
          <w:p w14:paraId="3ECD7F31">
            <w:pPr>
              <w:jc w:val="center"/>
              <w:rPr>
                <w:rFonts w:hint="eastAsia" w:ascii="宋体" w:hAnsi="宋体" w:eastAsia="宋体" w:cs="宋体"/>
                <w:sz w:val="24"/>
                <w:highlight w:val="none"/>
              </w:rPr>
            </w:pPr>
          </w:p>
        </w:tc>
        <w:tc>
          <w:tcPr>
            <w:tcW w:w="1380" w:type="dxa"/>
            <w:gridSpan w:val="2"/>
            <w:noWrap/>
            <w:vAlign w:val="center"/>
          </w:tcPr>
          <w:p w14:paraId="268FD4EC">
            <w:pPr>
              <w:widowControl/>
              <w:jc w:val="center"/>
              <w:rPr>
                <w:rFonts w:hint="eastAsia" w:ascii="宋体" w:hAnsi="宋体" w:eastAsia="宋体" w:cs="宋体"/>
                <w:sz w:val="24"/>
                <w:highlight w:val="none"/>
              </w:rPr>
            </w:pPr>
            <w:r>
              <w:rPr>
                <w:rFonts w:hint="eastAsia" w:ascii="宋体" w:hAnsi="宋体" w:cs="宋体"/>
                <w:sz w:val="24"/>
                <w:highlight w:val="none"/>
                <w:lang w:val="en-US" w:eastAsia="zh-CN"/>
              </w:rPr>
              <w:t>项目总体设计</w:t>
            </w:r>
          </w:p>
        </w:tc>
        <w:tc>
          <w:tcPr>
            <w:tcW w:w="6165" w:type="dxa"/>
            <w:noWrap/>
            <w:vAlign w:val="center"/>
          </w:tcPr>
          <w:p w14:paraId="68359827">
            <w:pPr>
              <w:widowControl/>
              <w:rPr>
                <w:rFonts w:hint="eastAsia" w:ascii="宋体" w:hAnsi="宋体" w:eastAsia="宋体" w:cs="宋体"/>
                <w:sz w:val="24"/>
                <w:highlight w:val="none"/>
              </w:rPr>
            </w:pPr>
            <w:r>
              <w:rPr>
                <w:rFonts w:hint="eastAsia" w:ascii="宋体" w:hAnsi="宋体" w:cs="宋体"/>
                <w:sz w:val="24"/>
                <w:highlight w:val="none"/>
                <w:lang w:val="en-US" w:eastAsia="zh-CN"/>
              </w:rPr>
              <w:t>根据投标人提供的依据国家对种业发展政策并结合金湖县实际情况的项目总体设计内容（包括顶层设计的模型、规划、理论核心等）的准确性、完整性、可行性、详细性等进行综合评审。8</w:t>
            </w:r>
            <w:r>
              <w:rPr>
                <w:rFonts w:hint="eastAsia" w:ascii="宋体" w:hAnsi="宋体" w:cs="宋体"/>
                <w:sz w:val="24"/>
                <w:highlight w:val="none"/>
              </w:rPr>
              <w:t>＜优≤</w:t>
            </w:r>
            <w:r>
              <w:rPr>
                <w:rFonts w:hint="eastAsia" w:ascii="宋体" w:hAnsi="宋体" w:cs="宋体"/>
                <w:sz w:val="24"/>
                <w:highlight w:val="none"/>
                <w:lang w:val="en-US" w:eastAsia="zh-CN"/>
              </w:rPr>
              <w:t>12</w:t>
            </w:r>
            <w:r>
              <w:rPr>
                <w:rFonts w:hint="eastAsia" w:ascii="宋体" w:hAnsi="宋体" w:cs="宋体"/>
                <w:sz w:val="24"/>
                <w:highlight w:val="none"/>
              </w:rPr>
              <w:t>分，</w:t>
            </w:r>
            <w:r>
              <w:rPr>
                <w:rFonts w:hint="eastAsia" w:ascii="宋体" w:hAnsi="宋体" w:cs="宋体"/>
                <w:sz w:val="24"/>
                <w:highlight w:val="none"/>
                <w:lang w:val="en-US" w:eastAsia="zh-CN"/>
              </w:rPr>
              <w:t>4</w:t>
            </w:r>
            <w:r>
              <w:rPr>
                <w:rFonts w:hint="eastAsia" w:ascii="宋体" w:hAnsi="宋体" w:cs="宋体"/>
                <w:sz w:val="24"/>
                <w:highlight w:val="none"/>
              </w:rPr>
              <w:t>＜良≤</w:t>
            </w:r>
            <w:r>
              <w:rPr>
                <w:rFonts w:hint="eastAsia" w:ascii="宋体" w:hAnsi="宋体" w:cs="宋体"/>
                <w:sz w:val="24"/>
                <w:highlight w:val="none"/>
                <w:lang w:val="en-US" w:eastAsia="zh-CN"/>
              </w:rPr>
              <w:t>8</w:t>
            </w:r>
            <w:r>
              <w:rPr>
                <w:rFonts w:hint="eastAsia" w:ascii="宋体" w:hAnsi="宋体" w:cs="宋体"/>
                <w:sz w:val="24"/>
                <w:highlight w:val="none"/>
              </w:rPr>
              <w:t>分，0＜差≤</w:t>
            </w:r>
            <w:r>
              <w:rPr>
                <w:rFonts w:hint="eastAsia" w:ascii="宋体" w:hAnsi="宋体" w:cs="宋体"/>
                <w:sz w:val="24"/>
                <w:highlight w:val="none"/>
                <w:lang w:val="en-US" w:eastAsia="zh-CN"/>
              </w:rPr>
              <w:t>4</w:t>
            </w:r>
            <w:r>
              <w:rPr>
                <w:rFonts w:hint="eastAsia" w:ascii="宋体" w:hAnsi="宋体" w:cs="宋体"/>
                <w:sz w:val="24"/>
                <w:highlight w:val="none"/>
              </w:rPr>
              <w:t>分</w:t>
            </w:r>
            <w:r>
              <w:rPr>
                <w:rFonts w:hint="eastAsia" w:ascii="宋体" w:hAnsi="宋体" w:cs="宋体"/>
                <w:sz w:val="24"/>
                <w:highlight w:val="none"/>
                <w:lang w:val="en-US" w:eastAsia="zh-CN"/>
              </w:rPr>
              <w:t>，未提供或有明显缺项的不得分。</w:t>
            </w:r>
          </w:p>
        </w:tc>
        <w:tc>
          <w:tcPr>
            <w:tcW w:w="900" w:type="dxa"/>
            <w:noWrap/>
            <w:vAlign w:val="center"/>
          </w:tcPr>
          <w:p w14:paraId="38DC6E1C">
            <w:pPr>
              <w:widowControl/>
              <w:jc w:val="center"/>
              <w:rPr>
                <w:rFonts w:hint="eastAsia" w:ascii="宋体" w:hAnsi="宋体" w:eastAsia="宋体" w:cs="宋体"/>
                <w:sz w:val="24"/>
                <w:highlight w:val="none"/>
              </w:rPr>
            </w:pPr>
            <w:r>
              <w:rPr>
                <w:rFonts w:hint="eastAsia" w:ascii="宋体" w:hAnsi="宋体" w:cs="宋体"/>
                <w:sz w:val="24"/>
                <w:highlight w:val="none"/>
                <w:lang w:val="en-US" w:eastAsia="zh-CN"/>
              </w:rPr>
              <w:t>12分</w:t>
            </w:r>
          </w:p>
        </w:tc>
      </w:tr>
      <w:tr w14:paraId="1A5EE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4" w:hRule="atLeast"/>
        </w:trPr>
        <w:tc>
          <w:tcPr>
            <w:tcW w:w="1290" w:type="dxa"/>
            <w:vMerge w:val="continue"/>
            <w:noWrap w:val="0"/>
            <w:vAlign w:val="top"/>
          </w:tcPr>
          <w:p w14:paraId="0D40F8C4">
            <w:pPr>
              <w:rPr>
                <w:rFonts w:hint="eastAsia" w:ascii="宋体" w:hAnsi="宋体" w:eastAsia="宋体" w:cs="宋体"/>
                <w:sz w:val="24"/>
                <w:highlight w:val="none"/>
              </w:rPr>
            </w:pPr>
          </w:p>
        </w:tc>
        <w:tc>
          <w:tcPr>
            <w:tcW w:w="1380" w:type="dxa"/>
            <w:gridSpan w:val="2"/>
            <w:noWrap/>
            <w:vAlign w:val="center"/>
          </w:tcPr>
          <w:p w14:paraId="2B504F94">
            <w:pPr>
              <w:widowControl/>
              <w:jc w:val="center"/>
              <w:rPr>
                <w:rFonts w:hint="eastAsia" w:ascii="宋体" w:hAnsi="宋体" w:eastAsia="宋体" w:cs="宋体"/>
                <w:sz w:val="24"/>
                <w:highlight w:val="none"/>
                <w:lang w:eastAsia="zh-CN"/>
              </w:rPr>
            </w:pPr>
            <w:r>
              <w:rPr>
                <w:rFonts w:hint="eastAsia" w:ascii="宋体" w:hAnsi="宋体" w:cs="宋体"/>
                <w:sz w:val="24"/>
                <w:highlight w:val="none"/>
              </w:rPr>
              <w:t>建设方案</w:t>
            </w:r>
          </w:p>
        </w:tc>
        <w:tc>
          <w:tcPr>
            <w:tcW w:w="6165" w:type="dxa"/>
            <w:noWrap/>
            <w:vAlign w:val="center"/>
          </w:tcPr>
          <w:p w14:paraId="508325CC">
            <w:pPr>
              <w:widowControl/>
              <w:rPr>
                <w:rFonts w:hint="eastAsia" w:ascii="宋体" w:hAnsi="宋体" w:eastAsia="宋体" w:cs="宋体"/>
                <w:sz w:val="24"/>
                <w:highlight w:val="none"/>
              </w:rPr>
            </w:pPr>
            <w:r>
              <w:rPr>
                <w:rFonts w:hint="eastAsia" w:ascii="宋体" w:hAnsi="宋体" w:cs="宋体"/>
                <w:sz w:val="24"/>
                <w:highlight w:val="none"/>
                <w:lang w:val="en-US" w:eastAsia="zh-CN"/>
              </w:rPr>
              <w:t>根据投标人提供的结合金湖县实际情况的项目建设方案内容的准确性、完整性、可行性、详细性等进行综合评审。8</w:t>
            </w:r>
            <w:r>
              <w:rPr>
                <w:rFonts w:hint="eastAsia" w:ascii="宋体" w:hAnsi="宋体" w:cs="宋体"/>
                <w:sz w:val="24"/>
                <w:highlight w:val="none"/>
              </w:rPr>
              <w:t>＜优≤</w:t>
            </w:r>
            <w:r>
              <w:rPr>
                <w:rFonts w:hint="eastAsia" w:ascii="宋体" w:hAnsi="宋体" w:cs="宋体"/>
                <w:sz w:val="24"/>
                <w:highlight w:val="none"/>
                <w:lang w:val="en-US" w:eastAsia="zh-CN"/>
              </w:rPr>
              <w:t>12</w:t>
            </w:r>
            <w:r>
              <w:rPr>
                <w:rFonts w:hint="eastAsia" w:ascii="宋体" w:hAnsi="宋体" w:cs="宋体"/>
                <w:sz w:val="24"/>
                <w:highlight w:val="none"/>
              </w:rPr>
              <w:t>分，</w:t>
            </w:r>
            <w:r>
              <w:rPr>
                <w:rFonts w:hint="eastAsia" w:ascii="宋体" w:hAnsi="宋体" w:cs="宋体"/>
                <w:sz w:val="24"/>
                <w:highlight w:val="none"/>
                <w:lang w:val="en-US" w:eastAsia="zh-CN"/>
              </w:rPr>
              <w:t>4</w:t>
            </w:r>
            <w:r>
              <w:rPr>
                <w:rFonts w:hint="eastAsia" w:ascii="宋体" w:hAnsi="宋体" w:cs="宋体"/>
                <w:sz w:val="24"/>
                <w:highlight w:val="none"/>
              </w:rPr>
              <w:t>＜良≤</w:t>
            </w:r>
            <w:r>
              <w:rPr>
                <w:rFonts w:hint="eastAsia" w:ascii="宋体" w:hAnsi="宋体" w:cs="宋体"/>
                <w:sz w:val="24"/>
                <w:highlight w:val="none"/>
                <w:lang w:val="en-US" w:eastAsia="zh-CN"/>
              </w:rPr>
              <w:t>8</w:t>
            </w:r>
            <w:r>
              <w:rPr>
                <w:rFonts w:hint="eastAsia" w:ascii="宋体" w:hAnsi="宋体" w:cs="宋体"/>
                <w:sz w:val="24"/>
                <w:highlight w:val="none"/>
              </w:rPr>
              <w:t>分，0＜差≤</w:t>
            </w:r>
            <w:r>
              <w:rPr>
                <w:rFonts w:hint="eastAsia" w:ascii="宋体" w:hAnsi="宋体" w:cs="宋体"/>
                <w:sz w:val="24"/>
                <w:highlight w:val="none"/>
                <w:lang w:val="en-US" w:eastAsia="zh-CN"/>
              </w:rPr>
              <w:t>4</w:t>
            </w:r>
            <w:r>
              <w:rPr>
                <w:rFonts w:hint="eastAsia" w:ascii="宋体" w:hAnsi="宋体" w:cs="宋体"/>
                <w:sz w:val="24"/>
                <w:highlight w:val="none"/>
              </w:rPr>
              <w:t>分，未提供或有明显缺项的不得分。</w:t>
            </w:r>
          </w:p>
        </w:tc>
        <w:tc>
          <w:tcPr>
            <w:tcW w:w="900" w:type="dxa"/>
            <w:noWrap/>
            <w:vAlign w:val="center"/>
          </w:tcPr>
          <w:p w14:paraId="62035437">
            <w:pPr>
              <w:widowControl/>
              <w:jc w:val="center"/>
              <w:rPr>
                <w:rFonts w:hint="eastAsia" w:ascii="宋体" w:hAnsi="宋体" w:eastAsia="宋体" w:cs="宋体"/>
                <w:sz w:val="24"/>
                <w:highlight w:val="none"/>
              </w:rPr>
            </w:pPr>
            <w:r>
              <w:rPr>
                <w:rFonts w:hint="eastAsia" w:ascii="宋体" w:hAnsi="宋体" w:cs="宋体"/>
                <w:sz w:val="24"/>
                <w:highlight w:val="none"/>
                <w:lang w:val="en-US" w:eastAsia="zh-CN"/>
              </w:rPr>
              <w:t>12</w:t>
            </w:r>
            <w:r>
              <w:rPr>
                <w:rFonts w:hint="eastAsia" w:ascii="宋体" w:hAnsi="宋体" w:cs="宋体"/>
                <w:color w:val="000000"/>
                <w:sz w:val="24"/>
                <w:highlight w:val="none"/>
                <w:lang w:bidi="ar"/>
              </w:rPr>
              <w:t>分</w:t>
            </w:r>
          </w:p>
        </w:tc>
      </w:tr>
      <w:tr w14:paraId="35A59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4" w:hRule="atLeast"/>
        </w:trPr>
        <w:tc>
          <w:tcPr>
            <w:tcW w:w="1290" w:type="dxa"/>
            <w:vMerge w:val="continue"/>
            <w:noWrap w:val="0"/>
            <w:vAlign w:val="top"/>
          </w:tcPr>
          <w:p w14:paraId="5B56AAE9">
            <w:pPr>
              <w:rPr>
                <w:rFonts w:hint="eastAsia" w:ascii="宋体" w:hAnsi="宋体" w:eastAsia="宋体" w:cs="宋体"/>
                <w:sz w:val="24"/>
                <w:highlight w:val="none"/>
              </w:rPr>
            </w:pPr>
          </w:p>
        </w:tc>
        <w:tc>
          <w:tcPr>
            <w:tcW w:w="1380" w:type="dxa"/>
            <w:gridSpan w:val="2"/>
            <w:noWrap/>
            <w:vAlign w:val="center"/>
          </w:tcPr>
          <w:p w14:paraId="33966248">
            <w:pPr>
              <w:widowControl/>
              <w:jc w:val="center"/>
              <w:rPr>
                <w:rFonts w:hint="eastAsia" w:ascii="宋体" w:hAnsi="宋体" w:eastAsia="宋体" w:cs="宋体"/>
                <w:sz w:val="24"/>
                <w:highlight w:val="none"/>
              </w:rPr>
            </w:pPr>
            <w:r>
              <w:rPr>
                <w:rFonts w:hint="eastAsia" w:ascii="宋体" w:hAnsi="宋体" w:cs="宋体"/>
                <w:sz w:val="24"/>
                <w:highlight w:val="none"/>
              </w:rPr>
              <w:t>实施方案</w:t>
            </w:r>
          </w:p>
        </w:tc>
        <w:tc>
          <w:tcPr>
            <w:tcW w:w="6165" w:type="dxa"/>
            <w:noWrap/>
            <w:vAlign w:val="center"/>
          </w:tcPr>
          <w:p w14:paraId="43373E42">
            <w:pPr>
              <w:widowControl/>
              <w:rPr>
                <w:rFonts w:hint="eastAsia" w:ascii="宋体" w:hAnsi="宋体" w:eastAsia="宋体" w:cs="宋体"/>
                <w:sz w:val="24"/>
                <w:highlight w:val="none"/>
                <w:lang w:bidi="ar"/>
              </w:rPr>
            </w:pPr>
            <w:r>
              <w:rPr>
                <w:rFonts w:hint="eastAsia" w:ascii="宋体" w:hAnsi="宋体" w:cs="宋体"/>
                <w:sz w:val="24"/>
                <w:highlight w:val="none"/>
                <w:lang w:val="en-US" w:eastAsia="zh-CN"/>
              </w:rPr>
              <w:t>根据投标人提供的结合金湖县实际情况的项目实施方案内容（包括项目管理、项目实施、项目试运行、项目验收等）的准确性、完整性、可行性、详细性等进行综合评审。5</w:t>
            </w:r>
            <w:r>
              <w:rPr>
                <w:rFonts w:hint="eastAsia" w:ascii="宋体" w:hAnsi="宋体" w:cs="宋体"/>
                <w:sz w:val="24"/>
                <w:highlight w:val="none"/>
              </w:rPr>
              <w:t>＜优≤</w:t>
            </w:r>
            <w:r>
              <w:rPr>
                <w:rFonts w:hint="eastAsia" w:ascii="宋体" w:hAnsi="宋体" w:cs="宋体"/>
                <w:sz w:val="24"/>
                <w:highlight w:val="none"/>
                <w:lang w:val="en-US" w:eastAsia="zh-CN"/>
              </w:rPr>
              <w:t>8</w:t>
            </w:r>
            <w:r>
              <w:rPr>
                <w:rFonts w:hint="eastAsia" w:ascii="宋体" w:hAnsi="宋体" w:cs="宋体"/>
                <w:sz w:val="24"/>
                <w:highlight w:val="none"/>
              </w:rPr>
              <w:t>分，</w:t>
            </w:r>
            <w:r>
              <w:rPr>
                <w:rFonts w:hint="eastAsia" w:ascii="宋体" w:hAnsi="宋体" w:cs="宋体"/>
                <w:sz w:val="24"/>
                <w:highlight w:val="none"/>
                <w:lang w:val="en-US" w:eastAsia="zh-CN"/>
              </w:rPr>
              <w:t>2</w:t>
            </w:r>
            <w:r>
              <w:rPr>
                <w:rFonts w:hint="eastAsia" w:ascii="宋体" w:hAnsi="宋体" w:cs="宋体"/>
                <w:sz w:val="24"/>
                <w:highlight w:val="none"/>
              </w:rPr>
              <w:t>＜良≤</w:t>
            </w:r>
            <w:r>
              <w:rPr>
                <w:rFonts w:hint="eastAsia" w:ascii="宋体" w:hAnsi="宋体" w:cs="宋体"/>
                <w:sz w:val="24"/>
                <w:highlight w:val="none"/>
                <w:lang w:val="en-US" w:eastAsia="zh-CN"/>
              </w:rPr>
              <w:t>5</w:t>
            </w:r>
            <w:r>
              <w:rPr>
                <w:rFonts w:hint="eastAsia" w:ascii="宋体" w:hAnsi="宋体" w:cs="宋体"/>
                <w:sz w:val="24"/>
                <w:highlight w:val="none"/>
              </w:rPr>
              <w:t>分，0＜差≤</w:t>
            </w:r>
            <w:r>
              <w:rPr>
                <w:rFonts w:hint="eastAsia" w:ascii="宋体" w:hAnsi="宋体" w:cs="宋体"/>
                <w:sz w:val="24"/>
                <w:highlight w:val="none"/>
                <w:lang w:val="en-US" w:eastAsia="zh-CN"/>
              </w:rPr>
              <w:t>2</w:t>
            </w:r>
            <w:r>
              <w:rPr>
                <w:rFonts w:hint="eastAsia" w:ascii="宋体" w:hAnsi="宋体" w:cs="宋体"/>
                <w:sz w:val="24"/>
                <w:highlight w:val="none"/>
              </w:rPr>
              <w:t>分，未提供或有明显缺项的不得分。</w:t>
            </w:r>
          </w:p>
        </w:tc>
        <w:tc>
          <w:tcPr>
            <w:tcW w:w="900" w:type="dxa"/>
            <w:noWrap/>
            <w:vAlign w:val="center"/>
          </w:tcPr>
          <w:p w14:paraId="4B676E32">
            <w:pPr>
              <w:widowControl/>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8</w:t>
            </w:r>
            <w:r>
              <w:rPr>
                <w:rFonts w:hint="eastAsia" w:ascii="宋体" w:hAnsi="宋体" w:cs="宋体"/>
                <w:color w:val="000000"/>
                <w:sz w:val="24"/>
                <w:highlight w:val="none"/>
                <w:lang w:bidi="ar"/>
              </w:rPr>
              <w:t>分</w:t>
            </w:r>
          </w:p>
        </w:tc>
      </w:tr>
    </w:tbl>
    <w:p w14:paraId="069FAEF6">
      <w:pPr>
        <w:keepNext w:val="0"/>
        <w:keepLines w:val="0"/>
        <w:pageBreakBefore w:val="0"/>
        <w:widowControl w:val="0"/>
        <w:spacing w:line="400" w:lineRule="exact"/>
        <w:ind w:right="0"/>
        <w:jc w:val="left"/>
        <w:rPr>
          <w:rFonts w:hint="eastAsia" w:ascii="宋体" w:hAnsi="宋体" w:eastAsia="宋体" w:cs="宋体"/>
          <w:b/>
          <w:bCs/>
          <w:color w:val="FF0000"/>
          <w:sz w:val="24"/>
          <w:highlight w:val="none"/>
        </w:rPr>
      </w:pPr>
      <w:r>
        <w:rPr>
          <w:rFonts w:hint="eastAsia" w:ascii="宋体" w:hAnsi="宋体" w:eastAsia="宋体" w:cs="宋体"/>
          <w:b/>
          <w:bCs/>
          <w:sz w:val="24"/>
          <w:highlight w:val="none"/>
          <w:lang w:bidi="ar"/>
        </w:rPr>
        <w:t>注</w:t>
      </w:r>
      <w:r>
        <w:rPr>
          <w:rFonts w:hint="eastAsia" w:ascii="宋体" w:hAnsi="宋体" w:eastAsia="宋体" w:cs="宋体"/>
          <w:b/>
          <w:bCs/>
          <w:sz w:val="24"/>
          <w:highlight w:val="none"/>
          <w:lang w:eastAsia="zh-CN" w:bidi="ar"/>
        </w:rPr>
        <w:t>：</w:t>
      </w:r>
      <w:r>
        <w:rPr>
          <w:rFonts w:hint="eastAsia" w:ascii="宋体" w:hAnsi="宋体" w:eastAsia="宋体" w:cs="宋体"/>
          <w:b/>
          <w:bCs/>
          <w:color w:val="FF0000"/>
          <w:sz w:val="24"/>
          <w:szCs w:val="24"/>
          <w:highlight w:val="none"/>
          <w:lang w:val="en-US" w:eastAsia="zh-CN" w:bidi="ar-SA"/>
        </w:rPr>
        <w:t>1、</w:t>
      </w:r>
      <w:r>
        <w:rPr>
          <w:rFonts w:hint="eastAsia" w:ascii="宋体" w:hAnsi="宋体" w:eastAsia="宋体" w:cs="宋体"/>
          <w:b/>
          <w:bCs/>
          <w:color w:val="FF0000"/>
          <w:sz w:val="24"/>
          <w:highlight w:val="none"/>
        </w:rPr>
        <w:t>以上所有要求提供的证明材料在投标截止时间之前扫描件加盖单位</w:t>
      </w:r>
      <w:r>
        <w:rPr>
          <w:rFonts w:hint="eastAsia" w:ascii="宋体" w:hAnsi="宋体" w:eastAsia="宋体" w:cs="宋体"/>
          <w:b/>
          <w:bCs/>
          <w:color w:val="FF0000"/>
          <w:sz w:val="24"/>
          <w:highlight w:val="none"/>
          <w:lang w:eastAsia="zh-CN"/>
        </w:rPr>
        <w:t>公</w:t>
      </w:r>
      <w:r>
        <w:rPr>
          <w:rFonts w:hint="eastAsia" w:ascii="宋体" w:hAnsi="宋体" w:eastAsia="宋体" w:cs="宋体"/>
          <w:b/>
          <w:bCs/>
          <w:color w:val="FF0000"/>
          <w:sz w:val="24"/>
          <w:highlight w:val="none"/>
        </w:rPr>
        <w:t>章或者电子签章上传</w:t>
      </w:r>
      <w:r>
        <w:rPr>
          <w:rFonts w:hint="eastAsia" w:ascii="宋体" w:hAnsi="宋体" w:eastAsia="宋体" w:cs="宋体"/>
          <w:b/>
          <w:bCs/>
          <w:color w:val="FF0000"/>
          <w:sz w:val="24"/>
          <w:highlight w:val="none"/>
          <w:lang w:eastAsia="zh-CN"/>
        </w:rPr>
        <w:t>，使</w:t>
      </w:r>
      <w:r>
        <w:rPr>
          <w:rFonts w:hint="eastAsia" w:ascii="宋体" w:hAnsi="宋体" w:eastAsia="宋体" w:cs="宋体"/>
          <w:b/>
          <w:bCs/>
          <w:color w:val="FF0000"/>
          <w:sz w:val="24"/>
          <w:highlight w:val="none"/>
        </w:rPr>
        <w:t>用投标文件制作工具制作并生成上传至</w:t>
      </w:r>
      <w:r>
        <w:rPr>
          <w:rFonts w:hint="eastAsia" w:ascii="宋体" w:hAnsi="宋体" w:eastAsia="宋体" w:cs="宋体"/>
          <w:b/>
          <w:bCs/>
          <w:color w:val="FF0000"/>
          <w:sz w:val="24"/>
          <w:highlight w:val="none"/>
          <w:lang w:eastAsia="zh-CN"/>
        </w:rPr>
        <w:t>苏采云</w:t>
      </w:r>
      <w:r>
        <w:rPr>
          <w:rFonts w:hint="eastAsia" w:ascii="宋体" w:hAnsi="宋体" w:eastAsia="宋体" w:cs="宋体"/>
          <w:b/>
          <w:bCs/>
          <w:color w:val="FF0000"/>
          <w:sz w:val="24"/>
          <w:highlight w:val="none"/>
        </w:rPr>
        <w:t>平台。</w:t>
      </w:r>
    </w:p>
    <w:p w14:paraId="03EA5440">
      <w:pPr>
        <w:keepNext w:val="0"/>
        <w:keepLines w:val="0"/>
        <w:pageBreakBefore w:val="0"/>
        <w:widowControl w:val="0"/>
        <w:numPr>
          <w:ilvl w:val="0"/>
          <w:numId w:val="0"/>
        </w:numPr>
        <w:spacing w:line="400" w:lineRule="exact"/>
        <w:ind w:right="0" w:firstLine="482"/>
        <w:rPr>
          <w:rFonts w:hint="eastAsia" w:ascii="宋体" w:hAnsi="宋体" w:eastAsia="宋体" w:cs="宋体"/>
          <w:b/>
          <w:bCs/>
          <w:sz w:val="36"/>
          <w:szCs w:val="36"/>
          <w:highlight w:val="none"/>
        </w:rPr>
      </w:pPr>
      <w:r>
        <w:rPr>
          <w:rFonts w:hint="eastAsia" w:ascii="宋体" w:hAnsi="宋体" w:eastAsia="宋体" w:cs="宋体"/>
          <w:b/>
          <w:bCs/>
          <w:sz w:val="24"/>
          <w:szCs w:val="24"/>
          <w:highlight w:val="none"/>
          <w:lang w:val="en-US" w:eastAsia="zh-CN" w:bidi="ar-SA"/>
        </w:rPr>
        <w:t>2、</w:t>
      </w:r>
      <w:r>
        <w:rPr>
          <w:rFonts w:hint="eastAsia" w:ascii="宋体" w:hAnsi="宋体" w:eastAsia="宋体" w:cs="宋体"/>
          <w:b/>
          <w:bCs/>
          <w:sz w:val="24"/>
          <w:highlight w:val="none"/>
          <w:lang w:eastAsia="zh-CN"/>
        </w:rPr>
        <w:t>投标人</w:t>
      </w:r>
      <w:r>
        <w:rPr>
          <w:rFonts w:hint="eastAsia" w:ascii="宋体" w:hAnsi="宋体" w:eastAsia="宋体" w:cs="宋体"/>
          <w:b/>
          <w:bCs/>
          <w:sz w:val="24"/>
          <w:highlight w:val="none"/>
        </w:rPr>
        <w:t>所提供的资格证明材料应真实、有效，采购人保留对</w:t>
      </w:r>
      <w:r>
        <w:rPr>
          <w:rFonts w:hint="eastAsia" w:ascii="宋体" w:hAnsi="宋体" w:eastAsia="宋体" w:cs="宋体"/>
          <w:b/>
          <w:bCs/>
          <w:sz w:val="24"/>
          <w:highlight w:val="none"/>
          <w:lang w:eastAsia="zh-CN"/>
        </w:rPr>
        <w:t>投标人</w:t>
      </w:r>
      <w:r>
        <w:rPr>
          <w:rFonts w:hint="eastAsia" w:ascii="宋体" w:hAnsi="宋体" w:eastAsia="宋体" w:cs="宋体"/>
          <w:b/>
          <w:bCs/>
          <w:sz w:val="24"/>
          <w:highlight w:val="none"/>
        </w:rPr>
        <w:t>提供的资格证明材料进行核查的权利。如发现</w:t>
      </w:r>
      <w:r>
        <w:rPr>
          <w:rFonts w:hint="eastAsia" w:ascii="宋体" w:hAnsi="宋体" w:eastAsia="宋体" w:cs="宋体"/>
          <w:b/>
          <w:bCs/>
          <w:sz w:val="24"/>
          <w:highlight w:val="none"/>
          <w:lang w:eastAsia="zh-CN"/>
        </w:rPr>
        <w:t>投标人</w:t>
      </w:r>
      <w:r>
        <w:rPr>
          <w:rFonts w:hint="eastAsia" w:ascii="宋体" w:hAnsi="宋体" w:eastAsia="宋体" w:cs="宋体"/>
          <w:b/>
          <w:bCs/>
          <w:sz w:val="24"/>
          <w:highlight w:val="none"/>
        </w:rPr>
        <w:t>提供虚假资格证明材料，采购人将按相关规定对其进行严肃处理。</w:t>
      </w:r>
    </w:p>
    <w:p w14:paraId="6A50495D">
      <w:pPr>
        <w:keepNext w:val="0"/>
        <w:keepLines w:val="0"/>
        <w:spacing w:line="520" w:lineRule="exact"/>
        <w:ind w:right="0" w:firstLine="560"/>
        <w:rPr>
          <w:rFonts w:hint="eastAsia" w:ascii="宋体" w:hAnsi="宋体" w:eastAsia="宋体" w:cs="宋体"/>
          <w:sz w:val="28"/>
          <w:szCs w:val="28"/>
          <w:highlight w:val="none"/>
        </w:rPr>
      </w:pPr>
    </w:p>
    <w:p w14:paraId="58E75C0A">
      <w:pPr>
        <w:keepNext w:val="0"/>
        <w:keepLines w:val="0"/>
        <w:pageBreakBefore/>
        <w:widowControl w:val="0"/>
        <w:ind w:right="0"/>
        <w:jc w:val="center"/>
        <w:outlineLvl w:val="0"/>
        <w:rPr>
          <w:rFonts w:hint="eastAsia" w:ascii="宋体" w:hAnsi="宋体" w:eastAsia="宋体" w:cs="宋体"/>
          <w:b/>
          <w:bCs/>
          <w:sz w:val="32"/>
          <w:szCs w:val="32"/>
          <w:highlight w:val="none"/>
        </w:rPr>
      </w:pPr>
      <w:bookmarkStart w:id="32" w:name="_Toc26585"/>
      <w:r>
        <w:rPr>
          <w:rFonts w:hint="eastAsia" w:ascii="宋体" w:hAnsi="宋体" w:eastAsia="宋体" w:cs="宋体"/>
          <w:b/>
          <w:bCs/>
          <w:sz w:val="32"/>
          <w:szCs w:val="32"/>
          <w:highlight w:val="none"/>
        </w:rPr>
        <w:t>第四章  合同格式及条款</w:t>
      </w:r>
      <w:bookmarkEnd w:id="32"/>
    </w:p>
    <w:p w14:paraId="010561EA">
      <w:pPr>
        <w:keepNext w:val="0"/>
        <w:keepLines w:val="0"/>
        <w:pageBreakBefore w:val="0"/>
        <w:widowControl w:val="0"/>
        <w:spacing w:line="440" w:lineRule="exact"/>
        <w:ind w:right="0" w:firstLine="480"/>
        <w:jc w:val="left"/>
        <w:rPr>
          <w:rFonts w:hint="eastAsia" w:ascii="宋体" w:hAnsi="宋体" w:eastAsia="宋体" w:cs="宋体"/>
          <w:sz w:val="28"/>
          <w:szCs w:val="28"/>
          <w:highlight w:val="none"/>
        </w:rPr>
      </w:pPr>
      <w:r>
        <w:rPr>
          <w:rFonts w:hint="eastAsia" w:ascii="宋体" w:hAnsi="宋体" w:eastAsia="宋体" w:cs="宋体"/>
          <w:sz w:val="24"/>
          <w:highlight w:val="none"/>
        </w:rPr>
        <w:t>注：以下为采购人提出中标后签订本项目合同的通用条款，</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必须实质性响应，中标</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不得提出实质性的修改，关于专用条款将由采购人与中标</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结合本项目具体情况协商后签订。</w:t>
      </w:r>
    </w:p>
    <w:p w14:paraId="323ADEFE">
      <w:pPr>
        <w:keepNext w:val="0"/>
        <w:keepLines w:val="0"/>
        <w:spacing w:line="500" w:lineRule="exact"/>
        <w:ind w:right="0"/>
        <w:jc w:val="center"/>
        <w:outlineLvl w:val="9"/>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一、合同条款前附表</w:t>
      </w:r>
    </w:p>
    <w:tbl>
      <w:tblPr>
        <w:tblStyle w:val="28"/>
        <w:tblW w:w="9556" w:type="dxa"/>
        <w:tblInd w:w="0" w:type="dxa"/>
        <w:tblLayout w:type="fixed"/>
        <w:tblCellMar>
          <w:top w:w="0" w:type="dxa"/>
          <w:left w:w="108" w:type="dxa"/>
          <w:bottom w:w="0" w:type="dxa"/>
          <w:right w:w="108" w:type="dxa"/>
        </w:tblCellMar>
      </w:tblPr>
      <w:tblGrid>
        <w:gridCol w:w="841"/>
        <w:gridCol w:w="8715"/>
      </w:tblGrid>
      <w:tr w14:paraId="2FD2D139">
        <w:tblPrEx>
          <w:tblCellMar>
            <w:top w:w="0" w:type="dxa"/>
            <w:left w:w="108" w:type="dxa"/>
            <w:bottom w:w="0" w:type="dxa"/>
            <w:right w:w="108" w:type="dxa"/>
          </w:tblCellMar>
        </w:tblPrEx>
        <w:trPr>
          <w:trHeight w:val="538" w:hRule="atLeast"/>
        </w:trPr>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D6B8A9">
            <w:pPr>
              <w:keepNext w:val="0"/>
              <w:keepLines w:val="0"/>
              <w:pageBreakBefore w:val="0"/>
              <w:widowControl w:val="0"/>
              <w:spacing w:line="400" w:lineRule="exact"/>
              <w:ind w:right="0"/>
              <w:jc w:val="center"/>
              <w:rPr>
                <w:rFonts w:hint="eastAsia" w:ascii="宋体" w:hAnsi="宋体" w:eastAsia="宋体" w:cs="宋体"/>
                <w:b/>
                <w:bCs/>
                <w:sz w:val="24"/>
                <w:highlight w:val="none"/>
              </w:rPr>
            </w:pPr>
            <w:r>
              <w:rPr>
                <w:rFonts w:hint="eastAsia" w:ascii="宋体" w:hAnsi="宋体" w:eastAsia="宋体" w:cs="宋体"/>
                <w:b/>
                <w:bCs/>
                <w:sz w:val="24"/>
                <w:highlight w:val="none"/>
              </w:rPr>
              <w:t>序号</w:t>
            </w:r>
          </w:p>
        </w:tc>
        <w:tc>
          <w:tcPr>
            <w:tcW w:w="8715"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14:paraId="741E6D62">
            <w:pPr>
              <w:keepNext w:val="0"/>
              <w:keepLines w:val="0"/>
              <w:pageBreakBefore w:val="0"/>
              <w:widowControl w:val="0"/>
              <w:spacing w:line="400" w:lineRule="exact"/>
              <w:ind w:right="0"/>
              <w:jc w:val="center"/>
              <w:rPr>
                <w:rFonts w:hint="eastAsia" w:ascii="宋体" w:hAnsi="宋体" w:eastAsia="宋体" w:cs="宋体"/>
                <w:b/>
                <w:bCs/>
                <w:sz w:val="24"/>
                <w:highlight w:val="none"/>
              </w:rPr>
            </w:pPr>
            <w:r>
              <w:rPr>
                <w:rFonts w:hint="eastAsia" w:ascii="宋体" w:hAnsi="宋体" w:eastAsia="宋体" w:cs="宋体"/>
                <w:b/>
                <w:bCs/>
                <w:sz w:val="24"/>
                <w:highlight w:val="none"/>
              </w:rPr>
              <w:t>内    容</w:t>
            </w:r>
          </w:p>
        </w:tc>
      </w:tr>
      <w:tr w14:paraId="09561A14">
        <w:tblPrEx>
          <w:tblCellMar>
            <w:top w:w="0" w:type="dxa"/>
            <w:left w:w="108" w:type="dxa"/>
            <w:bottom w:w="0" w:type="dxa"/>
            <w:right w:w="108" w:type="dxa"/>
          </w:tblCellMar>
        </w:tblPrEx>
        <w:trPr>
          <w:trHeight w:val="720" w:hRule="atLeast"/>
        </w:trPr>
        <w:tc>
          <w:tcPr>
            <w:tcW w:w="841" w:type="dxa"/>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BB9BCBB">
            <w:pPr>
              <w:keepNext w:val="0"/>
              <w:keepLines w:val="0"/>
              <w:pageBreakBefore w:val="0"/>
              <w:widowControl w:val="0"/>
              <w:spacing w:line="400" w:lineRule="exact"/>
              <w:ind w:right="0"/>
              <w:jc w:val="center"/>
              <w:rPr>
                <w:rFonts w:hint="eastAsia" w:ascii="宋体" w:hAnsi="宋体" w:eastAsia="宋体" w:cs="宋体"/>
                <w:b/>
                <w:bCs/>
                <w:sz w:val="24"/>
                <w:highlight w:val="none"/>
              </w:rPr>
            </w:pPr>
            <w:r>
              <w:rPr>
                <w:rFonts w:hint="eastAsia" w:ascii="宋体" w:hAnsi="宋体" w:eastAsia="宋体" w:cs="宋体"/>
                <w:b/>
                <w:bCs/>
                <w:sz w:val="24"/>
                <w:highlight w:val="none"/>
              </w:rPr>
              <w:t>1</w:t>
            </w:r>
          </w:p>
        </w:tc>
        <w:tc>
          <w:tcPr>
            <w:tcW w:w="8715" w:type="dxa"/>
            <w:tcBorders>
              <w:top w:val="nil"/>
              <w:left w:val="nil"/>
              <w:bottom w:val="single" w:color="000000" w:sz="4" w:space="0"/>
              <w:right w:val="single" w:color="000000" w:sz="4" w:space="0"/>
            </w:tcBorders>
            <w:noWrap w:val="0"/>
            <w:tcMar>
              <w:top w:w="0" w:type="dxa"/>
              <w:left w:w="108" w:type="dxa"/>
              <w:bottom w:w="0" w:type="dxa"/>
              <w:right w:w="108" w:type="dxa"/>
            </w:tcMar>
            <w:vAlign w:val="center"/>
          </w:tcPr>
          <w:p w14:paraId="5F347E8A">
            <w:pPr>
              <w:keepNext w:val="0"/>
              <w:keepLines w:val="0"/>
              <w:pageBreakBefore w:val="0"/>
              <w:widowControl w:val="0"/>
              <w:spacing w:line="400" w:lineRule="exact"/>
              <w:ind w:right="0"/>
              <w:jc w:val="left"/>
              <w:rPr>
                <w:rFonts w:hint="eastAsia" w:ascii="宋体" w:hAnsi="宋体" w:eastAsia="宋体" w:cs="宋体"/>
                <w:highlight w:val="none"/>
              </w:rPr>
            </w:pPr>
            <w:r>
              <w:rPr>
                <w:rFonts w:hint="eastAsia" w:ascii="宋体" w:hAnsi="宋体" w:eastAsia="宋体" w:cs="宋体"/>
                <w:bCs/>
                <w:sz w:val="24"/>
                <w:highlight w:val="none"/>
                <w:lang w:val="en-US" w:eastAsia="zh-CN"/>
              </w:rPr>
              <w:t>付款方式：</w:t>
            </w:r>
            <w:r>
              <w:rPr>
                <w:rFonts w:hint="eastAsia" w:ascii="宋体" w:hAnsi="宋体" w:eastAsia="宋体" w:cs="宋体"/>
                <w:bCs/>
                <w:color w:val="000000"/>
                <w:sz w:val="24"/>
                <w:highlight w:val="none"/>
                <w:lang w:val="en-US" w:eastAsia="zh-CN"/>
              </w:rPr>
              <w:t>项目完成并经验收合格后支付合同价的70%，审计完成后按审计价付清余款。</w:t>
            </w:r>
          </w:p>
        </w:tc>
      </w:tr>
      <w:tr w14:paraId="3FDB0EB3">
        <w:tblPrEx>
          <w:tblCellMar>
            <w:top w:w="0" w:type="dxa"/>
            <w:left w:w="108" w:type="dxa"/>
            <w:bottom w:w="0" w:type="dxa"/>
            <w:right w:w="108" w:type="dxa"/>
          </w:tblCellMar>
        </w:tblPrEx>
        <w:trPr>
          <w:trHeight w:val="733" w:hRule="atLeast"/>
        </w:trPr>
        <w:tc>
          <w:tcPr>
            <w:tcW w:w="841" w:type="dxa"/>
            <w:tcBorders>
              <w:top w:val="nil"/>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D049F8">
            <w:pPr>
              <w:keepNext w:val="0"/>
              <w:keepLines w:val="0"/>
              <w:pageBreakBefore w:val="0"/>
              <w:widowControl w:val="0"/>
              <w:spacing w:line="400" w:lineRule="exact"/>
              <w:ind w:right="0"/>
              <w:jc w:val="center"/>
              <w:rPr>
                <w:rFonts w:hint="eastAsia" w:ascii="宋体" w:hAnsi="宋体" w:eastAsia="宋体" w:cs="宋体"/>
                <w:b/>
                <w:bCs/>
                <w:sz w:val="24"/>
                <w:highlight w:val="none"/>
              </w:rPr>
            </w:pPr>
            <w:r>
              <w:rPr>
                <w:rFonts w:hint="eastAsia" w:ascii="宋体" w:hAnsi="宋体" w:eastAsia="宋体" w:cs="宋体"/>
                <w:b/>
                <w:bCs/>
                <w:sz w:val="24"/>
                <w:highlight w:val="none"/>
              </w:rPr>
              <w:t>2</w:t>
            </w:r>
          </w:p>
        </w:tc>
        <w:tc>
          <w:tcPr>
            <w:tcW w:w="8715" w:type="dxa"/>
            <w:tcBorders>
              <w:top w:val="nil"/>
              <w:left w:val="nil"/>
              <w:bottom w:val="single" w:color="000000" w:sz="4" w:space="0"/>
              <w:right w:val="single" w:color="000000" w:sz="4" w:space="0"/>
            </w:tcBorders>
            <w:noWrap w:val="0"/>
            <w:tcMar>
              <w:top w:w="0" w:type="dxa"/>
              <w:left w:w="108" w:type="dxa"/>
              <w:bottom w:w="0" w:type="dxa"/>
              <w:right w:w="108" w:type="dxa"/>
            </w:tcMar>
            <w:vAlign w:val="center"/>
          </w:tcPr>
          <w:p w14:paraId="172C33C0">
            <w:pPr>
              <w:keepNext w:val="0"/>
              <w:keepLines w:val="0"/>
              <w:pageBreakBefore w:val="0"/>
              <w:widowControl w:val="0"/>
              <w:pBdr>
                <w:top w:val="none" w:color="000000" w:sz="0" w:space="0"/>
                <w:left w:val="none" w:color="000000" w:sz="0" w:space="0"/>
                <w:bottom w:val="none" w:color="000000" w:sz="0" w:space="0"/>
                <w:right w:val="none" w:color="000000" w:sz="0" w:space="0"/>
              </w:pBdr>
              <w:spacing w:line="400" w:lineRule="exact"/>
              <w:ind w:right="0"/>
              <w:rPr>
                <w:rFonts w:hint="eastAsia" w:ascii="宋体" w:hAnsi="宋体" w:eastAsia="宋体" w:cs="宋体"/>
                <w:sz w:val="24"/>
                <w:highlight w:val="none"/>
                <w:shd w:val="clear" w:color="auto" w:fill="FFFFFF"/>
              </w:rPr>
            </w:pPr>
            <w:r>
              <w:rPr>
                <w:rFonts w:hint="eastAsia" w:ascii="宋体" w:hAnsi="宋体" w:eastAsia="宋体" w:cs="宋体"/>
                <w:sz w:val="24"/>
                <w:highlight w:val="none"/>
              </w:rPr>
              <w:t>服务</w:t>
            </w:r>
            <w:r>
              <w:rPr>
                <w:rFonts w:hint="eastAsia" w:ascii="宋体" w:hAnsi="宋体" w:eastAsia="宋体" w:cs="宋体"/>
                <w:sz w:val="24"/>
                <w:highlight w:val="none"/>
                <w:lang w:val="en-US" w:eastAsia="zh-CN"/>
              </w:rPr>
              <w:t>期限</w:t>
            </w:r>
            <w:r>
              <w:rPr>
                <w:rFonts w:hint="eastAsia" w:ascii="宋体" w:hAnsi="宋体" w:eastAsia="宋体" w:cs="宋体"/>
                <w:sz w:val="24"/>
                <w:highlight w:val="none"/>
              </w:rPr>
              <w:t>：</w:t>
            </w:r>
            <w:r>
              <w:rPr>
                <w:rFonts w:hint="eastAsia" w:ascii="宋体" w:hAnsi="宋体" w:eastAsia="宋体" w:cs="宋体"/>
                <w:bCs/>
                <w:color w:val="000000"/>
                <w:sz w:val="24"/>
                <w:highlight w:val="none"/>
                <w:lang w:val="en-US" w:eastAsia="zh-CN"/>
              </w:rPr>
              <w:t>自合同签订之日起90天内完成。</w:t>
            </w:r>
          </w:p>
        </w:tc>
      </w:tr>
      <w:tr w14:paraId="3D03DF3C">
        <w:tblPrEx>
          <w:tblCellMar>
            <w:top w:w="0" w:type="dxa"/>
            <w:left w:w="108" w:type="dxa"/>
            <w:bottom w:w="0" w:type="dxa"/>
            <w:right w:w="108" w:type="dxa"/>
          </w:tblCellMar>
        </w:tblPrEx>
        <w:trPr>
          <w:trHeight w:val="660" w:hRule="atLeast"/>
        </w:trPr>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98B12A">
            <w:pPr>
              <w:keepNext w:val="0"/>
              <w:keepLines w:val="0"/>
              <w:pageBreakBefore w:val="0"/>
              <w:widowControl w:val="0"/>
              <w:spacing w:line="400" w:lineRule="exact"/>
              <w:ind w:right="0"/>
              <w:jc w:val="center"/>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3</w:t>
            </w:r>
          </w:p>
        </w:tc>
        <w:tc>
          <w:tcPr>
            <w:tcW w:w="8715" w:type="dxa"/>
            <w:tcBorders>
              <w:top w:val="single" w:color="000000" w:sz="4" w:space="0"/>
              <w:left w:val="nil"/>
              <w:bottom w:val="single" w:color="000000" w:sz="4" w:space="0"/>
              <w:right w:val="single" w:color="000000" w:sz="4" w:space="0"/>
            </w:tcBorders>
            <w:noWrap w:val="0"/>
            <w:tcMar>
              <w:top w:w="0" w:type="dxa"/>
              <w:left w:w="108" w:type="dxa"/>
              <w:bottom w:w="0" w:type="dxa"/>
              <w:right w:w="108" w:type="dxa"/>
            </w:tcMar>
            <w:vAlign w:val="center"/>
          </w:tcPr>
          <w:p w14:paraId="12B7FD40">
            <w:pPr>
              <w:keepNext w:val="0"/>
              <w:keepLines w:val="0"/>
              <w:pageBreakBefore w:val="0"/>
              <w:widowControl w:val="0"/>
              <w:spacing w:line="400" w:lineRule="exact"/>
              <w:ind w:right="0"/>
              <w:jc w:val="left"/>
              <w:rPr>
                <w:rFonts w:hint="eastAsia" w:ascii="宋体" w:hAnsi="宋体" w:eastAsia="宋体" w:cs="宋体"/>
                <w:bCs/>
                <w:sz w:val="24"/>
                <w:highlight w:val="none"/>
              </w:rPr>
            </w:pPr>
            <w:r>
              <w:rPr>
                <w:rFonts w:hint="eastAsia" w:ascii="宋体" w:hAnsi="宋体" w:eastAsia="宋体" w:cs="宋体"/>
                <w:bCs/>
                <w:sz w:val="24"/>
                <w:highlight w:val="none"/>
              </w:rPr>
              <w:t>实施地点：采购人指定地点。</w:t>
            </w:r>
          </w:p>
        </w:tc>
      </w:tr>
    </w:tbl>
    <w:p w14:paraId="0933FA3B">
      <w:pPr>
        <w:keepNext w:val="0"/>
        <w:keepLines w:val="0"/>
        <w:spacing w:line="500" w:lineRule="exact"/>
        <w:ind w:right="0" w:firstLine="562"/>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二、合同通用条款</w:t>
      </w:r>
    </w:p>
    <w:p w14:paraId="7D0734E3">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1.定义</w:t>
      </w:r>
    </w:p>
    <w:p w14:paraId="71135DBE">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本合同中的下列术语应解释为：</w:t>
      </w:r>
    </w:p>
    <w:p w14:paraId="647F35DC">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（1）“合同”系指买方与卖方签署的、合同格式中列明的买方与卖方所达成的协议，包括所有的附件、附录和构成合同的所有文件。</w:t>
      </w:r>
    </w:p>
    <w:p w14:paraId="18CC8A41">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（2）“合同价”系指根据合同规定，卖方在完全履行合同义务后买方应支付给卖方的价格。</w:t>
      </w:r>
    </w:p>
    <w:p w14:paraId="01BD4144">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（3）“货物”系指卖方按合同要求，须向买方提供的一切设备、机械、仪表、备件、工具、手册和其他技术资料及其他材料。</w:t>
      </w:r>
    </w:p>
    <w:p w14:paraId="49E74DB5">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（4）“服务”系指根据合同规定卖方承担与供货有关的所有辅助服务，如运输、保险以及其他的服务，如安装、调试、提供技术援助、培训及其他类似的义务。</w:t>
      </w:r>
    </w:p>
    <w:p w14:paraId="11186F3D">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（5）“买方”系指</w:t>
      </w:r>
      <w:r>
        <w:rPr>
          <w:rFonts w:hint="eastAsia" w:ascii="宋体" w:hAnsi="宋体" w:eastAsia="宋体" w:cs="宋体"/>
          <w:sz w:val="24"/>
          <w:highlight w:val="none"/>
          <w:lang w:eastAsia="zh-CN"/>
        </w:rPr>
        <w:t>金湖县农业农村局</w:t>
      </w:r>
      <w:r>
        <w:rPr>
          <w:rFonts w:hint="eastAsia" w:ascii="宋体" w:hAnsi="宋体" w:eastAsia="宋体" w:cs="宋体"/>
          <w:sz w:val="24"/>
          <w:highlight w:val="none"/>
        </w:rPr>
        <w:t>。</w:t>
      </w:r>
    </w:p>
    <w:p w14:paraId="6D789AEC">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（6）“卖方”系指提供货物和服务的</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w:t>
      </w:r>
    </w:p>
    <w:p w14:paraId="6C1573AF">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2.技术规格</w:t>
      </w:r>
    </w:p>
    <w:p w14:paraId="390B7C09">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2.1卖方所提供货物的技术规格应与招标文件规定的技术规格以及所附的技术规格响应偏离表相一致。</w:t>
      </w:r>
    </w:p>
    <w:p w14:paraId="0381EDF9">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3.专利权</w:t>
      </w:r>
    </w:p>
    <w:p w14:paraId="6F9DD4E3">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3.1卖方应保证买方在使用该货物或其任何一部分时不受第三方提出侵犯其专利权、商标权和工业设计权的起诉。一旦出现专利侵权，卖方应负全部责任，且买方拒付全部货款。</w:t>
      </w:r>
    </w:p>
    <w:p w14:paraId="10A0C1C8">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4.包装要求</w:t>
      </w:r>
    </w:p>
    <w:p w14:paraId="6C791343">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p>
    <w:p w14:paraId="0D30D3B6">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4.2每件包装箱内应附一份详细装箱单和质量合格标识。</w:t>
      </w:r>
    </w:p>
    <w:p w14:paraId="3C0A3BAC">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5.装运条件</w:t>
      </w:r>
    </w:p>
    <w:p w14:paraId="0C50C802">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5.1根据采购人指定地点，卖方负责安排运输，运输费由卖方承担。</w:t>
      </w:r>
    </w:p>
    <w:p w14:paraId="0D530C40">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6.付款</w:t>
      </w:r>
    </w:p>
    <w:p w14:paraId="1354B17F">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6.1本合同以人民币付款。</w:t>
      </w:r>
    </w:p>
    <w:p w14:paraId="2448BACA">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6.2卖方应按照与买方签订的合同规定交货。交货后卖方向买方提供下列单据，买方按合同规定审核后付款：</w:t>
      </w:r>
    </w:p>
    <w:p w14:paraId="4FABCDBB">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（1）发票；</w:t>
      </w:r>
    </w:p>
    <w:p w14:paraId="207C1496">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（2）制造厂家出具的质量检验合格证书等；</w:t>
      </w:r>
    </w:p>
    <w:p w14:paraId="642359B7">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（3）装箱单；</w:t>
      </w:r>
    </w:p>
    <w:p w14:paraId="68141DFB">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（4）采购人加盖公章证明货物交付使用合格的验收表。</w:t>
      </w:r>
    </w:p>
    <w:p w14:paraId="5A971075">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6.3买方将按“合同条款前附表”规定的付款计划安排付款。</w:t>
      </w:r>
    </w:p>
    <w:p w14:paraId="0DBABD1C">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7.伴随服务</w:t>
      </w:r>
    </w:p>
    <w:p w14:paraId="04262F42">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7.1卖方应按照国家有关规定和合同中所附的服务承诺提供服务。</w:t>
      </w:r>
    </w:p>
    <w:p w14:paraId="2C3A6DCA">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7.2除第7.1条规定外，卖方还应提供下列服务</w:t>
      </w:r>
    </w:p>
    <w:p w14:paraId="2FF8AE45">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（1）货物的现场安装和启动监督；</w:t>
      </w:r>
    </w:p>
    <w:p w14:paraId="2B1BC449">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（2）提供货物组装和维修所需的工具；</w:t>
      </w:r>
    </w:p>
    <w:p w14:paraId="208D0148">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（3）在合同中卖方承诺的期限内对所提供货物实施运行监督、维修，但前提条件是该服务并不能免除卖方在质量保证期内应承担的义务；</w:t>
      </w:r>
    </w:p>
    <w:p w14:paraId="42344946">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（4）在项目交货现场就货物的安装、启动、运行、维护对买方人员进行培训。</w:t>
      </w:r>
    </w:p>
    <w:p w14:paraId="034DBB6D">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7.3伴随服务的费用应含在合同价中，不单独进行支付。</w:t>
      </w:r>
    </w:p>
    <w:p w14:paraId="29817902">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8.质量保证</w:t>
      </w:r>
    </w:p>
    <w:p w14:paraId="777E7D1C">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8.1卖方所提供货物必须符合招标文件要求并不低于国家有关标准。</w:t>
      </w:r>
    </w:p>
    <w:p w14:paraId="5958F1E9">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8.2卖方应保证货物是全新、未使用过的，是用一流的工艺和最佳材料制造的原装合格正品，并完全符合合同规定的质量、规格和性能的要求。卖方应保证其货物在正确安装、正常使用和保养条件下</w:t>
      </w:r>
      <w:r>
        <w:rPr>
          <w:rFonts w:hint="eastAsia" w:ascii="宋体" w:hAnsi="宋体" w:eastAsia="宋体" w:cs="宋体"/>
          <w:sz w:val="24"/>
          <w:highlight w:val="none"/>
          <w:lang w:eastAsia="zh-CN"/>
        </w:rPr>
        <w:t>，</w:t>
      </w:r>
      <w:r>
        <w:rPr>
          <w:rFonts w:hint="eastAsia" w:ascii="宋体" w:hAnsi="宋体" w:eastAsia="宋体" w:cs="宋体"/>
          <w:sz w:val="24"/>
          <w:highlight w:val="none"/>
        </w:rPr>
        <w:t>其使用寿命应具有满意的性能。货物最终验收后，在质量保证期内，卖方应对由于设计、工艺或材料缺陷而发</w:t>
      </w:r>
      <w:r>
        <w:rPr>
          <w:rFonts w:hint="eastAsia" w:ascii="宋体" w:hAnsi="宋体" w:eastAsia="宋体" w:cs="宋体"/>
          <w:sz w:val="24"/>
          <w:highlight w:val="none"/>
          <w:lang w:eastAsia="zh-CN"/>
        </w:rPr>
        <w:t>生的</w:t>
      </w:r>
      <w:r>
        <w:rPr>
          <w:rFonts w:hint="eastAsia" w:ascii="宋体" w:hAnsi="宋体" w:eastAsia="宋体" w:cs="宋体"/>
          <w:sz w:val="24"/>
          <w:highlight w:val="none"/>
        </w:rPr>
        <w:t>任何不足或故障负责，费用由卖方负担。</w:t>
      </w:r>
    </w:p>
    <w:p w14:paraId="7E9739EA">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8.3根据法定检验机构的检验结果或者在质量保证内，如果货物的数量、质量或规格与合同不符，或证明货物是有缺陷的，包括潜在的缺陷或使用不符合要求的材料等，买方以书面形式向卖方提出本保证下的索赔。</w:t>
      </w:r>
    </w:p>
    <w:p w14:paraId="280CEA04">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8.4卖方在收到通知后，应在合同中所附服务承诺约定的时间内免费维修、更换有缺陷的货物或部件。</w:t>
      </w:r>
    </w:p>
    <w:p w14:paraId="0E64F402">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8.5如果卖方在收到通知后，在合同中所附服务承诺约定的时间内没有弥补缺陷，买方</w:t>
      </w:r>
      <w:r>
        <w:rPr>
          <w:rFonts w:hint="eastAsia" w:ascii="宋体" w:hAnsi="宋体" w:eastAsia="宋体" w:cs="宋体"/>
          <w:sz w:val="24"/>
          <w:highlight w:val="none"/>
          <w:lang w:eastAsia="zh-CN"/>
        </w:rPr>
        <w:t>可以</w:t>
      </w:r>
      <w:r>
        <w:rPr>
          <w:rFonts w:hint="eastAsia" w:ascii="宋体" w:hAnsi="宋体" w:eastAsia="宋体" w:cs="宋体"/>
          <w:sz w:val="24"/>
          <w:highlight w:val="none"/>
        </w:rPr>
        <w:t>采取必要的补救措施，但风险和费用将由卖方承担。</w:t>
      </w:r>
    </w:p>
    <w:p w14:paraId="632484F8">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9.检验</w:t>
      </w:r>
    </w:p>
    <w:p w14:paraId="6ABC832A">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p>
    <w:p w14:paraId="21581DBA">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9.2买方将在卖方交货后柒天内组织验收，如果货物的质量和规格与合同规定相符，买方应及时填写验收表，如果货物的</w:t>
      </w:r>
      <w:r>
        <w:rPr>
          <w:rFonts w:hint="eastAsia" w:ascii="宋体" w:hAnsi="宋体" w:eastAsia="宋体" w:cs="宋体"/>
          <w:sz w:val="24"/>
          <w:highlight w:val="none"/>
          <w:lang w:eastAsia="zh-CN"/>
        </w:rPr>
        <w:t>质量</w:t>
      </w:r>
      <w:r>
        <w:rPr>
          <w:rFonts w:hint="eastAsia" w:ascii="宋体" w:hAnsi="宋体" w:eastAsia="宋体" w:cs="宋体"/>
          <w:sz w:val="24"/>
          <w:highlight w:val="none"/>
        </w:rPr>
        <w:t>规格与合同规定不符，或在质量保证期内发现货物是有缺陷的，包括潜在缺陷或使用不符合要求的材料，买方应报请法定检验机构进行检查，并有权凭其出具的检验报告向卖方提出索赔。</w:t>
      </w:r>
    </w:p>
    <w:p w14:paraId="0A6F6742">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10.索赔</w:t>
      </w:r>
    </w:p>
    <w:p w14:paraId="2714DBC9">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10.1买方有权根据法定检验机构出具的检验报告，向卖方提出索赔。</w:t>
      </w:r>
    </w:p>
    <w:p w14:paraId="252BFF5D">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10.2根据合同规定的检验期和质量保证期内，如果卖方对买方提出的索赔和差异负有责任，卖方应按照买方同意的下列一种或多种方式解决索赔事宜；</w:t>
      </w:r>
    </w:p>
    <w:p w14:paraId="13B12654">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p>
    <w:p w14:paraId="55E7803D">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（2）根据货物的低劣程度、损坏程度以及买方所遭损失的数额，卖方必须降低货物的价格。</w:t>
      </w:r>
    </w:p>
    <w:p w14:paraId="05DE3596">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（3）用符合</w:t>
      </w:r>
      <w:r>
        <w:rPr>
          <w:rFonts w:hint="eastAsia" w:ascii="宋体" w:hAnsi="宋体" w:eastAsia="宋体" w:cs="宋体"/>
          <w:sz w:val="24"/>
          <w:highlight w:val="none"/>
          <w:lang w:eastAsia="zh-CN"/>
        </w:rPr>
        <w:t>合同</w:t>
      </w:r>
      <w:r>
        <w:rPr>
          <w:rFonts w:hint="eastAsia" w:ascii="宋体" w:hAnsi="宋体" w:eastAsia="宋体" w:cs="宋体"/>
          <w:sz w:val="24"/>
          <w:highlight w:val="none"/>
        </w:rPr>
        <w:t>规定的规格、质量和性能要求的新零件、部件或设备来更换</w:t>
      </w:r>
      <w:r>
        <w:rPr>
          <w:rFonts w:hint="eastAsia" w:ascii="宋体" w:hAnsi="宋体" w:eastAsia="宋体" w:cs="宋体"/>
          <w:sz w:val="24"/>
          <w:highlight w:val="none"/>
          <w:lang w:eastAsia="zh-CN"/>
        </w:rPr>
        <w:t>和</w:t>
      </w:r>
      <w:r>
        <w:rPr>
          <w:rFonts w:hint="eastAsia" w:ascii="宋体" w:hAnsi="宋体" w:eastAsia="宋体" w:cs="宋体"/>
          <w:sz w:val="24"/>
          <w:highlight w:val="none"/>
        </w:rPr>
        <w:t>修补有缺陷的部分，卖方应承担一切费用和风险并负担买方所蒙受的全部直接损失费用。同时，卖方应按合同规定，对更换和修补件相应延长质量保证期。</w:t>
      </w:r>
    </w:p>
    <w:p w14:paraId="59FB9AB7">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w:t>
      </w:r>
    </w:p>
    <w:p w14:paraId="7F5B70D4">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11.卖方</w:t>
      </w:r>
      <w:r>
        <w:rPr>
          <w:rFonts w:hint="eastAsia" w:ascii="宋体" w:hAnsi="宋体" w:eastAsia="宋体" w:cs="宋体"/>
          <w:b/>
          <w:bCs/>
          <w:sz w:val="24"/>
          <w:highlight w:val="none"/>
          <w:lang w:eastAsia="zh-CN"/>
        </w:rPr>
        <w:t>延迟</w:t>
      </w:r>
      <w:r>
        <w:rPr>
          <w:rFonts w:hint="eastAsia" w:ascii="宋体" w:hAnsi="宋体" w:eastAsia="宋体" w:cs="宋体"/>
          <w:b/>
          <w:bCs/>
          <w:sz w:val="24"/>
          <w:highlight w:val="none"/>
        </w:rPr>
        <w:t>交货、安装</w:t>
      </w:r>
    </w:p>
    <w:p w14:paraId="125159C4">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11.1卖方应按照“合同条款前附表”中规定的交货期交货、安装，并交付买方验收使用。如果卖方无正当理由拖延交货、安装，将受到以下制裁：不予退还履约保证金，加收误期赔偿或终止合同。</w:t>
      </w:r>
    </w:p>
    <w:p w14:paraId="0659CE42">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eastAsia="宋体" w:cs="宋体"/>
          <w:sz w:val="24"/>
          <w:highlight w:val="none"/>
          <w:lang w:val="en-US" w:eastAsia="zh-CN"/>
        </w:rPr>
        <w:t>利</w:t>
      </w:r>
      <w:r>
        <w:rPr>
          <w:rFonts w:hint="eastAsia" w:ascii="宋体" w:hAnsi="宋体" w:eastAsia="宋体" w:cs="宋体"/>
          <w:sz w:val="24"/>
          <w:highlight w:val="none"/>
        </w:rPr>
        <w:t>。</w:t>
      </w:r>
    </w:p>
    <w:p w14:paraId="3ED8563B">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12.误期赔偿</w:t>
      </w:r>
    </w:p>
    <w:p w14:paraId="30ECBF15">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12.1除合同条款第13条规定外，如果卖方没有按照合同规定的时间交货和提供服务，买方将从货款中扣除误期赔偿费而不影响合同项目的其他补救方法，赔偿费按每天迟交货物交货价或未提供服务费用的5‰计收，直至交货或提供服务为止。但误期赔偿费的最高</w:t>
      </w:r>
      <w:r>
        <w:rPr>
          <w:rFonts w:hint="eastAsia" w:ascii="宋体" w:hAnsi="宋体" w:eastAsia="宋体" w:cs="宋体"/>
          <w:sz w:val="24"/>
          <w:highlight w:val="none"/>
          <w:lang w:eastAsia="zh-CN"/>
        </w:rPr>
        <w:t>限度</w:t>
      </w:r>
      <w:r>
        <w:rPr>
          <w:rFonts w:hint="eastAsia" w:ascii="宋体" w:hAnsi="宋体" w:eastAsia="宋体" w:cs="宋体"/>
          <w:sz w:val="24"/>
          <w:highlight w:val="none"/>
        </w:rPr>
        <w:t>为误期货物或服务合同价的5%。一旦达到误期赔偿的最高限额，买方可考虑终止合同。</w:t>
      </w:r>
    </w:p>
    <w:p w14:paraId="544004B4">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13.不可抗力</w:t>
      </w:r>
    </w:p>
    <w:p w14:paraId="32FF3F25">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13.1尽管有合同条款第11条、12条和17条的规定，如果卖方因不可抗力而导致合同实施延误或不能履行合同义务的话，不应该被没收履约保证金，也不应该承担误期赔偿或终止合同的责任。</w:t>
      </w:r>
    </w:p>
    <w:p w14:paraId="19BBF7E6">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13.2本条所述的“不可抗力”系指那些卖方无法控制、不可预见的事件，但不包括卖方的违约或疏忽。这些事件包括：战争、严重火灾、洪水、台风、地震以及其他买方和卖方商定的事件。</w:t>
      </w:r>
    </w:p>
    <w:p w14:paraId="0084E007">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p>
    <w:p w14:paraId="0504551A">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14.税费</w:t>
      </w:r>
    </w:p>
    <w:p w14:paraId="52BC81D1">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14.1中国政府根据现行税法规定对买方征收的、与本合同有关的一切税费，均由买方负担，招标文件另有规定的除外。</w:t>
      </w:r>
    </w:p>
    <w:p w14:paraId="15D520CD">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14.2中国政府根据现行税法规定对卖方征收的、与本合同有关的一切税费，均由卖方负担。</w:t>
      </w:r>
    </w:p>
    <w:p w14:paraId="0F89357F">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15.履约保证金</w:t>
      </w:r>
    </w:p>
    <w:p w14:paraId="5FC790F6">
      <w:pPr>
        <w:keepNext w:val="0"/>
        <w:keepLines w:val="0"/>
        <w:pageBreakBefore w:val="0"/>
        <w:widowControl w:val="0"/>
        <w:spacing w:line="400" w:lineRule="exact"/>
        <w:ind w:right="0" w:firstLine="482"/>
        <w:jc w:val="lef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15</w:t>
      </w:r>
      <w:r>
        <w:rPr>
          <w:rFonts w:hint="eastAsia" w:ascii="宋体" w:hAnsi="宋体" w:eastAsia="宋体" w:cs="宋体"/>
          <w:b/>
          <w:bCs/>
          <w:sz w:val="24"/>
          <w:highlight w:val="none"/>
        </w:rPr>
        <w:t>.1本项目履约保证金为成交价的1%。</w:t>
      </w:r>
    </w:p>
    <w:p w14:paraId="74840B91">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15</w:t>
      </w:r>
      <w:r>
        <w:rPr>
          <w:rFonts w:hint="eastAsia" w:ascii="宋体" w:hAnsi="宋体" w:eastAsia="宋体" w:cs="宋体"/>
          <w:sz w:val="24"/>
          <w:highlight w:val="none"/>
        </w:rPr>
        <w:t>.2</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提供的履约保证金可以是人民币形式（</w:t>
      </w:r>
      <w:r>
        <w:rPr>
          <w:rFonts w:hint="eastAsia" w:ascii="宋体" w:hAnsi="宋体" w:eastAsia="宋体" w:cs="宋体"/>
          <w:sz w:val="24"/>
          <w:highlight w:val="none"/>
          <w:lang w:eastAsia="zh-CN"/>
        </w:rPr>
        <w:t>银行本票、汇票、支票、电汇、数字人民币</w:t>
      </w:r>
      <w:r>
        <w:rPr>
          <w:rFonts w:hint="eastAsia" w:ascii="宋体" w:hAnsi="宋体" w:eastAsia="宋体" w:cs="宋体"/>
          <w:sz w:val="24"/>
          <w:highlight w:val="none"/>
        </w:rPr>
        <w:t>），或银行保函、担保公司的保证担保或保险公司的保证保险等多种形式。</w:t>
      </w:r>
    </w:p>
    <w:p w14:paraId="51F3187A">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15</w:t>
      </w:r>
      <w:r>
        <w:rPr>
          <w:rFonts w:hint="eastAsia" w:ascii="宋体" w:hAnsi="宋体" w:eastAsia="宋体" w:cs="宋体"/>
          <w:sz w:val="24"/>
          <w:highlight w:val="none"/>
        </w:rPr>
        <w:t>.3</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选取银行保函、担保公司的保证担保或保险公司的保证保险等</w:t>
      </w:r>
      <w:r>
        <w:rPr>
          <w:rFonts w:hint="eastAsia" w:ascii="宋体" w:hAnsi="宋体" w:eastAsia="宋体" w:cs="宋体"/>
          <w:sz w:val="24"/>
          <w:highlight w:val="none"/>
          <w:lang w:eastAsia="zh-CN"/>
        </w:rPr>
        <w:t>形式</w:t>
      </w:r>
      <w:r>
        <w:rPr>
          <w:rFonts w:hint="eastAsia" w:ascii="宋体" w:hAnsi="宋体" w:eastAsia="宋体" w:cs="宋体"/>
          <w:sz w:val="24"/>
          <w:highlight w:val="none"/>
        </w:rPr>
        <w:t>向采购人缴纳的，如保函（担保、保险等）的约定期到期但</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履约仍未结束的，</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须进行续保。</w:t>
      </w:r>
    </w:p>
    <w:p w14:paraId="0A74C562">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15</w:t>
      </w:r>
      <w:r>
        <w:rPr>
          <w:rFonts w:hint="eastAsia" w:ascii="宋体" w:hAnsi="宋体" w:eastAsia="宋体" w:cs="宋体"/>
          <w:sz w:val="24"/>
          <w:highlight w:val="none"/>
        </w:rPr>
        <w:t>.4</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选取以履约保函（保险）形式向采购人缴纳的，按照《关于在全省政府采购领域推行电子履约保函（保险）的通知》（苏财购【2023】150号）、《关于在全市公共资源交易领域全面推广应用数字人民币的通知》</w:t>
      </w:r>
      <w:r>
        <w:rPr>
          <w:rFonts w:hint="eastAsia" w:ascii="宋体" w:hAnsi="宋体" w:eastAsia="宋体" w:cs="宋体"/>
          <w:sz w:val="24"/>
          <w:highlight w:val="none"/>
          <w:lang w:eastAsia="zh-CN"/>
        </w:rPr>
        <w:t>（</w:t>
      </w:r>
      <w:r>
        <w:rPr>
          <w:rFonts w:hint="eastAsia" w:ascii="宋体" w:hAnsi="宋体" w:eastAsia="宋体" w:cs="宋体"/>
          <w:sz w:val="24"/>
          <w:highlight w:val="none"/>
        </w:rPr>
        <w:t>淮协调办【2023】33号</w:t>
      </w:r>
      <w:r>
        <w:rPr>
          <w:rFonts w:hint="eastAsia" w:ascii="宋体" w:hAnsi="宋体" w:eastAsia="宋体" w:cs="宋体"/>
          <w:sz w:val="24"/>
          <w:highlight w:val="none"/>
          <w:lang w:eastAsia="zh-CN"/>
        </w:rPr>
        <w:t>）</w:t>
      </w:r>
      <w:r>
        <w:rPr>
          <w:rFonts w:hint="eastAsia" w:ascii="宋体" w:hAnsi="宋体" w:eastAsia="宋体" w:cs="宋体"/>
          <w:sz w:val="24"/>
          <w:highlight w:val="none"/>
        </w:rPr>
        <w:t>的要求，登录“政府采购电子履约保函（保险）平台”，选择第三方机构并提交保函（保险）申请，经审核通过后建议采用数字人民币形式支付相关费用。</w:t>
      </w:r>
    </w:p>
    <w:p w14:paraId="150FDFAA">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15</w:t>
      </w:r>
      <w:r>
        <w:rPr>
          <w:rFonts w:hint="eastAsia" w:ascii="宋体" w:hAnsi="宋体" w:eastAsia="宋体" w:cs="宋体"/>
          <w:sz w:val="24"/>
          <w:highlight w:val="none"/>
        </w:rPr>
        <w:t>.5如</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未能履行合同规定的义务，采购人有权从履约保证金中取得补偿。</w:t>
      </w:r>
    </w:p>
    <w:p w14:paraId="4A135754">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15</w:t>
      </w:r>
      <w:r>
        <w:rPr>
          <w:rFonts w:hint="eastAsia" w:ascii="宋体" w:hAnsi="宋体" w:eastAsia="宋体" w:cs="宋体"/>
          <w:sz w:val="24"/>
          <w:highlight w:val="none"/>
        </w:rPr>
        <w:t>.6履约保证金在合同约定期间内不予退还</w:t>
      </w:r>
      <w:r>
        <w:rPr>
          <w:rFonts w:hint="eastAsia" w:ascii="宋体" w:hAnsi="宋体" w:eastAsia="宋体" w:cs="宋体"/>
          <w:sz w:val="24"/>
          <w:highlight w:val="none"/>
          <w:lang w:eastAsia="zh-CN"/>
        </w:rPr>
        <w:t>或者</w:t>
      </w:r>
      <w:r>
        <w:rPr>
          <w:rFonts w:hint="eastAsia" w:ascii="宋体" w:hAnsi="宋体" w:eastAsia="宋体" w:cs="宋体"/>
          <w:sz w:val="24"/>
          <w:highlight w:val="none"/>
        </w:rPr>
        <w:t>完全有效</w:t>
      </w:r>
      <w:r>
        <w:rPr>
          <w:rFonts w:hint="eastAsia" w:ascii="宋体" w:hAnsi="宋体" w:eastAsia="宋体" w:cs="宋体"/>
          <w:sz w:val="24"/>
          <w:highlight w:val="none"/>
          <w:lang w:eastAsia="zh-CN"/>
        </w:rPr>
        <w:t>，在</w:t>
      </w:r>
      <w:r>
        <w:rPr>
          <w:rFonts w:hint="eastAsia" w:ascii="宋体" w:hAnsi="宋体" w:eastAsia="宋体" w:cs="宋体"/>
          <w:sz w:val="24"/>
          <w:highlight w:val="none"/>
        </w:rPr>
        <w:t>约定期间届满之日起5个工作日内，采购人应将履约保证金退还</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；逾期退还的，按中国人民银行同期贷款基准利率上浮20%后的利率支付逾期资金占用费，但因</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自身原因导致无法及时退还的除外。</w:t>
      </w:r>
    </w:p>
    <w:p w14:paraId="0F882DE5">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15</w:t>
      </w:r>
      <w:r>
        <w:rPr>
          <w:rFonts w:hint="eastAsia" w:ascii="宋体" w:hAnsi="宋体" w:eastAsia="宋体" w:cs="宋体"/>
          <w:sz w:val="24"/>
          <w:highlight w:val="none"/>
        </w:rPr>
        <w:t>.7履约保证金在合同约定期间内不予退还</w:t>
      </w:r>
      <w:r>
        <w:rPr>
          <w:rFonts w:hint="eastAsia" w:ascii="宋体" w:hAnsi="宋体" w:eastAsia="宋体" w:cs="宋体"/>
          <w:sz w:val="24"/>
          <w:highlight w:val="none"/>
          <w:lang w:eastAsia="zh-CN"/>
        </w:rPr>
        <w:t>或者</w:t>
      </w:r>
      <w:r>
        <w:rPr>
          <w:rFonts w:hint="eastAsia" w:ascii="宋体" w:hAnsi="宋体" w:eastAsia="宋体" w:cs="宋体"/>
          <w:sz w:val="24"/>
          <w:highlight w:val="none"/>
        </w:rPr>
        <w:t>完全有效，履约保证金在项目验收合格后无息退还给</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w:t>
      </w:r>
    </w:p>
    <w:p w14:paraId="79D5D002">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16.仲裁</w:t>
      </w:r>
    </w:p>
    <w:p w14:paraId="735DE8D3">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16.1在执行本合同所发生的或与本合同有关一切争端，买方和卖方应通过友好协商的办法进行解决。如从协商开始叁</w:t>
      </w:r>
      <w:r>
        <w:rPr>
          <w:rFonts w:hint="eastAsia" w:ascii="宋体" w:hAnsi="宋体" w:eastAsia="宋体" w:cs="宋体"/>
          <w:sz w:val="24"/>
          <w:highlight w:val="none"/>
          <w:lang w:eastAsia="zh-CN"/>
        </w:rPr>
        <w:t>十天</w:t>
      </w:r>
      <w:r>
        <w:rPr>
          <w:rFonts w:hint="eastAsia" w:ascii="宋体" w:hAnsi="宋体" w:eastAsia="宋体" w:cs="宋体"/>
          <w:sz w:val="24"/>
          <w:highlight w:val="none"/>
        </w:rPr>
        <w:t>内仍不能解决，应将争端提交有关市政府或行业主管部门寻求可能解决的办法。如果提交有关市政府或行业主管部门后叁</w:t>
      </w:r>
      <w:r>
        <w:rPr>
          <w:rFonts w:hint="eastAsia" w:ascii="宋体" w:hAnsi="宋体" w:eastAsia="宋体" w:cs="宋体"/>
          <w:sz w:val="24"/>
          <w:highlight w:val="none"/>
          <w:lang w:eastAsia="zh-CN"/>
        </w:rPr>
        <w:t>十天</w:t>
      </w:r>
      <w:r>
        <w:rPr>
          <w:rFonts w:hint="eastAsia" w:ascii="宋体" w:hAnsi="宋体" w:eastAsia="宋体" w:cs="宋体"/>
          <w:sz w:val="24"/>
          <w:highlight w:val="none"/>
        </w:rPr>
        <w:t>内仍得不到解决，则应申请仲裁。</w:t>
      </w:r>
    </w:p>
    <w:p w14:paraId="30862556">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16.2仲裁应根据《中华人民共和国仲裁法》的规定向买方所在地有管辖权的仲裁机构申请仲裁。</w:t>
      </w:r>
    </w:p>
    <w:p w14:paraId="4D749344">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16.3仲裁裁决为最终裁决，对买方和卖方均有约束力。</w:t>
      </w:r>
    </w:p>
    <w:p w14:paraId="525CBC51">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16.4在仲裁期间，本合同应继续执行。</w:t>
      </w:r>
    </w:p>
    <w:p w14:paraId="1510E1E5">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17.违约终止合同</w:t>
      </w:r>
    </w:p>
    <w:p w14:paraId="3BF4831C">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17.1在买方对卖方违约而采取的任何补救措施不受影响的情况下，买方可向卖方发出终止部分或全部合同的书面通知书。</w:t>
      </w:r>
    </w:p>
    <w:p w14:paraId="3217F0B5">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（1）如果卖方未能按合同规定的期限或买方同意延长的限期内提供部分或全部货物；</w:t>
      </w:r>
    </w:p>
    <w:p w14:paraId="42311E2A">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（2）卖方在收到买方发出的违约通知后贰拾天内，或经买方书面认可可延长的时间内未能纠正其过失；</w:t>
      </w:r>
    </w:p>
    <w:p w14:paraId="288F8F75">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（3）如果卖方未能履行合同规定的其他义务。</w:t>
      </w:r>
    </w:p>
    <w:p w14:paraId="55F4707C">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17.2在买方根据上述第17.1条规定，终止了全部或部分合同后，买方可以依其认为适当的条件和方法购买与未交货物类似的货物，卖方应对买方购买类似货物所超出的那部分费用负责，并继续执行合同中未终止的部分。</w:t>
      </w:r>
    </w:p>
    <w:p w14:paraId="22CD58DD">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18.破产中止合同</w:t>
      </w:r>
    </w:p>
    <w:p w14:paraId="69E9AC0E">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18.1如果卖方破产或无清偿能力，买方可在任何时候以书面形式通知卖方终止合同而不给卖方补偿。该终止合同将不损害或影响买方和使用方已经采取或将要采取的任何行动或补救措施的</w:t>
      </w:r>
      <w:r>
        <w:rPr>
          <w:rFonts w:hint="eastAsia" w:ascii="宋体" w:hAnsi="宋体" w:eastAsia="宋体" w:cs="宋体"/>
          <w:sz w:val="24"/>
          <w:highlight w:val="none"/>
          <w:lang w:eastAsia="zh-CN"/>
        </w:rPr>
        <w:t>权利</w:t>
      </w:r>
      <w:r>
        <w:rPr>
          <w:rFonts w:hint="eastAsia" w:ascii="宋体" w:hAnsi="宋体" w:eastAsia="宋体" w:cs="宋体"/>
          <w:sz w:val="24"/>
          <w:highlight w:val="none"/>
        </w:rPr>
        <w:t>。</w:t>
      </w:r>
    </w:p>
    <w:p w14:paraId="4E2A60EB">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19.转让</w:t>
      </w:r>
    </w:p>
    <w:p w14:paraId="10D018CA">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19.1除买方事先书面同意外，卖方不得部分转让或全部转让其应履行的合同义务。</w:t>
      </w:r>
    </w:p>
    <w:p w14:paraId="7AFD3A09">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20.验收</w:t>
      </w:r>
    </w:p>
    <w:p w14:paraId="2138A5F5">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20.1买方依法组织履约验收工作。</w:t>
      </w:r>
    </w:p>
    <w:p w14:paraId="5B6A64C0">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20.2买方在组织履约验收前，将根据项目特点制定验收方案，明确履约验收的时间、方式、程序等内容，并可根据项目特点对服务期内的服务实施情况进行分期考核，综合考核情况和服务效果进行验收。卖方应根据验收方案内容做好相应配合工作。</w:t>
      </w:r>
    </w:p>
    <w:p w14:paraId="62741D4E">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20.3对于实际使用人和买方分离的项目，买方邀请实际使用人参与验收。</w:t>
      </w:r>
    </w:p>
    <w:p w14:paraId="6B275CAA">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20.4如有必要，买方邀请参加本项目的其他</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或第三方专业机构及专家参与验收，相关意见将作为验收书的参考资料。</w:t>
      </w:r>
    </w:p>
    <w:p w14:paraId="568A10E7">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20.5买方成立验收小组，按照采购合同的约定对卖方的履约情况进行验收。验收时</w:t>
      </w:r>
      <w:r>
        <w:rPr>
          <w:rFonts w:hint="eastAsia" w:ascii="宋体" w:hAnsi="宋体" w:eastAsia="宋体" w:cs="宋体"/>
          <w:sz w:val="24"/>
          <w:highlight w:val="none"/>
          <w:lang w:eastAsia="zh-CN"/>
        </w:rPr>
        <w:t>，</w:t>
      </w:r>
      <w:r>
        <w:rPr>
          <w:rFonts w:hint="eastAsia" w:ascii="宋体" w:hAnsi="宋体" w:eastAsia="宋体" w:cs="宋体"/>
          <w:sz w:val="24"/>
          <w:highlight w:val="none"/>
        </w:rPr>
        <w:t>买方按照采购合同的约定对每一项技术、商务要求的履约情况进行确认。验收结束后</w:t>
      </w:r>
      <w:r>
        <w:rPr>
          <w:rFonts w:hint="eastAsia" w:ascii="宋体" w:hAnsi="宋体" w:eastAsia="宋体" w:cs="宋体"/>
          <w:sz w:val="24"/>
          <w:highlight w:val="none"/>
          <w:lang w:eastAsia="zh-CN"/>
        </w:rPr>
        <w:t>，</w:t>
      </w:r>
      <w:r>
        <w:rPr>
          <w:rFonts w:hint="eastAsia" w:ascii="宋体" w:hAnsi="宋体" w:eastAsia="宋体" w:cs="宋体"/>
          <w:sz w:val="24"/>
          <w:highlight w:val="none"/>
        </w:rPr>
        <w:t>验收小组出具验收书</w:t>
      </w:r>
      <w:r>
        <w:rPr>
          <w:rFonts w:hint="eastAsia" w:ascii="宋体" w:hAnsi="宋体" w:eastAsia="宋体" w:cs="宋体"/>
          <w:sz w:val="24"/>
          <w:highlight w:val="none"/>
          <w:lang w:eastAsia="zh-CN"/>
        </w:rPr>
        <w:t>，</w:t>
      </w:r>
      <w:r>
        <w:rPr>
          <w:rFonts w:hint="eastAsia" w:ascii="宋体" w:hAnsi="宋体" w:eastAsia="宋体" w:cs="宋体"/>
          <w:sz w:val="24"/>
          <w:highlight w:val="none"/>
        </w:rPr>
        <w:t>列明各项标准的验收情况及项目总体评价</w:t>
      </w:r>
      <w:r>
        <w:rPr>
          <w:rFonts w:hint="eastAsia" w:ascii="宋体" w:hAnsi="宋体" w:eastAsia="宋体" w:cs="宋体"/>
          <w:sz w:val="24"/>
          <w:highlight w:val="none"/>
          <w:lang w:eastAsia="zh-CN"/>
        </w:rPr>
        <w:t>，</w:t>
      </w:r>
      <w:r>
        <w:rPr>
          <w:rFonts w:hint="eastAsia" w:ascii="宋体" w:hAnsi="宋体" w:eastAsia="宋体" w:cs="宋体"/>
          <w:sz w:val="24"/>
          <w:highlight w:val="none"/>
        </w:rPr>
        <w:t>由验收双方共同签署。验收结果与采购合同约定的资金支付及履约保证金返还条件挂钩。履约验收的各项资料存档备查。</w:t>
      </w:r>
    </w:p>
    <w:p w14:paraId="57B8A0E3">
      <w:pPr>
        <w:keepNext w:val="0"/>
        <w:keepLines w:val="0"/>
        <w:pageBreakBefore w:val="0"/>
        <w:widowControl w:val="0"/>
        <w:spacing w:line="400" w:lineRule="exact"/>
        <w:ind w:right="0" w:firstLine="240"/>
        <w:jc w:val="left"/>
        <w:rPr>
          <w:rFonts w:hint="eastAsia" w:ascii="宋体" w:hAnsi="宋体" w:eastAsia="宋体" w:cs="宋体"/>
          <w:b/>
          <w:bCs/>
          <w:sz w:val="24"/>
          <w:highlight w:val="none"/>
        </w:rPr>
      </w:pPr>
      <w:r>
        <w:rPr>
          <w:rFonts w:hint="eastAsia" w:ascii="宋体" w:hAnsi="宋体" w:eastAsia="宋体" w:cs="宋体"/>
          <w:sz w:val="24"/>
          <w:highlight w:val="none"/>
        </w:rPr>
        <w:t>20.6验收合格的项目</w:t>
      </w:r>
      <w:r>
        <w:rPr>
          <w:rFonts w:hint="eastAsia" w:ascii="宋体" w:hAnsi="宋体" w:eastAsia="宋体" w:cs="宋体"/>
          <w:sz w:val="24"/>
          <w:highlight w:val="none"/>
          <w:lang w:eastAsia="zh-CN"/>
        </w:rPr>
        <w:t>，</w:t>
      </w:r>
      <w:r>
        <w:rPr>
          <w:rFonts w:hint="eastAsia" w:ascii="宋体" w:hAnsi="宋体" w:eastAsia="宋体" w:cs="宋体"/>
          <w:sz w:val="24"/>
          <w:highlight w:val="none"/>
        </w:rPr>
        <w:t>买方根据采购合同的约定及时向卖方支付合同款项。验收不合格的项目，买方依法及时处理。采购合同的履行、违约责任和解决争议的方式等适用《中华人民共和国民法典》。卖方在履约过程中有政府采购法律法规规定的违法违规情形的</w:t>
      </w:r>
      <w:r>
        <w:rPr>
          <w:rFonts w:hint="eastAsia" w:ascii="宋体" w:hAnsi="宋体" w:eastAsia="宋体" w:cs="宋体"/>
          <w:sz w:val="24"/>
          <w:highlight w:val="none"/>
          <w:lang w:eastAsia="zh-CN"/>
        </w:rPr>
        <w:t>，</w:t>
      </w:r>
      <w:r>
        <w:rPr>
          <w:rFonts w:hint="eastAsia" w:ascii="宋体" w:hAnsi="宋体" w:eastAsia="宋体" w:cs="宋体"/>
          <w:sz w:val="24"/>
          <w:highlight w:val="none"/>
        </w:rPr>
        <w:t>买方将及时报告本级财政部门。</w:t>
      </w:r>
    </w:p>
    <w:p w14:paraId="66EDC33A">
      <w:pPr>
        <w:keepNext w:val="0"/>
        <w:keepLines w:val="0"/>
        <w:pageBreakBefore w:val="0"/>
        <w:widowControl w:val="0"/>
        <w:spacing w:line="400" w:lineRule="exact"/>
        <w:ind w:right="0" w:firstLine="241"/>
        <w:jc w:val="left"/>
        <w:rPr>
          <w:rFonts w:hint="eastAsia" w:ascii="宋体" w:hAnsi="宋体" w:eastAsia="宋体" w:cs="宋体"/>
          <w:b/>
          <w:bCs/>
          <w:sz w:val="24"/>
          <w:highlight w:val="none"/>
        </w:rPr>
      </w:pPr>
      <w:r>
        <w:rPr>
          <w:rFonts w:hint="eastAsia" w:ascii="宋体" w:hAnsi="宋体" w:eastAsia="宋体" w:cs="宋体"/>
          <w:b/>
          <w:bCs/>
          <w:sz w:val="24"/>
          <w:highlight w:val="none"/>
        </w:rPr>
        <w:t>21.合同生效及其他</w:t>
      </w:r>
    </w:p>
    <w:p w14:paraId="10384F7F">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21.1</w:t>
      </w:r>
      <w:r>
        <w:rPr>
          <w:rFonts w:hint="eastAsia" w:ascii="宋体" w:hAnsi="宋体" w:eastAsia="宋体" w:cs="宋体"/>
          <w:sz w:val="24"/>
          <w:highlight w:val="none"/>
          <w:u w:val="single"/>
          <w:lang w:eastAsia="zh-CN"/>
        </w:rPr>
        <w:t>种业信息监管服务平台（三期）建设项目</w:t>
      </w:r>
      <w:r>
        <w:rPr>
          <w:rFonts w:hint="eastAsia" w:ascii="宋体" w:hAnsi="宋体" w:eastAsia="宋体" w:cs="宋体"/>
          <w:sz w:val="24"/>
          <w:highlight w:val="none"/>
          <w:lang w:val="en-US" w:eastAsia="zh-CN"/>
        </w:rPr>
        <w:t>投标</w:t>
      </w:r>
      <w:r>
        <w:rPr>
          <w:rFonts w:hint="eastAsia" w:ascii="宋体" w:hAnsi="宋体" w:eastAsia="宋体" w:cs="宋体"/>
          <w:sz w:val="24"/>
          <w:highlight w:val="none"/>
        </w:rPr>
        <w:t>文件、卖方提交的响应文件、本次招标的中标通知书和招标过程中卖方的投标澄清等内容将作为本次采购合同文件的主要内容。卖方在合同履行过程中若发生服务内容缩减、服务不及时的现象，买方有权对卖方处以适当的经济处罚。</w:t>
      </w:r>
    </w:p>
    <w:p w14:paraId="591E5AAF">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21.2本合同应在买方和卖方双方签字盖章后生效。</w:t>
      </w:r>
    </w:p>
    <w:p w14:paraId="0BDBE287">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21.3本合同一式</w:t>
      </w:r>
      <w:r>
        <w:rPr>
          <w:rFonts w:hint="eastAsia" w:ascii="宋体" w:hAnsi="宋体" w:eastAsia="宋体" w:cs="宋体"/>
          <w:sz w:val="24"/>
          <w:highlight w:val="none"/>
          <w:lang w:val="en-US" w:eastAsia="zh-CN"/>
        </w:rPr>
        <w:t>肆</w:t>
      </w:r>
      <w:r>
        <w:rPr>
          <w:rFonts w:hint="eastAsia" w:ascii="宋体" w:hAnsi="宋体" w:eastAsia="宋体" w:cs="宋体"/>
          <w:sz w:val="24"/>
          <w:highlight w:val="none"/>
        </w:rPr>
        <w:t>份，以中文书写，卖方、买方各执贰份。</w:t>
      </w:r>
    </w:p>
    <w:p w14:paraId="5C5F7ED5">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21.4合同货物交付使用后所发生的合同纠纷，买方与卖方进行处理。</w:t>
      </w:r>
    </w:p>
    <w:p w14:paraId="39ECD627">
      <w:pPr>
        <w:keepNext w:val="0"/>
        <w:keepLines w:val="0"/>
        <w:pageBreakBefore w:val="0"/>
        <w:widowControl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21.5如需修改或补充合同内容，应经卖方、买方协商，签署书面修改或补充协议。该协议将作为本合同不可分割的一部分。</w:t>
      </w:r>
    </w:p>
    <w:p w14:paraId="50A28F43">
      <w:pPr>
        <w:pStyle w:val="208"/>
        <w:keepNext w:val="0"/>
        <w:keepLines w:val="0"/>
        <w:pageBreakBefore w:val="0"/>
        <w:widowControl w:val="0"/>
        <w:spacing w:after="0" w:line="400" w:lineRule="exact"/>
        <w:ind w:left="0" w:right="0" w:firstLine="480"/>
        <w:jc w:val="left"/>
        <w:rPr>
          <w:rFonts w:hint="eastAsia" w:ascii="宋体" w:hAnsi="宋体" w:eastAsia="宋体" w:cs="宋体"/>
          <w:sz w:val="24"/>
          <w:highlight w:val="none"/>
        </w:rPr>
      </w:pPr>
      <w:r>
        <w:rPr>
          <w:rFonts w:hint="eastAsia" w:ascii="宋体" w:hAnsi="宋体" w:eastAsia="宋体" w:cs="宋体"/>
          <w:sz w:val="24"/>
          <w:highlight w:val="none"/>
        </w:rPr>
        <w:t>21.6本合同应按照中华人民共和国的现行法律进行解释。</w:t>
      </w:r>
    </w:p>
    <w:p w14:paraId="5C6A5606">
      <w:pPr>
        <w:keepNext w:val="0"/>
        <w:keepLines w:val="0"/>
        <w:pageBreakBefore/>
        <w:spacing w:line="500" w:lineRule="exact"/>
        <w:ind w:right="0"/>
        <w:jc w:val="center"/>
        <w:outlineLvl w:val="9"/>
        <w:rPr>
          <w:rFonts w:hint="eastAsia" w:ascii="宋体" w:hAnsi="宋体" w:eastAsia="宋体" w:cs="宋体"/>
          <w:b/>
          <w:bCs/>
          <w:sz w:val="32"/>
          <w:szCs w:val="32"/>
          <w:highlight w:val="none"/>
          <w:lang w:eastAsia="zh-CN"/>
        </w:rPr>
      </w:pPr>
      <w:r>
        <w:rPr>
          <w:rFonts w:hint="eastAsia" w:ascii="宋体" w:hAnsi="宋体" w:eastAsia="宋体" w:cs="宋体"/>
          <w:b/>
          <w:bCs/>
          <w:sz w:val="28"/>
          <w:szCs w:val="28"/>
          <w:highlight w:val="none"/>
        </w:rPr>
        <w:t>三、合同</w:t>
      </w:r>
      <w:r>
        <w:rPr>
          <w:rFonts w:hint="eastAsia" w:ascii="宋体" w:hAnsi="宋体" w:eastAsia="宋体" w:cs="宋体"/>
          <w:b/>
          <w:bCs/>
          <w:sz w:val="28"/>
          <w:szCs w:val="28"/>
          <w:highlight w:val="none"/>
          <w:lang w:val="en-US" w:eastAsia="zh-CN"/>
        </w:rPr>
        <w:t>协议书</w:t>
      </w:r>
    </w:p>
    <w:p w14:paraId="18516E53">
      <w:pPr>
        <w:keepNext w:val="0"/>
        <w:keepLines w:val="0"/>
        <w:pageBreakBefore w:val="0"/>
        <w:widowControl w:val="0"/>
        <w:spacing w:line="480" w:lineRule="exact"/>
        <w:ind w:right="0"/>
        <w:jc w:val="left"/>
        <w:rPr>
          <w:rFonts w:hint="eastAsia" w:eastAsia="宋体"/>
          <w:b/>
          <w:bCs/>
          <w:color w:val="000000"/>
          <w:sz w:val="24"/>
          <w:highlight w:val="none"/>
          <w:lang w:eastAsia="zh-CN"/>
        </w:rPr>
      </w:pPr>
      <w:r>
        <w:rPr>
          <w:rFonts w:hint="eastAsia" w:ascii="宋体" w:hAnsi="宋体" w:cs="宋体"/>
          <w:b/>
          <w:bCs/>
          <w:sz w:val="24"/>
          <w:highlight w:val="none"/>
        </w:rPr>
        <w:t>采购人</w:t>
      </w:r>
      <w:r>
        <w:rPr>
          <w:rFonts w:hint="eastAsia"/>
          <w:b/>
          <w:bCs/>
          <w:color w:val="000000"/>
          <w:sz w:val="24"/>
          <w:highlight w:val="none"/>
        </w:rPr>
        <w:t>（全称）：</w:t>
      </w:r>
      <w:r>
        <w:rPr>
          <w:rFonts w:hint="eastAsia"/>
          <w:color w:val="000000"/>
          <w:sz w:val="24"/>
          <w:highlight w:val="none"/>
          <w:u w:val="single"/>
          <w:lang w:eastAsia="zh-CN"/>
        </w:rPr>
        <w:t>金湖县农业农村局</w:t>
      </w:r>
    </w:p>
    <w:p w14:paraId="6F19C8A5">
      <w:pPr>
        <w:keepNext w:val="0"/>
        <w:keepLines w:val="0"/>
        <w:pageBreakBefore w:val="0"/>
        <w:widowControl w:val="0"/>
        <w:spacing w:line="480" w:lineRule="exact"/>
        <w:ind w:right="0"/>
        <w:jc w:val="left"/>
        <w:rPr>
          <w:b/>
          <w:bCs/>
          <w:color w:val="000000"/>
          <w:sz w:val="24"/>
          <w:highlight w:val="none"/>
        </w:rPr>
      </w:pPr>
      <w:r>
        <w:rPr>
          <w:rFonts w:hint="eastAsia"/>
          <w:b/>
          <w:bCs/>
          <w:color w:val="000000"/>
          <w:sz w:val="24"/>
          <w:highlight w:val="none"/>
          <w:lang w:eastAsia="zh-CN"/>
        </w:rPr>
        <w:t>投标人</w:t>
      </w:r>
      <w:r>
        <w:rPr>
          <w:rFonts w:hint="eastAsia"/>
          <w:b/>
          <w:bCs/>
          <w:color w:val="000000"/>
          <w:sz w:val="24"/>
          <w:highlight w:val="none"/>
        </w:rPr>
        <w:t>（全称）：</w:t>
      </w:r>
      <w:r>
        <w:rPr>
          <w:rFonts w:hint="eastAsia"/>
          <w:color w:val="000000"/>
          <w:sz w:val="24"/>
          <w:highlight w:val="none"/>
          <w:u w:val="single"/>
        </w:rPr>
        <w:t xml:space="preserve">                      </w:t>
      </w:r>
    </w:p>
    <w:p w14:paraId="3C258ABB">
      <w:pPr>
        <w:keepNext w:val="0"/>
        <w:keepLines w:val="0"/>
        <w:pageBreakBefore w:val="0"/>
        <w:widowControl w:val="0"/>
        <w:spacing w:line="440" w:lineRule="exact"/>
        <w:ind w:right="0" w:firstLine="480"/>
        <w:jc w:val="left"/>
        <w:rPr>
          <w:color w:val="000000"/>
          <w:sz w:val="24"/>
          <w:highlight w:val="none"/>
        </w:rPr>
      </w:pPr>
      <w:r>
        <w:rPr>
          <w:rFonts w:hint="eastAsia"/>
          <w:color w:val="000000"/>
          <w:sz w:val="24"/>
          <w:highlight w:val="none"/>
        </w:rPr>
        <w:t>根据《中华人民共和国政府采购法》、《中华人民共和国政府采购法实施条例》、《中华人民共和国民法典》等法律法规的规定，双方按照</w:t>
      </w:r>
      <w:r>
        <w:rPr>
          <w:rFonts w:hint="eastAsia"/>
          <w:color w:val="000000"/>
          <w:sz w:val="24"/>
          <w:highlight w:val="none"/>
          <w:lang w:val="en-US" w:eastAsia="zh-CN"/>
        </w:rPr>
        <w:t>磋商</w:t>
      </w:r>
      <w:r>
        <w:rPr>
          <w:rFonts w:hint="eastAsia"/>
          <w:color w:val="000000"/>
          <w:sz w:val="24"/>
          <w:highlight w:val="none"/>
        </w:rPr>
        <w:t>结果签订本合同。</w:t>
      </w:r>
    </w:p>
    <w:p w14:paraId="2E55EC8D">
      <w:pPr>
        <w:keepNext w:val="0"/>
        <w:keepLines w:val="0"/>
        <w:pageBreakBefore w:val="0"/>
        <w:widowControl w:val="0"/>
        <w:spacing w:line="440" w:lineRule="exact"/>
        <w:ind w:right="0"/>
        <w:jc w:val="left"/>
        <w:rPr>
          <w:rFonts w:hint="eastAsia" w:ascii="宋体" w:hAnsi="宋体" w:eastAsia="宋体" w:cs="宋体"/>
          <w:b/>
          <w:color w:val="000000"/>
          <w:sz w:val="24"/>
          <w:highlight w:val="none"/>
          <w:lang w:eastAsia="zh-CN"/>
        </w:rPr>
      </w:pPr>
      <w:r>
        <w:rPr>
          <w:rFonts w:hint="eastAsia"/>
          <w:b/>
          <w:bCs/>
          <w:color w:val="000000"/>
          <w:sz w:val="24"/>
          <w:highlight w:val="none"/>
          <w:lang w:val="en-US" w:eastAsia="zh-CN"/>
        </w:rPr>
        <w:t>第一条</w:t>
      </w:r>
      <w:r>
        <w:rPr>
          <w:rFonts w:hint="eastAsia"/>
          <w:b/>
          <w:bCs/>
          <w:color w:val="000000"/>
          <w:sz w:val="24"/>
          <w:highlight w:val="none"/>
        </w:rPr>
        <w:t xml:space="preserve"> </w:t>
      </w:r>
      <w:r>
        <w:rPr>
          <w:rFonts w:hint="eastAsia"/>
          <w:b/>
          <w:bCs/>
          <w:color w:val="000000"/>
          <w:sz w:val="24"/>
          <w:highlight w:val="none"/>
          <w:lang w:val="en-US" w:eastAsia="zh-CN"/>
        </w:rPr>
        <w:t xml:space="preserve"> </w:t>
      </w:r>
      <w:r>
        <w:rPr>
          <w:rFonts w:hint="eastAsia" w:ascii="宋体" w:hAnsi="宋体" w:cs="宋体"/>
          <w:b/>
          <w:color w:val="000000"/>
          <w:sz w:val="24"/>
          <w:highlight w:val="none"/>
          <w:lang w:val="en-US" w:eastAsia="zh-CN"/>
        </w:rPr>
        <w:t>项目概况</w:t>
      </w:r>
    </w:p>
    <w:p w14:paraId="5873DF79">
      <w:pPr>
        <w:keepNext w:val="0"/>
        <w:keepLines w:val="0"/>
        <w:pageBreakBefore w:val="0"/>
        <w:widowControl w:val="0"/>
        <w:spacing w:line="440" w:lineRule="exact"/>
        <w:ind w:firstLine="48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原有监管平台提升、信息网络体系完善，集成扩展完善智慧种业监管平台，对全区制种基地、龙头企业和农资门店进行GIS精确定位，网格化监管实现数字化，水稻种子生产、水稻种子质量检测、水稻种子交易等大数据资源实现互联互通、智慧分析，为管理部门监管提供数据支持，最终实现对本地种业全产业的产业可视、可溯、可控。新增基地的田间监测设备，网络维护。</w:t>
      </w:r>
    </w:p>
    <w:p w14:paraId="7F59D7A8">
      <w:pPr>
        <w:keepNext w:val="0"/>
        <w:keepLines w:val="0"/>
        <w:pageBreakBefore w:val="0"/>
        <w:widowControl w:val="0"/>
        <w:numPr>
          <w:ilvl w:val="0"/>
          <w:numId w:val="0"/>
        </w:numPr>
        <w:spacing w:line="440" w:lineRule="exact"/>
        <w:ind w:right="0"/>
        <w:jc w:val="left"/>
        <w:rPr>
          <w:b/>
          <w:bCs/>
          <w:color w:val="000000"/>
          <w:sz w:val="24"/>
          <w:highlight w:val="none"/>
          <w:lang w:val="en-US" w:eastAsia="zh-CN"/>
        </w:rPr>
      </w:pPr>
      <w:r>
        <w:rPr>
          <w:rFonts w:hint="eastAsia"/>
          <w:b/>
          <w:bCs/>
          <w:color w:val="000000"/>
          <w:sz w:val="24"/>
          <w:highlight w:val="none"/>
          <w:lang w:val="en-US" w:eastAsia="zh-CN"/>
        </w:rPr>
        <w:t>第二条：服务内容</w:t>
      </w:r>
    </w:p>
    <w:p w14:paraId="6EC84FC3">
      <w:pPr>
        <w:keepNext w:val="0"/>
        <w:keepLines w:val="0"/>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本项目通过信息化和智能化技术，构建高效的信息网络体系，整合种业产业数据资源，实现精准监管与数据分析。平台将基于GIS技术精准定位制种基地和企业，构建数字化监管体系和信息档案管理体系，从水稻制种过程监管、种子交易监管到龙头企业与服务监管，构建“1个决策中心+5大监管服务平台+N个应用系统”的数智化种业全产业链监管服务体系和电子档案管理体系，实现金湖县杂交水稻制种、生产、销售、流通等全环节、全过程、全方位的可视化动态监管和</w:t>
      </w:r>
      <w:r>
        <w:rPr>
          <w:rFonts w:hint="eastAsia" w:ascii="宋体" w:hAnsi="宋体" w:eastAsia="宋体" w:cs="宋体"/>
          <w:sz w:val="24"/>
          <w:szCs w:val="24"/>
          <w:lang w:eastAsia="zh-CN"/>
        </w:rPr>
        <w:t>信息</w:t>
      </w:r>
      <w:r>
        <w:rPr>
          <w:rFonts w:hint="eastAsia" w:ascii="宋体" w:hAnsi="宋体" w:eastAsia="宋体" w:cs="宋体"/>
          <w:sz w:val="24"/>
          <w:szCs w:val="24"/>
        </w:rPr>
        <w:t>电子化档案管理。</w:t>
      </w:r>
    </w:p>
    <w:p w14:paraId="1AAA4698">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lang w:eastAsia="zh-CN"/>
        </w:rPr>
        <w:t>）</w:t>
      </w:r>
      <w:r>
        <w:rPr>
          <w:rFonts w:hint="eastAsia" w:ascii="宋体" w:hAnsi="宋体" w:eastAsia="宋体" w:cs="宋体"/>
          <w:b/>
          <w:bCs/>
          <w:sz w:val="24"/>
          <w:szCs w:val="24"/>
        </w:rPr>
        <w:t>1个中心——全产业链种业数智化决策中心</w:t>
      </w:r>
    </w:p>
    <w:p w14:paraId="4540314C">
      <w:pPr>
        <w:keepNext w:val="0"/>
        <w:keepLines w:val="0"/>
        <w:pageBreakBefore w:val="0"/>
        <w:widowControl w:val="0"/>
        <w:spacing w:line="4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建立金湖县种业全产业链数智化监管决策中心，提供全县域、全产业链、全过程的种业监管与服务决策体系。基于大数据、物联网、GIS等信息化技术，进行种业监管信息数据整合与统计分析，并通过种业发展可视化一张图，实现制种基地、龙头企业、农资门店等信息的可视化监管，保证金湖县种业全产业的可视、可溯、可控</w:t>
      </w:r>
      <w:r>
        <w:rPr>
          <w:rFonts w:hint="eastAsia" w:ascii="宋体" w:hAnsi="宋体" w:eastAsia="宋体" w:cs="宋体"/>
          <w:sz w:val="24"/>
          <w:szCs w:val="24"/>
          <w:lang w:eastAsia="zh-CN"/>
        </w:rPr>
        <w:t>。</w:t>
      </w:r>
    </w:p>
    <w:p w14:paraId="2EED593A">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（二）5大监管服务平台——全产业链数智监管服务平台</w:t>
      </w:r>
    </w:p>
    <w:p w14:paraId="477FDEAB">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围绕制种全产业链环节，进行制种基地、制种主体、生产运行、种子市场等全环节的数智化监管，并提供制种数智服务管理，实现金湖水稻制种产业的全程可追溯监管与服务。</w:t>
      </w:r>
    </w:p>
    <w:p w14:paraId="3E6861DC">
      <w:pPr>
        <w:keepNext w:val="0"/>
        <w:keepLines w:val="0"/>
        <w:pageBreakBefore w:val="0"/>
        <w:widowControl w:val="0"/>
        <w:spacing w:line="400" w:lineRule="exact"/>
        <w:ind w:firstLine="482"/>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制种基地数智化监管平台</w:t>
      </w:r>
      <w:r>
        <w:rPr>
          <w:rFonts w:hint="eastAsia" w:ascii="宋体" w:hAnsi="宋体" w:eastAsia="宋体" w:cs="宋体"/>
          <w:sz w:val="24"/>
          <w:szCs w:val="24"/>
          <w:lang w:val="en-US" w:eastAsia="zh-CN"/>
        </w:rPr>
        <w:t>：基于GIS地图实现制种基地信息、农情数据、制种主体信息的数字化管理，集成物联网设备监测农情数据，并进行制种主体的数智化管理，与中国种业大数据平台对接获取企业多维度信息，全面掌握县域内水稻制种基地情况。</w:t>
      </w:r>
    </w:p>
    <w:p w14:paraId="4C091114">
      <w:pPr>
        <w:keepNext w:val="0"/>
        <w:keepLines w:val="0"/>
        <w:pageBreakBefore w:val="0"/>
        <w:widowControl w:val="0"/>
        <w:spacing w:line="400" w:lineRule="exact"/>
        <w:ind w:firstLine="482"/>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制种生产全环节数智化监管平台</w:t>
      </w:r>
      <w:r>
        <w:rPr>
          <w:rFonts w:hint="eastAsia" w:ascii="宋体" w:hAnsi="宋体" w:eastAsia="宋体" w:cs="宋体"/>
          <w:sz w:val="24"/>
          <w:szCs w:val="24"/>
          <w:lang w:val="en-US" w:eastAsia="zh-CN"/>
        </w:rPr>
        <w:t>：涵盖生产、加工、仓储物流与销售各环节，管控制种生产加工运行情况，跟踪农事活动，提升生产效能与可追溯性；统计仓储物流信息与种子销售信息，增强市场调控与风险把控能力，全方位实现制种全产业链数智化监管。</w:t>
      </w:r>
    </w:p>
    <w:p w14:paraId="5BC19C19">
      <w:pPr>
        <w:keepNext w:val="0"/>
        <w:keepLines w:val="0"/>
        <w:pageBreakBefore w:val="0"/>
        <w:widowControl w:val="0"/>
        <w:spacing w:line="400" w:lineRule="exact"/>
        <w:ind w:firstLine="482"/>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种子质量可追溯监管平台</w:t>
      </w:r>
      <w:r>
        <w:rPr>
          <w:rFonts w:hint="eastAsia" w:ascii="宋体" w:hAnsi="宋体" w:eastAsia="宋体" w:cs="宋体"/>
          <w:sz w:val="24"/>
          <w:szCs w:val="24"/>
          <w:lang w:val="en-US" w:eastAsia="zh-CN"/>
        </w:rPr>
        <w:t>：涵盖质量检验、全程追溯及标签监管服务，关联制种全流程数据，确保种子全程合规可追溯，实现种子质量与安全监管，提升市场合规性。</w:t>
      </w:r>
    </w:p>
    <w:p w14:paraId="5BAC40D1">
      <w:pPr>
        <w:keepNext w:val="0"/>
        <w:keepLines w:val="0"/>
        <w:pageBreakBefore w:val="0"/>
        <w:widowControl w:val="0"/>
        <w:spacing w:line="400" w:lineRule="exact"/>
        <w:ind w:firstLine="482"/>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制种数智化服务管理平台</w:t>
      </w:r>
      <w:r>
        <w:rPr>
          <w:rFonts w:hint="eastAsia" w:ascii="宋体" w:hAnsi="宋体" w:eastAsia="宋体" w:cs="宋体"/>
          <w:sz w:val="24"/>
          <w:szCs w:val="24"/>
          <w:lang w:val="en-US" w:eastAsia="zh-CN"/>
        </w:rPr>
        <w:t>：集农资、农机、农技及种业保险服务于一体，实现数字化监管与服务。利用先进的技术手段，对农资经营主体、农机作业情况、农技知识培训以及种业保险服务等关键信息进行高效整合与管理，提升农业全产业链的运作效率与风险管理水平。</w:t>
      </w:r>
    </w:p>
    <w:p w14:paraId="74CD822F">
      <w:pPr>
        <w:keepNext w:val="0"/>
        <w:keepLines w:val="0"/>
        <w:pageBreakBefore w:val="0"/>
        <w:widowControl w:val="0"/>
        <w:spacing w:line="400" w:lineRule="exact"/>
        <w:ind w:firstLine="482"/>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种子市场数智化动态监管平台</w:t>
      </w:r>
      <w:r>
        <w:rPr>
          <w:rFonts w:hint="eastAsia" w:ascii="宋体" w:hAnsi="宋体" w:eastAsia="宋体" w:cs="宋体"/>
          <w:sz w:val="24"/>
          <w:szCs w:val="24"/>
          <w:lang w:val="en-US" w:eastAsia="zh-CN"/>
        </w:rPr>
        <w:t>：涵盖市场抽检管理、案件查处及投诉处理监管，强化种子市场动态监管，确保种子质量，维护市场秩序，促进种子行业健康发展。</w:t>
      </w:r>
    </w:p>
    <w:p w14:paraId="0BD676C3">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（三）平台数据赋能与技术服务建设</w:t>
      </w:r>
    </w:p>
    <w:p w14:paraId="687BDF4F">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平台数据赋能与技术服务聚焦于数据对接集成、信息录入培训、设备通讯保障及技术运维支持。通过与中国种业大数据平台及现有业务平台的无缝对接，实现种业数据的高效整合与共享，打破信息孤岛，构建统一数据资源管理体系。提供全县水稻制种基地信息的全面梳理与录入服务，辅以用户角色定制的操作培训，确保平台高效应用。同时，涵盖物联网设备的数据通讯、云接入服务及全方位的技术与设备维护，确保数据与系统的实时、稳定运行，为金湖水稻制种管理提供坚实的数据支撑与决策赋能。</w:t>
      </w:r>
    </w:p>
    <w:p w14:paraId="3FFC42B6">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（四）现代水稻数字化示范基地建设</w:t>
      </w:r>
    </w:p>
    <w:p w14:paraId="40CB5093">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现有水稻制种示范基地上安装部署一批智能田间气象站、土壤墒情监测、虫情测报、病情监测、长势监测及种情移动监测等智能监测装备，对示范基地农情环境情况进行实时采集与动态分析，最终形成智能化的数字田间农情监测预警网络。</w:t>
      </w:r>
    </w:p>
    <w:p w14:paraId="2A8201B0">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1.功能模块</w:t>
      </w:r>
    </w:p>
    <w:p w14:paraId="319B6392">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搭建金湖县种业全产业链数智化监管服务平台，建立完善的水稻制种全产业链信息网络体系，并致力于打造一个高度智能化的种业监管平台。该项目将采用GIS技术对全区的制种基地、核心企业和农资商店进行精确的地理定位，并实现网格化管理，推动监管流程的数字化。同时，平台将整合水稻制种基地信息、制种生产运行信息、种子质量检测信息、全程可追溯信息等大数据资源，实现数据的互联互通和智能分析，为管理部门提供强有力的数据支持，实现对种业全产业链的实时可视化监控、来源追溯和质量控制，确保种业健康、高效、可持续发展。</w:t>
      </w:r>
    </w:p>
    <w:p w14:paraId="635C9E9B">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2.种业数智化决策中心</w:t>
      </w:r>
    </w:p>
    <w:p w14:paraId="67F29926">
      <w:pPr>
        <w:pStyle w:val="183"/>
        <w:keepNext w:val="0"/>
        <w:keepLines w:val="0"/>
        <w:pageBreakBefore w:val="0"/>
        <w:widowControl w:val="0"/>
        <w:numPr>
          <w:ilvl w:val="2"/>
          <w:numId w:val="0"/>
        </w:numPr>
        <w:spacing w:before="0" w:after="0" w:line="400" w:lineRule="exact"/>
        <w:ind w:left="0" w:firstLine="241"/>
        <w:jc w:val="left"/>
        <w:rPr>
          <w:rFonts w:hint="eastAsia" w:ascii="宋体" w:hAnsi="宋体" w:eastAsia="宋体" w:cs="宋体"/>
          <w:sz w:val="24"/>
          <w:szCs w:val="24"/>
          <w:lang w:val="en-US" w:eastAsia="zh-CN"/>
        </w:rPr>
      </w:pPr>
      <w:r>
        <w:rPr>
          <w:rFonts w:hint="eastAsia" w:ascii="宋体" w:hAnsi="宋体" w:eastAsia="宋体" w:cs="宋体"/>
          <w:b/>
          <w:sz w:val="24"/>
          <w:szCs w:val="24"/>
          <w:lang w:val="en-US" w:eastAsia="zh-CN" w:bidi="ar-SA"/>
        </w:rPr>
        <w:t>（1）</w:t>
      </w:r>
      <w:r>
        <w:rPr>
          <w:rFonts w:hint="eastAsia" w:ascii="宋体" w:hAnsi="宋体" w:eastAsia="宋体" w:cs="宋体"/>
          <w:sz w:val="24"/>
          <w:szCs w:val="24"/>
          <w:lang w:val="en-US" w:eastAsia="zh-CN"/>
        </w:rPr>
        <w:t>种业全产业链决策数据中心</w:t>
      </w:r>
    </w:p>
    <w:p w14:paraId="68EE2039">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搭建种业全产业链监管决策大数据中心，深度对接中国种业大数据平台，建立完善金湖种业全产业链基础数据库，动态监测金湖县域内制种基地布局、基础建设、运行及生产运营情况，进行数据资源管理与统计分析，支撑统筹金湖产业发展，为种业监管决策提供数据依据与决策支持。</w:t>
      </w:r>
    </w:p>
    <w:p w14:paraId="5918F14F">
      <w:pPr>
        <w:pStyle w:val="183"/>
        <w:keepNext w:val="0"/>
        <w:keepLines w:val="0"/>
        <w:pageBreakBefore w:val="0"/>
        <w:widowControl w:val="0"/>
        <w:numPr>
          <w:ilvl w:val="2"/>
          <w:numId w:val="0"/>
        </w:numPr>
        <w:spacing w:before="0" w:after="0" w:line="400" w:lineRule="exact"/>
        <w:ind w:left="0" w:firstLine="241"/>
        <w:jc w:val="lef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（2）种业发展可视化一张图</w:t>
      </w:r>
    </w:p>
    <w:p w14:paraId="4C503277">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在一张图中进行金湖县种业监管数据与产业运行情况等信息的可视化呈现，对全县制种基地、龙头企业和农资门店进行GIS精准定位，网格化监管实现数字化，基于种业生产信息的可视化呈现，实现对本地种业全产业链的可视、可溯、可控。</w:t>
      </w:r>
    </w:p>
    <w:p w14:paraId="4827BBD0">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3.制种基地数智化监管平台</w:t>
      </w:r>
    </w:p>
    <w:p w14:paraId="244E243C">
      <w:pPr>
        <w:pStyle w:val="183"/>
        <w:keepNext w:val="0"/>
        <w:keepLines w:val="0"/>
        <w:pageBreakBefore w:val="0"/>
        <w:widowControl w:val="0"/>
        <w:numPr>
          <w:ilvl w:val="2"/>
          <w:numId w:val="0"/>
        </w:numPr>
        <w:spacing w:before="0" w:after="0" w:line="400" w:lineRule="exact"/>
        <w:ind w:left="0" w:firstLine="241"/>
        <w:jc w:val="lef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（1）制种GIS信息综合管理</w:t>
      </w:r>
    </w:p>
    <w:p w14:paraId="30975116">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基于GIS地图，进行制种基地全产业链信息数字化管理，实现对辖区规划制种基地、制种企业主体、制种农户、机械、仓库、晒场、社会化服务组织等信息的统一管理。</w:t>
      </w:r>
    </w:p>
    <w:p w14:paraId="3CE63329">
      <w:pPr>
        <w:pStyle w:val="183"/>
        <w:keepNext w:val="0"/>
        <w:keepLines w:val="0"/>
        <w:pageBreakBefore w:val="0"/>
        <w:widowControl w:val="0"/>
        <w:numPr>
          <w:ilvl w:val="2"/>
          <w:numId w:val="0"/>
        </w:numPr>
        <w:spacing w:before="0" w:after="0" w:line="400" w:lineRule="exact"/>
        <w:ind w:left="0" w:firstLine="241"/>
        <w:jc w:val="lef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（2）制种农情数智化管理</w:t>
      </w:r>
    </w:p>
    <w:p w14:paraId="0FEDD31D">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对布设在基地的物联网设备进行集成管理，通过实时采集基地农情环境数据，如气象数据、苗情数据、墒情数据、病虫情数据等，实现田间物联网农情信息的实时动态监测。</w:t>
      </w:r>
    </w:p>
    <w:p w14:paraId="3358D957">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苗情长势监测数据管理：支持对接远程监控设备采集的数据，对制种田苗情长势情况进行监测，实现对视频装备采集信息的展示、存储、查询、分析。</w:t>
      </w:r>
    </w:p>
    <w:p w14:paraId="2E37F96C">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病情监测数据管理：支持对接孢子捕捉仪设备采集的数据，实现对病害发生情况等监测数据的展示、存储、查询和分析。</w:t>
      </w:r>
    </w:p>
    <w:p w14:paraId="22DB9036">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虫情监测数据管理：支持对接田间虫情监测设备采集的数据，实现对虫害发生情况等监测数据的展示、存储、查询和分析。</w:t>
      </w:r>
    </w:p>
    <w:p w14:paraId="1C8CB713">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土壤墒情监测数据管理：支持对接土壤墒情监测设备采集的数据，对制种田不同深度的土层的温湿度等信息进行监测。实现对土壤墒情监测信息的展示、存储、查询、分析。</w:t>
      </w:r>
    </w:p>
    <w:p w14:paraId="5A6E5D35">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田间气象监测数据管理：支持对装备采集的空气温度、湿度、光照、风速、风向、降雨量、大气压力等数据的展示、存储、查询和分析。</w:t>
      </w:r>
    </w:p>
    <w:p w14:paraId="3D2FA151">
      <w:pPr>
        <w:pStyle w:val="183"/>
        <w:keepNext w:val="0"/>
        <w:keepLines w:val="0"/>
        <w:pageBreakBefore w:val="0"/>
        <w:widowControl w:val="0"/>
        <w:numPr>
          <w:ilvl w:val="2"/>
          <w:numId w:val="0"/>
        </w:numPr>
        <w:spacing w:before="0" w:after="0" w:line="400" w:lineRule="exact"/>
        <w:ind w:left="0" w:firstLine="241"/>
        <w:jc w:val="lef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（3）制种主体数智化管理</w:t>
      </w:r>
    </w:p>
    <w:p w14:paraId="01745665">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县域制种主体数智化管理，支持与中国种业大数据平台进行数据对接，获取制种企业的主体全息、品种全链、生产经营备案信息；登记管理在本县制种的企业基础信息，实时核对企业报备证书信息。并进行主体年度制种管理，登记管理企业制种计划、生产、加工等环节的数据采集，掌握县域内种子制种数据情况。</w:t>
      </w:r>
    </w:p>
    <w:p w14:paraId="1AA676A0">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4.制种生产全环节数智化监管平台</w:t>
      </w:r>
    </w:p>
    <w:p w14:paraId="7B0F06CD">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sz w:val="24"/>
          <w:szCs w:val="24"/>
          <w:lang w:val="en-US" w:eastAsia="zh-CN"/>
        </w:rPr>
      </w:pPr>
      <w:r>
        <w:rPr>
          <w:rFonts w:hint="eastAsia" w:ascii="宋体" w:hAnsi="宋体" w:eastAsia="宋体" w:cs="宋体"/>
          <w:b/>
          <w:color w:val="000000"/>
          <w:sz w:val="24"/>
          <w:szCs w:val="24"/>
          <w:lang w:val="en-US" w:eastAsia="zh-CN" w:bidi="ar-SA"/>
        </w:rPr>
        <w:t>（1）</w:t>
      </w:r>
      <w:r>
        <w:rPr>
          <w:rFonts w:hint="eastAsia" w:ascii="宋体" w:hAnsi="宋体" w:eastAsia="宋体" w:cs="宋体"/>
          <w:sz w:val="24"/>
          <w:szCs w:val="24"/>
          <w:lang w:val="en-US" w:eastAsia="zh-CN"/>
        </w:rPr>
        <w:t>生产运行数智化管理</w:t>
      </w:r>
    </w:p>
    <w:p w14:paraId="67180D1E">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进行县域年度制种生产计划与任务管控，动态监管基地生产过程，实现基地田间农事活动跟踪，掌控制种种植意向、种植计划、生产进度、作物产量、防灾减灾等基地生产运行情况，提升制种生产效率、质量与可追溯性。</w:t>
      </w:r>
    </w:p>
    <w:p w14:paraId="2E9FE7D1">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（2）加工信息数智化管理</w:t>
      </w:r>
    </w:p>
    <w:p w14:paraId="3CAB0220">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实现对企业生产加工信息的管理，针对企业、品种、加工地点、加工量等信息进行监管，掌握烘干量、脱粒量、分选量、包衣量等关键数据，实现制种加工环节的数智化监管，提升制种加工效率与质量管控。</w:t>
      </w:r>
    </w:p>
    <w:p w14:paraId="6636B78F">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（3）仓储物流数智化管理</w:t>
      </w:r>
    </w:p>
    <w:p w14:paraId="2CFE8AD9">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县域内种子等产品仓储设施地点信息、仓储库存量等信息的数据统计管理，为仓储资源调配提供依据，提高仓储设施的利用率；并对种子的物流流向、运输数量等信息进行管理，优化资源配置，为产业运行分析与预测提供数据支撑。</w:t>
      </w:r>
    </w:p>
    <w:p w14:paraId="4606A3AE">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（4）销售信息数智化管理</w:t>
      </w:r>
    </w:p>
    <w:p w14:paraId="4AB52E42">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进行企业主体种子销售量、销售单位、销售渠道等信息的数字化管理，提高种业市场监管效率，增强对种子市场的宏观调控能力，为市场风险把控、市场供需评估提供科学依据。</w:t>
      </w:r>
    </w:p>
    <w:p w14:paraId="3BE3CFE1">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5.种子质量可追溯监管平台</w:t>
      </w:r>
    </w:p>
    <w:p w14:paraId="64EB8D25">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（1）种子质量检验管理</w:t>
      </w:r>
    </w:p>
    <w:p w14:paraId="236B6DBE">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进行种子的质量信息数字化监管，包括对种子质量检验批次、品种、样本数、水分、净度、纯度、发芽率以及检测结果进行信息化管理，实现对种子检验质量数据的采集，并进行展示、查询和分析。</w:t>
      </w:r>
    </w:p>
    <w:p w14:paraId="05CB4576">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（2）全程可追溯档案管理</w:t>
      </w:r>
    </w:p>
    <w:p w14:paraId="472E20C3">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支持关联制种生产企业、品种、环境、种植过程、仓储加工、产品质量检测、物流、销售等各类数据，提供数字化全程可追溯信息，确保种子从生产到销售的全过程合规、可追溯，防止假冒伪劣种子流入市场。</w:t>
      </w:r>
    </w:p>
    <w:p w14:paraId="092B6916">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（3）种子溯源标签服务管理</w:t>
      </w:r>
    </w:p>
    <w:p w14:paraId="72003BA0">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标签的生成报备、标签分发、标签下载和信息统计等管理功能，增强种子质量追溯管理的全面性和高效性。为县域内项目经营的商品种子建立标签库，即时掌握合法经营的商品种子信息，保障市场流通种子的合法性和可追溯性。</w:t>
      </w:r>
    </w:p>
    <w:p w14:paraId="15D7D9A1">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6.制种数智化服务管理平台</w:t>
      </w:r>
    </w:p>
    <w:p w14:paraId="2F60D981">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（1）农资服务管理</w:t>
      </w:r>
    </w:p>
    <w:p w14:paraId="6622EADE">
      <w:pPr>
        <w:keepNext w:val="0"/>
        <w:keepLines w:val="0"/>
        <w:pageBreakBefore w:val="0"/>
        <w:widowControl w:val="0"/>
        <w:spacing w:line="400" w:lineRule="exact"/>
        <w:ind w:firstLine="480"/>
        <w:jc w:val="left"/>
        <w:rPr>
          <w:rFonts w:hint="eastAsia" w:ascii="宋体" w:hAnsi="宋体" w:eastAsia="宋体" w:cs="宋体"/>
          <w:sz w:val="28"/>
          <w:szCs w:val="28"/>
          <w:lang w:val="en-US" w:eastAsia="zh-CN"/>
        </w:rPr>
      </w:pPr>
      <w:r>
        <w:rPr>
          <w:rFonts w:hint="eastAsia" w:ascii="宋体" w:hAnsi="宋体" w:eastAsia="宋体" w:cs="宋体"/>
          <w:sz w:val="24"/>
          <w:szCs w:val="24"/>
          <w:lang w:val="en-US" w:eastAsia="zh-CN"/>
        </w:rPr>
        <w:t>对金湖县域内的农资信息进行数字化监管，主要针对农资经营主体、地址、商品管理、进销台账等数据进行监管。包含门店名称、地址、联系方式、法定代表人等基本信息，以及企业资质与许可信息、农资信息、农资销售台账等信息。</w:t>
      </w:r>
    </w:p>
    <w:p w14:paraId="03C5E986">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（2）农机服务管理</w:t>
      </w:r>
    </w:p>
    <w:p w14:paraId="40A7DB4F">
      <w:pPr>
        <w:keepNext w:val="0"/>
        <w:keepLines w:val="0"/>
        <w:pageBreakBefore w:val="0"/>
        <w:widowControl w:val="0"/>
        <w:spacing w:line="400" w:lineRule="exact"/>
        <w:ind w:firstLine="480"/>
        <w:jc w:val="left"/>
        <w:rPr>
          <w:rFonts w:hint="eastAsia" w:ascii="宋体" w:hAnsi="宋体" w:eastAsia="宋体" w:cs="宋体"/>
          <w:sz w:val="28"/>
          <w:szCs w:val="28"/>
          <w:lang w:val="en-US" w:eastAsia="zh-CN"/>
        </w:rPr>
      </w:pPr>
      <w:r>
        <w:rPr>
          <w:rFonts w:hint="eastAsia" w:ascii="宋体" w:hAnsi="宋体" w:eastAsia="宋体" w:cs="宋体"/>
          <w:sz w:val="24"/>
          <w:szCs w:val="24"/>
          <w:lang w:val="en-US" w:eastAsia="zh-CN"/>
        </w:rPr>
        <w:t>建设农机作业服务管理模块，进行农机基础信息及农机作业情况监管，针对县域内农机所有人、号牌、类型、年检状态、品牌等数据进行综合监管。并支持提供接口对接智能农机，接入农业作业情况数据，实现作业监控管理，提供数据展示、查询和分析服务。</w:t>
      </w:r>
    </w:p>
    <w:p w14:paraId="03EC79A6">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（3）农技服务管理</w:t>
      </w:r>
    </w:p>
    <w:p w14:paraId="540B2E9F">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建设农业技术支撑服务管理模块，支持进行农业行业资讯、政策规章等信息的展示与管理，并提供农技知识培训服务，进行农业种植技术、病虫害防治技术、防灾减灾技术等农技指导，实现农技服务的线上数字化平台搭建。</w:t>
      </w:r>
    </w:p>
    <w:p w14:paraId="2F6AF094">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（4）种业保险服务管理</w:t>
      </w:r>
    </w:p>
    <w:p w14:paraId="3D091A35">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进行制种保险服务管理，进行保险投保理赔信息统计，包括投保年度、单位名称、投保类型、地块名称、投保面积、承保单位、保额、保费等投保信息管理，以及保单号、险因类型、赔付金额等理赔信息管理。同时，依据国家公共安全信息化工程农业农村部种植业系统建设要求，与农业农村部农情信息调度系统进行对接，实现种业保险服务相关数据对接。为种业领域的保险理赔服务提供全面、高效的信息化管理，并为市场洞察与决策提供数据支撑。</w:t>
      </w:r>
    </w:p>
    <w:p w14:paraId="6013DA62">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7.种子市场数智化动态监管平台</w:t>
      </w:r>
    </w:p>
    <w:p w14:paraId="4956B09F">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（1）种子市场抽检管理</w:t>
      </w:r>
    </w:p>
    <w:p w14:paraId="75A7280F">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进行种子市场抽检管理，包含抽检计划制定、抽检记录管理等，规范种子市场抽检流程，实现市场抽检信息化服务，确保种子质量安全，推动种业监控发展。</w:t>
      </w:r>
    </w:p>
    <w:p w14:paraId="43E16876">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（2）种子市场案件查处管理</w:t>
      </w:r>
    </w:p>
    <w:p w14:paraId="7228A3C9">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种子市场案件查处的线上管理，支持记录案件的基本信息、查处过程、处理结果等关键信息。支持案件数据的统计分析与查询共享，为监管部门提供决策支持，同时促进部门间沟通与协作。确保案件查处过程的公正性、准确性，提高查处效率，有效维护种子市场秩序，保障种子行业健康发展。</w:t>
      </w:r>
    </w:p>
    <w:p w14:paraId="7E6A7B14">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8.无人机遥感监测系统</w:t>
      </w:r>
    </w:p>
    <w:p w14:paraId="0F9F4707">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对制种田进行无人机低空遥感监测，将监测到的图像进行系统化的处理，结合水稻生育物候期模型，实现制种基地各条田水稻各生育期的长势的监测，为智慧决策提供科学数据支撑。</w:t>
      </w:r>
    </w:p>
    <w:p w14:paraId="56AFF8DA">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9.平台数据赋能与技术服务建设</w:t>
      </w:r>
    </w:p>
    <w:p w14:paraId="7EBB82EB">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（1）数据对接与集成服务</w:t>
      </w:r>
    </w:p>
    <w:p w14:paraId="0C8F6CF2">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深度对接中国种业大数据平台中品种审定、种子生产备案等业务系统、已有物联网设备及相关业务平台，进行种业相关数据的高效采集与集成管理。打破数据壁垒，构建统一数据资源池，实现数据互联互通与实时共享，并通过数据挖掘与分析，助力种业数据统一管理与服务，为金湖种业全产业链决策管理提供数据赋能。</w:t>
      </w:r>
    </w:p>
    <w:p w14:paraId="6CD18452">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（2）数据录入与培训服务</w:t>
      </w:r>
    </w:p>
    <w:p w14:paraId="49E790FC">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全县水稻制种基地地块信息、企业主体、机械设备、仓库、晒场等信息的整理入库，提供数据录入服务。并针对平台系统涉及的用户，按角色提供平台系统操作的相关培训服务，确保平台系统的高效使用与运行管理。</w:t>
      </w:r>
    </w:p>
    <w:p w14:paraId="2A4FAC5C">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（3）设备流量通讯服务</w:t>
      </w:r>
    </w:p>
    <w:p w14:paraId="1354FE20">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涵盖物联网设备的数据通讯、云接入服务及全方位的技术与设备维护，确保数据与系统的实时、稳定运行，为金湖水稻制种管理提供坚实的数据支撑与决策赋能。5年免费服务期。</w:t>
      </w:r>
    </w:p>
    <w:p w14:paraId="0FD18A60">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（4）技术支持与设备维护</w:t>
      </w:r>
    </w:p>
    <w:p w14:paraId="2E133D15">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提供平台运行的技术故障维护及相关技术咨询服务，支持进行基地物联网设备的运行维护等，确保系统与设备的正常运行。5年免费服务期。</w:t>
      </w:r>
    </w:p>
    <w:p w14:paraId="23737D0D">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10.现代水稻数字化示范基地建设</w:t>
      </w:r>
    </w:p>
    <w:p w14:paraId="6D6B4066">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现有水稻制种示范基地上安装部署一批智能田间气象站、土壤墒情、虫情测报、病情监测、长势监测等智能监测装备，对示范基地农情环境情况进行实时采集与动态分析，最终形成智能化的数字田间农情监测预警网络。</w:t>
      </w:r>
    </w:p>
    <w:p w14:paraId="41A76097">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（1）苗情监测设备</w:t>
      </w:r>
    </w:p>
    <w:p w14:paraId="421892E8">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通过布设视频监控设备，进行基地内水稻苗情长势监测，实现水稻长势苗情动态可视化监测。</w:t>
      </w:r>
    </w:p>
    <w:p w14:paraId="2F1C74AC">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（2）病情监测设备</w:t>
      </w:r>
    </w:p>
    <w:p w14:paraId="7C55FFF3">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通过布设孢子捕捉仪，进行基地内水稻作物病情数据采集和智能化监测。</w:t>
      </w:r>
    </w:p>
    <w:p w14:paraId="5E3E1E92">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（3）虫情监测设备</w:t>
      </w:r>
    </w:p>
    <w:p w14:paraId="57BCEE73">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通过布设虫情测报分析设备，进行基地内虫害信息采集，实现基地内虫情智能化监测。</w:t>
      </w:r>
    </w:p>
    <w:p w14:paraId="461CC261">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（4）种情移动监测装备</w:t>
      </w:r>
    </w:p>
    <w:p w14:paraId="26FE7112">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通过使用便携式移动种情监测设备，对制种田块进行包括空气温度、空气湿度、土壤湿度、土壤温度等数据的实时监测与收集，实现随机测点的便携式移动采集监测。</w:t>
      </w:r>
    </w:p>
    <w:p w14:paraId="75319206">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（5）土壤墒情监测设备</w:t>
      </w:r>
    </w:p>
    <w:p w14:paraId="1B3C17CC">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通过布设土壤墒情监测设备，进行种植基地土壤温度、湿度等数据采集，实现种植基地土壤墒情的智能化监测。</w:t>
      </w:r>
    </w:p>
    <w:p w14:paraId="4C1DF2CB">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（6）农田气象监测设备</w:t>
      </w:r>
    </w:p>
    <w:p w14:paraId="33D1CC9D">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通过布设农田气象监测站，进行基地内空气温湿度、光照、风力、风向等气象数据监测，实现农田气象数据实时动态监测。</w:t>
      </w:r>
    </w:p>
    <w:p w14:paraId="12AACCA9">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（7）田间巡航设备</w:t>
      </w:r>
    </w:p>
    <w:p w14:paraId="1939101C">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通过利用无人机管理平台，实现对农田作物的长势监测和分析，实现农田的田间巡查和监测管理。</w:t>
      </w:r>
    </w:p>
    <w:p w14:paraId="745989E1">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（8）电路改造通讯</w:t>
      </w:r>
    </w:p>
    <w:p w14:paraId="69CDDD51">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通过对农田网络进行改造，解决田间监测设备的数据传输，进而能够正常对接数据平台，进行平台数据的集成式管理。</w:t>
      </w:r>
    </w:p>
    <w:p w14:paraId="79D99F35">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（9）硬件设备实施</w:t>
      </w:r>
    </w:p>
    <w:p w14:paraId="04C47AAA">
      <w:pPr>
        <w:keepNext w:val="0"/>
        <w:keepLines w:val="0"/>
        <w:pageBreakBefore w:val="0"/>
        <w:widowControl w:val="0"/>
        <w:numPr>
          <w:ilvl w:val="0"/>
          <w:numId w:val="0"/>
        </w:numPr>
        <w:spacing w:line="440" w:lineRule="exact"/>
        <w:ind w:right="0"/>
        <w:jc w:val="left"/>
        <w:rPr>
          <w:rFonts w:hint="eastAsia"/>
          <w:b/>
          <w:bCs/>
          <w:color w:val="000000"/>
          <w:sz w:val="24"/>
          <w:highlight w:val="none"/>
          <w:lang w:val="en-US" w:eastAsia="zh-CN"/>
        </w:rPr>
      </w:pPr>
      <w:r>
        <w:rPr>
          <w:rFonts w:hint="eastAsia" w:ascii="宋体" w:hAnsi="宋体" w:eastAsia="宋体" w:cs="宋体"/>
          <w:sz w:val="24"/>
          <w:szCs w:val="24"/>
          <w:lang w:val="en-US" w:eastAsia="zh-CN"/>
        </w:rPr>
        <w:t>包括对田间苗情监测、病情监测、虫情监测、墒情监测、气象监测、农田巡查等硬件设备以及基础、围栏等基础设施的安装、调试及辅材等。</w:t>
      </w:r>
    </w:p>
    <w:p w14:paraId="0B3DC7E7">
      <w:pPr>
        <w:keepNext w:val="0"/>
        <w:keepLines w:val="0"/>
        <w:pageBreakBefore w:val="0"/>
        <w:widowControl w:val="0"/>
        <w:numPr>
          <w:ilvl w:val="0"/>
          <w:numId w:val="0"/>
        </w:numPr>
        <w:spacing w:line="440" w:lineRule="exact"/>
        <w:ind w:right="0"/>
        <w:jc w:val="left"/>
        <w:rPr>
          <w:rFonts w:hint="eastAsia" w:eastAsia="宋体"/>
          <w:b/>
          <w:bCs/>
          <w:color w:val="000000"/>
          <w:sz w:val="24"/>
          <w:highlight w:val="none"/>
          <w:lang w:eastAsia="zh-CN"/>
        </w:rPr>
      </w:pPr>
      <w:r>
        <w:rPr>
          <w:rFonts w:hint="eastAsia"/>
          <w:b/>
          <w:bCs/>
          <w:color w:val="000000"/>
          <w:sz w:val="24"/>
          <w:highlight w:val="none"/>
          <w:lang w:val="en-US" w:eastAsia="zh-CN"/>
        </w:rPr>
        <w:t>第三条</w:t>
      </w:r>
      <w:r>
        <w:rPr>
          <w:rFonts w:hint="eastAsia"/>
          <w:b/>
          <w:bCs/>
          <w:color w:val="000000"/>
          <w:sz w:val="24"/>
          <w:highlight w:val="none"/>
        </w:rPr>
        <w:t xml:space="preserve"> </w:t>
      </w:r>
      <w:r>
        <w:rPr>
          <w:rFonts w:hint="eastAsia"/>
          <w:b/>
          <w:bCs/>
          <w:color w:val="000000"/>
          <w:sz w:val="24"/>
          <w:highlight w:val="none"/>
          <w:lang w:val="en-US" w:eastAsia="zh-CN"/>
        </w:rPr>
        <w:t xml:space="preserve"> 合同金额</w:t>
      </w:r>
    </w:p>
    <w:p w14:paraId="26D370D4">
      <w:pPr>
        <w:keepNext w:val="0"/>
        <w:keepLines w:val="0"/>
        <w:pageBreakBefore w:val="0"/>
        <w:widowControl w:val="0"/>
        <w:spacing w:line="440" w:lineRule="exact"/>
        <w:ind w:firstLine="480"/>
        <w:jc w:val="left"/>
        <w:rPr>
          <w:rFonts w:ascii="宋体" w:hAnsi="宋体" w:cs="宋体"/>
          <w:bCs/>
          <w:sz w:val="24"/>
          <w:highlight w:val="none"/>
        </w:rPr>
      </w:pPr>
      <w:r>
        <w:rPr>
          <w:rFonts w:hint="eastAsia" w:ascii="宋体" w:hAnsi="宋体" w:cs="宋体"/>
          <w:bCs/>
          <w:sz w:val="24"/>
          <w:highlight w:val="none"/>
        </w:rPr>
        <w:t>本合同总金额为</w:t>
      </w:r>
      <w:r>
        <w:rPr>
          <w:rFonts w:hint="eastAsia" w:ascii="宋体" w:hAnsi="宋体" w:cs="宋体"/>
          <w:bCs/>
          <w:sz w:val="24"/>
          <w:highlight w:val="none"/>
          <w:lang w:val="en-US" w:eastAsia="zh-CN"/>
        </w:rPr>
        <w:t>人民币</w:t>
      </w:r>
      <w:r>
        <w:rPr>
          <w:rFonts w:hint="eastAsia" w:ascii="宋体" w:hAnsi="宋体" w:cs="宋体"/>
          <w:bCs/>
          <w:sz w:val="24"/>
          <w:highlight w:val="none"/>
          <w:lang w:eastAsia="zh-CN"/>
        </w:rPr>
        <w:t>（</w:t>
      </w:r>
      <w:r>
        <w:rPr>
          <w:rFonts w:hint="eastAsia" w:ascii="宋体" w:hAnsi="宋体" w:cs="宋体"/>
          <w:bCs/>
          <w:sz w:val="24"/>
          <w:highlight w:val="none"/>
        </w:rPr>
        <w:t>大写</w:t>
      </w:r>
      <w:r>
        <w:rPr>
          <w:rFonts w:hint="eastAsia" w:ascii="宋体" w:hAnsi="宋体" w:cs="宋体"/>
          <w:bCs/>
          <w:sz w:val="24"/>
          <w:highlight w:val="none"/>
          <w:lang w:eastAsia="zh-CN"/>
        </w:rPr>
        <w:t>）</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元（</w:t>
      </w:r>
      <w:r>
        <w:rPr>
          <w:rFonts w:hint="eastAsia" w:ascii="宋体" w:hAnsi="宋体" w:cs="宋体"/>
          <w:bCs/>
          <w:sz w:val="24"/>
          <w:highlight w:val="none"/>
          <w:lang w:val="en-US" w:eastAsia="zh-CN"/>
        </w:rPr>
        <w:t>¥：       元</w:t>
      </w:r>
      <w:r>
        <w:rPr>
          <w:rFonts w:hint="eastAsia" w:ascii="宋体" w:hAnsi="宋体" w:cs="宋体"/>
          <w:bCs/>
          <w:sz w:val="24"/>
          <w:highlight w:val="none"/>
        </w:rPr>
        <w:t>）。</w:t>
      </w:r>
    </w:p>
    <w:p w14:paraId="755F0470">
      <w:pPr>
        <w:keepNext w:val="0"/>
        <w:keepLines w:val="0"/>
        <w:pageBreakBefore w:val="0"/>
        <w:widowControl w:val="0"/>
        <w:numPr>
          <w:ilvl w:val="0"/>
          <w:numId w:val="0"/>
        </w:numPr>
        <w:spacing w:line="440" w:lineRule="exact"/>
        <w:ind w:right="0"/>
        <w:jc w:val="left"/>
        <w:rPr>
          <w:rFonts w:ascii="宋体" w:hAnsi="宋体" w:cs="宋体"/>
          <w:b/>
          <w:sz w:val="24"/>
          <w:highlight w:val="none"/>
          <w:lang w:val="en-US"/>
        </w:rPr>
      </w:pPr>
      <w:r>
        <w:rPr>
          <w:rFonts w:hint="eastAsia" w:ascii="宋体" w:hAnsi="宋体" w:cs="宋体"/>
          <w:b/>
          <w:sz w:val="24"/>
          <w:highlight w:val="none"/>
          <w:lang w:val="en-US" w:eastAsia="zh-CN"/>
        </w:rPr>
        <w:t>第四条</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w:t>
      </w:r>
      <w:r>
        <w:rPr>
          <w:rFonts w:hint="eastAsia" w:ascii="宋体" w:hAnsi="宋体"/>
          <w:b/>
          <w:bCs/>
          <w:sz w:val="24"/>
          <w:highlight w:val="none"/>
          <w:lang w:val="en-US" w:eastAsia="zh-CN"/>
        </w:rPr>
        <w:t>服务期限和地点</w:t>
      </w:r>
    </w:p>
    <w:p w14:paraId="51ED9970">
      <w:pPr>
        <w:keepNext w:val="0"/>
        <w:keepLines w:val="0"/>
        <w:pageBreakBefore w:val="0"/>
        <w:widowControl w:val="0"/>
        <w:spacing w:line="440" w:lineRule="exact"/>
        <w:ind w:firstLine="480"/>
        <w:jc w:val="left"/>
        <w:rPr>
          <w:rFonts w:hint="eastAsia" w:ascii="宋体" w:hAnsi="宋体" w:eastAsia="宋体" w:cs="宋体"/>
          <w:sz w:val="24"/>
          <w:highlight w:val="none"/>
          <w:lang w:eastAsia="zh-CN"/>
        </w:rPr>
      </w:pPr>
      <w:r>
        <w:rPr>
          <w:rFonts w:hint="eastAsia" w:ascii="宋体" w:hAnsi="宋体" w:cs="宋体"/>
          <w:sz w:val="24"/>
          <w:highlight w:val="none"/>
          <w:lang w:val="en-US" w:eastAsia="zh-CN"/>
        </w:rPr>
        <w:t>1.服务期限：自合同签订之日起90天内完成</w:t>
      </w:r>
      <w:r>
        <w:rPr>
          <w:rFonts w:hint="eastAsia" w:ascii="宋体" w:hAnsi="宋体" w:cs="宋体"/>
          <w:sz w:val="24"/>
          <w:highlight w:val="none"/>
          <w:lang w:eastAsia="zh-CN"/>
        </w:rPr>
        <w:t>。</w:t>
      </w:r>
    </w:p>
    <w:p w14:paraId="6FDC79D5">
      <w:pPr>
        <w:keepNext w:val="0"/>
        <w:keepLines w:val="0"/>
        <w:pageBreakBefore w:val="0"/>
        <w:widowControl w:val="0"/>
        <w:spacing w:line="440" w:lineRule="exact"/>
        <w:ind w:firstLine="480"/>
        <w:jc w:val="left"/>
        <w:rPr>
          <w:rFonts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w:t>
      </w:r>
      <w:r>
        <w:rPr>
          <w:rFonts w:hint="eastAsia" w:ascii="宋体" w:hAnsi="宋体" w:cs="宋体"/>
          <w:sz w:val="24"/>
          <w:highlight w:val="none"/>
        </w:rPr>
        <w:t>服务地点：采购人指定地点。</w:t>
      </w:r>
    </w:p>
    <w:p w14:paraId="1DB44EAB">
      <w:pPr>
        <w:keepNext w:val="0"/>
        <w:keepLines w:val="0"/>
        <w:pageBreakBefore w:val="0"/>
        <w:widowControl w:val="0"/>
        <w:spacing w:line="440" w:lineRule="exact"/>
        <w:ind w:right="0"/>
        <w:jc w:val="left"/>
        <w:rPr>
          <w:rFonts w:eastAsia="宋体"/>
          <w:b/>
          <w:bCs/>
          <w:color w:val="000000"/>
          <w:sz w:val="24"/>
          <w:highlight w:val="none"/>
          <w:lang w:val="en-US" w:eastAsia="zh-CN"/>
        </w:rPr>
      </w:pPr>
      <w:r>
        <w:rPr>
          <w:rFonts w:hint="eastAsia"/>
          <w:b/>
          <w:bCs/>
          <w:color w:val="000000"/>
          <w:sz w:val="24"/>
          <w:highlight w:val="none"/>
        </w:rPr>
        <w:t>第</w:t>
      </w:r>
      <w:r>
        <w:rPr>
          <w:rFonts w:hint="eastAsia"/>
          <w:b/>
          <w:bCs/>
          <w:color w:val="000000"/>
          <w:sz w:val="24"/>
          <w:highlight w:val="none"/>
          <w:lang w:val="en-US" w:eastAsia="zh-CN"/>
        </w:rPr>
        <w:t>五</w:t>
      </w:r>
      <w:r>
        <w:rPr>
          <w:rFonts w:hint="eastAsia"/>
          <w:b/>
          <w:bCs/>
          <w:color w:val="000000"/>
          <w:sz w:val="24"/>
          <w:highlight w:val="none"/>
        </w:rPr>
        <w:t xml:space="preserve">条  </w:t>
      </w:r>
      <w:r>
        <w:rPr>
          <w:rFonts w:hint="eastAsia"/>
          <w:b/>
          <w:bCs/>
          <w:color w:val="000000"/>
          <w:sz w:val="24"/>
          <w:highlight w:val="none"/>
          <w:lang w:val="en-US" w:eastAsia="zh-CN"/>
        </w:rPr>
        <w:t>付款方式</w:t>
      </w:r>
    </w:p>
    <w:p w14:paraId="5D541C64">
      <w:pPr>
        <w:keepNext w:val="0"/>
        <w:keepLines w:val="0"/>
        <w:pageBreakBefore w:val="0"/>
        <w:widowControl w:val="0"/>
        <w:spacing w:line="440" w:lineRule="exact"/>
        <w:ind w:right="0" w:firstLine="48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项目完成并经验收合格后支付合同价的70%，审计完成后按审计价付清余款。</w:t>
      </w:r>
    </w:p>
    <w:p w14:paraId="18EBBAC5">
      <w:pPr>
        <w:keepNext w:val="0"/>
        <w:keepLines w:val="0"/>
        <w:pageBreakBefore w:val="0"/>
        <w:widowControl w:val="0"/>
        <w:spacing w:line="440" w:lineRule="exact"/>
        <w:ind w:right="0"/>
        <w:jc w:val="left"/>
        <w:rPr>
          <w:rFonts w:hint="eastAsia" w:ascii="宋体" w:hAnsi="宋体"/>
          <w:b/>
          <w:sz w:val="24"/>
          <w:highlight w:val="none"/>
          <w:lang w:val="en-US" w:eastAsia="zh-CN"/>
        </w:rPr>
      </w:pPr>
      <w:r>
        <w:rPr>
          <w:rFonts w:hint="eastAsia" w:ascii="宋体" w:hAnsi="宋体"/>
          <w:b/>
          <w:sz w:val="24"/>
          <w:highlight w:val="none"/>
          <w:lang w:val="en-US" w:eastAsia="zh-CN"/>
        </w:rPr>
        <w:t>第六条  服务要求</w:t>
      </w:r>
    </w:p>
    <w:tbl>
      <w:tblPr>
        <w:tblStyle w:val="2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1712"/>
        <w:gridCol w:w="3433"/>
        <w:gridCol w:w="885"/>
        <w:gridCol w:w="750"/>
        <w:gridCol w:w="1080"/>
        <w:gridCol w:w="1245"/>
      </w:tblGrid>
      <w:tr w14:paraId="3F17B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7045E814">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1712" w:type="dxa"/>
            <w:noWrap w:val="0"/>
            <w:vAlign w:val="center"/>
          </w:tcPr>
          <w:p w14:paraId="1DF641ED">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名称</w:t>
            </w:r>
          </w:p>
        </w:tc>
        <w:tc>
          <w:tcPr>
            <w:tcW w:w="3433" w:type="dxa"/>
            <w:noWrap w:val="0"/>
            <w:vAlign w:val="center"/>
          </w:tcPr>
          <w:p w14:paraId="39B3204E">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技术参数</w:t>
            </w:r>
          </w:p>
        </w:tc>
        <w:tc>
          <w:tcPr>
            <w:tcW w:w="885" w:type="dxa"/>
            <w:noWrap w:val="0"/>
            <w:vAlign w:val="center"/>
          </w:tcPr>
          <w:p w14:paraId="07539959">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单位</w:t>
            </w:r>
          </w:p>
        </w:tc>
        <w:tc>
          <w:tcPr>
            <w:tcW w:w="750" w:type="dxa"/>
            <w:noWrap w:val="0"/>
            <w:vAlign w:val="center"/>
          </w:tcPr>
          <w:p w14:paraId="6F320AA5">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c>
          <w:tcPr>
            <w:tcW w:w="1080" w:type="dxa"/>
            <w:noWrap w:val="0"/>
            <w:vAlign w:val="center"/>
          </w:tcPr>
          <w:p w14:paraId="42B135CB">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单价</w:t>
            </w:r>
          </w:p>
        </w:tc>
        <w:tc>
          <w:tcPr>
            <w:tcW w:w="1245" w:type="dxa"/>
            <w:noWrap w:val="0"/>
            <w:vAlign w:val="center"/>
          </w:tcPr>
          <w:p w14:paraId="73132437">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总价</w:t>
            </w:r>
          </w:p>
        </w:tc>
      </w:tr>
      <w:tr w14:paraId="76B79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0888DA98">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一</w:t>
            </w:r>
          </w:p>
        </w:tc>
        <w:tc>
          <w:tcPr>
            <w:tcW w:w="9105" w:type="dxa"/>
            <w:gridSpan w:val="6"/>
            <w:noWrap w:val="0"/>
            <w:vAlign w:val="center"/>
          </w:tcPr>
          <w:p w14:paraId="0E0E2595">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软件部分</w:t>
            </w:r>
          </w:p>
        </w:tc>
      </w:tr>
      <w:tr w14:paraId="4ED14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1795521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712" w:type="dxa"/>
            <w:noWrap w:val="0"/>
            <w:vAlign w:val="center"/>
          </w:tcPr>
          <w:p w14:paraId="6B794120">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种业数智化决策中心</w:t>
            </w:r>
          </w:p>
        </w:tc>
        <w:tc>
          <w:tcPr>
            <w:tcW w:w="3433" w:type="dxa"/>
            <w:noWrap w:val="0"/>
            <w:vAlign w:val="center"/>
          </w:tcPr>
          <w:p w14:paraId="77B13D25">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val="0"/>
                <w:bCs w:val="0"/>
                <w:sz w:val="24"/>
                <w:szCs w:val="24"/>
                <w:vertAlign w:val="baseline"/>
                <w:lang w:val="en-US" w:eastAsia="zh-CN"/>
              </w:rPr>
            </w:pPr>
          </w:p>
        </w:tc>
        <w:tc>
          <w:tcPr>
            <w:tcW w:w="885" w:type="dxa"/>
            <w:noWrap w:val="0"/>
            <w:vAlign w:val="center"/>
          </w:tcPr>
          <w:p w14:paraId="6DDE169E">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511E1887">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080" w:type="dxa"/>
            <w:noWrap w:val="0"/>
            <w:vAlign w:val="center"/>
          </w:tcPr>
          <w:p w14:paraId="278692D9">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6366FCBC">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2EBB8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38C78ED3">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12" w:type="dxa"/>
            <w:noWrap w:val="0"/>
            <w:vAlign w:val="center"/>
          </w:tcPr>
          <w:p w14:paraId="0CF817DC">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制种生产全环节数智化监管平台</w:t>
            </w:r>
          </w:p>
        </w:tc>
        <w:tc>
          <w:tcPr>
            <w:tcW w:w="3433" w:type="dxa"/>
            <w:noWrap w:val="0"/>
            <w:vAlign w:val="center"/>
          </w:tcPr>
          <w:p w14:paraId="1C4D61AD">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val="0"/>
                <w:bCs w:val="0"/>
                <w:sz w:val="24"/>
                <w:szCs w:val="24"/>
                <w:vertAlign w:val="baseline"/>
                <w:lang w:val="en-US" w:eastAsia="zh-CN"/>
              </w:rPr>
            </w:pPr>
          </w:p>
        </w:tc>
        <w:tc>
          <w:tcPr>
            <w:tcW w:w="885" w:type="dxa"/>
            <w:noWrap w:val="0"/>
            <w:vAlign w:val="center"/>
          </w:tcPr>
          <w:p w14:paraId="746C2D57">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50C5E54E">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080" w:type="dxa"/>
            <w:noWrap w:val="0"/>
            <w:vAlign w:val="center"/>
          </w:tcPr>
          <w:p w14:paraId="7FE255EB">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14F26804">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47921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20A1242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712" w:type="dxa"/>
            <w:noWrap w:val="0"/>
            <w:vAlign w:val="center"/>
          </w:tcPr>
          <w:p w14:paraId="159C52E7">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种子质量可追溯监管平台</w:t>
            </w:r>
          </w:p>
        </w:tc>
        <w:tc>
          <w:tcPr>
            <w:tcW w:w="3433" w:type="dxa"/>
            <w:noWrap w:val="0"/>
            <w:vAlign w:val="center"/>
          </w:tcPr>
          <w:p w14:paraId="68BF20A0">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val="0"/>
                <w:bCs w:val="0"/>
                <w:sz w:val="24"/>
                <w:szCs w:val="24"/>
                <w:vertAlign w:val="baseline"/>
                <w:lang w:val="en-US" w:eastAsia="zh-CN"/>
              </w:rPr>
            </w:pPr>
          </w:p>
        </w:tc>
        <w:tc>
          <w:tcPr>
            <w:tcW w:w="885" w:type="dxa"/>
            <w:noWrap w:val="0"/>
            <w:vAlign w:val="center"/>
          </w:tcPr>
          <w:p w14:paraId="477E9F97">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4EC5AC51">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080" w:type="dxa"/>
            <w:noWrap w:val="0"/>
            <w:vAlign w:val="center"/>
          </w:tcPr>
          <w:p w14:paraId="4466FB65">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1644678B">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7EE7B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5FF02B4C">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712" w:type="dxa"/>
            <w:noWrap w:val="0"/>
            <w:vAlign w:val="center"/>
          </w:tcPr>
          <w:p w14:paraId="77668C27">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制种数智化服务管理平台</w:t>
            </w:r>
          </w:p>
        </w:tc>
        <w:tc>
          <w:tcPr>
            <w:tcW w:w="3433" w:type="dxa"/>
            <w:noWrap w:val="0"/>
            <w:vAlign w:val="center"/>
          </w:tcPr>
          <w:p w14:paraId="3C030834">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val="0"/>
                <w:bCs w:val="0"/>
                <w:sz w:val="24"/>
                <w:szCs w:val="24"/>
                <w:vertAlign w:val="baseline"/>
                <w:lang w:val="en-US" w:eastAsia="zh-CN"/>
              </w:rPr>
            </w:pPr>
          </w:p>
        </w:tc>
        <w:tc>
          <w:tcPr>
            <w:tcW w:w="885" w:type="dxa"/>
            <w:noWrap w:val="0"/>
            <w:vAlign w:val="center"/>
          </w:tcPr>
          <w:p w14:paraId="035AF784">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60BE546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080" w:type="dxa"/>
            <w:noWrap w:val="0"/>
            <w:vAlign w:val="center"/>
          </w:tcPr>
          <w:p w14:paraId="15077634">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1BAFCE69">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5589A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7597654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712" w:type="dxa"/>
            <w:noWrap w:val="0"/>
            <w:vAlign w:val="center"/>
          </w:tcPr>
          <w:p w14:paraId="5B880785">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种子市场数智化动态监管平台</w:t>
            </w:r>
          </w:p>
        </w:tc>
        <w:tc>
          <w:tcPr>
            <w:tcW w:w="3433" w:type="dxa"/>
            <w:noWrap w:val="0"/>
            <w:vAlign w:val="center"/>
          </w:tcPr>
          <w:p w14:paraId="2E68192A">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val="0"/>
                <w:bCs w:val="0"/>
                <w:sz w:val="24"/>
                <w:szCs w:val="24"/>
                <w:vertAlign w:val="baseline"/>
                <w:lang w:val="en-US" w:eastAsia="zh-CN"/>
              </w:rPr>
            </w:pPr>
          </w:p>
        </w:tc>
        <w:tc>
          <w:tcPr>
            <w:tcW w:w="885" w:type="dxa"/>
            <w:noWrap w:val="0"/>
            <w:vAlign w:val="center"/>
          </w:tcPr>
          <w:p w14:paraId="70CA809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601536E0">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080" w:type="dxa"/>
            <w:noWrap w:val="0"/>
            <w:vAlign w:val="center"/>
          </w:tcPr>
          <w:p w14:paraId="568FAFF5">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27931AA1">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3D897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414D0F7B">
            <w:pPr>
              <w:keepNext w:val="0"/>
              <w:keepLines w:val="0"/>
              <w:widowControl/>
              <w:suppressLineNumbers w:val="0"/>
              <w:spacing w:before="0" w:beforeAutospacing="0" w:after="0" w:afterAutospacing="0"/>
              <w:ind w:left="0" w:right="0"/>
              <w:jc w:val="center"/>
              <w:rPr>
                <w:rFonts w:hint="eastAsia" w:ascii="宋体" w:hAnsi="宋体" w:eastAsia="宋体" w:cs="宋体"/>
                <w:b/>
                <w:bCs/>
                <w:sz w:val="24"/>
                <w:szCs w:val="24"/>
                <w:vertAlign w:val="baseline"/>
                <w:lang w:val="en-US" w:eastAsia="zh-CN"/>
              </w:rPr>
            </w:pPr>
            <w:r>
              <w:rPr>
                <w:rFonts w:hint="eastAsia" w:ascii="宋体" w:hAnsi="宋体" w:eastAsia="宋体" w:cs="宋体"/>
                <w:b w:val="0"/>
                <w:bCs w:val="0"/>
                <w:color w:val="000000"/>
                <w:sz w:val="24"/>
                <w:szCs w:val="24"/>
                <w:lang w:val="en-US" w:eastAsia="zh-CN"/>
              </w:rPr>
              <w:t>6</w:t>
            </w:r>
          </w:p>
        </w:tc>
        <w:tc>
          <w:tcPr>
            <w:tcW w:w="1712" w:type="dxa"/>
            <w:noWrap w:val="0"/>
            <w:vAlign w:val="center"/>
          </w:tcPr>
          <w:p w14:paraId="4F5AC218">
            <w:pPr>
              <w:keepNext w:val="0"/>
              <w:keepLines w:val="0"/>
              <w:suppressLineNumbers w:val="0"/>
              <w:spacing w:before="0" w:beforeAutospacing="0" w:after="0" w:afterAutospacing="0"/>
              <w:ind w:left="0" w:right="0"/>
              <w:jc w:val="center"/>
              <w:rPr>
                <w:rFonts w:hint="eastAsia" w:ascii="宋体" w:hAnsi="宋体" w:eastAsia="宋体" w:cs="宋体"/>
                <w:b/>
                <w:bCs/>
                <w:sz w:val="24"/>
                <w:szCs w:val="24"/>
                <w:vertAlign w:val="baseline"/>
                <w:lang w:val="en-US" w:eastAsia="zh-CN"/>
              </w:rPr>
            </w:pPr>
            <w:r>
              <w:rPr>
                <w:rFonts w:hint="eastAsia" w:ascii="宋体" w:hAnsi="宋体" w:eastAsia="宋体" w:cs="宋体"/>
                <w:i w:val="0"/>
                <w:iCs w:val="0"/>
                <w:color w:val="000000"/>
                <w:sz w:val="24"/>
                <w:szCs w:val="24"/>
                <w:u w:val="none"/>
                <w:lang w:val="en-US" w:eastAsia="zh-CN" w:bidi="ar"/>
              </w:rPr>
              <w:t>平台数据赋能与技术服务</w:t>
            </w:r>
          </w:p>
        </w:tc>
        <w:tc>
          <w:tcPr>
            <w:tcW w:w="3433" w:type="dxa"/>
            <w:noWrap w:val="0"/>
            <w:vAlign w:val="center"/>
          </w:tcPr>
          <w:p w14:paraId="0506800C">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val="0"/>
                <w:bCs w:val="0"/>
                <w:sz w:val="24"/>
                <w:szCs w:val="24"/>
                <w:vertAlign w:val="baseline"/>
                <w:lang w:val="en-US" w:eastAsia="zh-CN"/>
              </w:rPr>
            </w:pPr>
          </w:p>
        </w:tc>
        <w:tc>
          <w:tcPr>
            <w:tcW w:w="885" w:type="dxa"/>
            <w:noWrap w:val="0"/>
            <w:vAlign w:val="center"/>
          </w:tcPr>
          <w:p w14:paraId="7C99CDDD">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5C9291E6">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080" w:type="dxa"/>
            <w:noWrap w:val="0"/>
            <w:vAlign w:val="center"/>
          </w:tcPr>
          <w:p w14:paraId="68A19B9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03C98D07">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2A729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47124D10">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val="0"/>
                <w:bCs w:val="0"/>
                <w:color w:val="000000"/>
                <w:sz w:val="24"/>
                <w:szCs w:val="24"/>
                <w:lang w:val="en-US" w:eastAsia="zh-CN"/>
              </w:rPr>
            </w:pPr>
            <w:r>
              <w:rPr>
                <w:rFonts w:hint="eastAsia" w:ascii="宋体" w:hAnsi="宋体" w:eastAsia="宋体" w:cs="宋体"/>
                <w:b/>
                <w:bCs/>
                <w:sz w:val="24"/>
                <w:szCs w:val="24"/>
                <w:vertAlign w:val="baseline"/>
                <w:lang w:val="en-US" w:eastAsia="zh-CN"/>
              </w:rPr>
              <w:t>二</w:t>
            </w:r>
          </w:p>
        </w:tc>
        <w:tc>
          <w:tcPr>
            <w:tcW w:w="9105" w:type="dxa"/>
            <w:gridSpan w:val="6"/>
            <w:noWrap w:val="0"/>
            <w:vAlign w:val="center"/>
          </w:tcPr>
          <w:p w14:paraId="6460FE76">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硬件部分</w:t>
            </w:r>
          </w:p>
        </w:tc>
      </w:tr>
      <w:tr w14:paraId="4243C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3B90CACF">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w:t>
            </w:r>
          </w:p>
        </w:tc>
        <w:tc>
          <w:tcPr>
            <w:tcW w:w="1712" w:type="dxa"/>
            <w:noWrap w:val="0"/>
            <w:vAlign w:val="center"/>
          </w:tcPr>
          <w:p w14:paraId="36522B4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苗情监测设备</w:t>
            </w:r>
          </w:p>
        </w:tc>
        <w:tc>
          <w:tcPr>
            <w:tcW w:w="3433" w:type="dxa"/>
            <w:noWrap w:val="0"/>
            <w:vAlign w:val="center"/>
          </w:tcPr>
          <w:p w14:paraId="74F6F7DC">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4"/>
                <w:szCs w:val="24"/>
                <w:vertAlign w:val="baseline"/>
                <w:lang w:val="en-US" w:eastAsia="zh-CN"/>
              </w:rPr>
            </w:pPr>
          </w:p>
        </w:tc>
        <w:tc>
          <w:tcPr>
            <w:tcW w:w="885" w:type="dxa"/>
            <w:noWrap w:val="0"/>
            <w:vAlign w:val="center"/>
          </w:tcPr>
          <w:p w14:paraId="3898CF10">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25151E92">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20</w:t>
            </w:r>
          </w:p>
        </w:tc>
        <w:tc>
          <w:tcPr>
            <w:tcW w:w="1080" w:type="dxa"/>
            <w:noWrap w:val="0"/>
            <w:vAlign w:val="center"/>
          </w:tcPr>
          <w:p w14:paraId="051829C8">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684BF2B7">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4CA38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221BBE6C">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w:t>
            </w:r>
          </w:p>
        </w:tc>
        <w:tc>
          <w:tcPr>
            <w:tcW w:w="1712" w:type="dxa"/>
            <w:noWrap w:val="0"/>
            <w:vAlign w:val="center"/>
          </w:tcPr>
          <w:p w14:paraId="121C589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病情监测设备</w:t>
            </w:r>
          </w:p>
        </w:tc>
        <w:tc>
          <w:tcPr>
            <w:tcW w:w="3433" w:type="dxa"/>
            <w:noWrap w:val="0"/>
            <w:vAlign w:val="center"/>
          </w:tcPr>
          <w:p w14:paraId="6D405140">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4"/>
                <w:szCs w:val="24"/>
                <w:vertAlign w:val="baseline"/>
                <w:lang w:val="en-US" w:eastAsia="zh-CN"/>
              </w:rPr>
            </w:pPr>
          </w:p>
        </w:tc>
        <w:tc>
          <w:tcPr>
            <w:tcW w:w="885" w:type="dxa"/>
            <w:noWrap w:val="0"/>
            <w:vAlign w:val="center"/>
          </w:tcPr>
          <w:p w14:paraId="261A07CD">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7E85DB6C">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080" w:type="dxa"/>
            <w:noWrap w:val="0"/>
            <w:vAlign w:val="center"/>
          </w:tcPr>
          <w:p w14:paraId="2CE7FEEF">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5D88264F">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138BE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41BBB145">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w:t>
            </w:r>
          </w:p>
        </w:tc>
        <w:tc>
          <w:tcPr>
            <w:tcW w:w="1712" w:type="dxa"/>
            <w:noWrap w:val="0"/>
            <w:vAlign w:val="center"/>
          </w:tcPr>
          <w:p w14:paraId="7A24F88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虫情监测设备</w:t>
            </w:r>
          </w:p>
        </w:tc>
        <w:tc>
          <w:tcPr>
            <w:tcW w:w="3433" w:type="dxa"/>
            <w:noWrap w:val="0"/>
            <w:vAlign w:val="center"/>
          </w:tcPr>
          <w:p w14:paraId="1179FB02">
            <w:pPr>
              <w:keepNext w:val="0"/>
              <w:keepLines w:val="0"/>
              <w:pageBreakBefore w:val="0"/>
              <w:widowControl w:val="0"/>
              <w:suppressLineNumbers w:val="0"/>
              <w:spacing w:before="0" w:beforeAutospacing="0" w:after="0" w:afterAutospacing="0" w:line="360" w:lineRule="exact"/>
              <w:ind w:left="0" w:right="0"/>
              <w:jc w:val="left"/>
              <w:rPr>
                <w:rFonts w:hint="eastAsia" w:ascii="仿宋_GB2312" w:hAnsi="仿宋_GB2312" w:eastAsia="仿宋_GB2312" w:cs="仿宋_GB2312"/>
                <w:i w:val="0"/>
                <w:iCs w:val="0"/>
                <w:color w:val="000000"/>
                <w:sz w:val="24"/>
                <w:szCs w:val="24"/>
                <w:u w:val="none"/>
                <w:lang w:val="en-US" w:eastAsia="zh-CN" w:bidi="ar-SA"/>
              </w:rPr>
            </w:pPr>
          </w:p>
        </w:tc>
        <w:tc>
          <w:tcPr>
            <w:tcW w:w="885" w:type="dxa"/>
            <w:noWrap w:val="0"/>
            <w:vAlign w:val="center"/>
          </w:tcPr>
          <w:p w14:paraId="62CBDD88">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39B13DDF">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080" w:type="dxa"/>
            <w:noWrap w:val="0"/>
            <w:vAlign w:val="center"/>
          </w:tcPr>
          <w:p w14:paraId="10A9ACA8">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5F0F1E45">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252F0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56F72A37">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4</w:t>
            </w:r>
          </w:p>
        </w:tc>
        <w:tc>
          <w:tcPr>
            <w:tcW w:w="1712" w:type="dxa"/>
            <w:noWrap w:val="0"/>
            <w:vAlign w:val="center"/>
          </w:tcPr>
          <w:p w14:paraId="58621F5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种情移动监测装备</w:t>
            </w:r>
          </w:p>
        </w:tc>
        <w:tc>
          <w:tcPr>
            <w:tcW w:w="3433" w:type="dxa"/>
            <w:noWrap w:val="0"/>
            <w:vAlign w:val="center"/>
          </w:tcPr>
          <w:p w14:paraId="147B4EE8">
            <w:pPr>
              <w:keepNext w:val="0"/>
              <w:keepLines w:val="0"/>
              <w:pageBreakBefore w:val="0"/>
              <w:widowControl w:val="0"/>
              <w:suppressLineNumbers w:val="0"/>
              <w:spacing w:before="0" w:beforeAutospacing="0" w:after="0" w:afterAutospacing="0" w:line="360" w:lineRule="exact"/>
              <w:ind w:left="0" w:right="0"/>
              <w:jc w:val="left"/>
              <w:rPr>
                <w:rFonts w:hint="eastAsia" w:ascii="仿宋_GB2312" w:hAnsi="仿宋_GB2312" w:eastAsia="仿宋_GB2312" w:cs="仿宋_GB2312"/>
                <w:i w:val="0"/>
                <w:iCs w:val="0"/>
                <w:color w:val="000000"/>
                <w:sz w:val="24"/>
                <w:szCs w:val="24"/>
                <w:u w:val="none"/>
                <w:lang w:val="en-US" w:eastAsia="zh-CN" w:bidi="ar-SA"/>
              </w:rPr>
            </w:pPr>
          </w:p>
        </w:tc>
        <w:tc>
          <w:tcPr>
            <w:tcW w:w="885" w:type="dxa"/>
            <w:noWrap w:val="0"/>
            <w:vAlign w:val="center"/>
          </w:tcPr>
          <w:p w14:paraId="600AAC1F">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17E5DDC8">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080" w:type="dxa"/>
            <w:noWrap w:val="0"/>
            <w:vAlign w:val="center"/>
          </w:tcPr>
          <w:p w14:paraId="4166B353">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5B016DEB">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6A905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35023E08">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5</w:t>
            </w:r>
          </w:p>
        </w:tc>
        <w:tc>
          <w:tcPr>
            <w:tcW w:w="1712" w:type="dxa"/>
            <w:noWrap w:val="0"/>
            <w:vAlign w:val="center"/>
          </w:tcPr>
          <w:p w14:paraId="5BAB8A3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土壤墒情监测设备</w:t>
            </w:r>
          </w:p>
        </w:tc>
        <w:tc>
          <w:tcPr>
            <w:tcW w:w="3433" w:type="dxa"/>
            <w:noWrap w:val="0"/>
            <w:vAlign w:val="center"/>
          </w:tcPr>
          <w:p w14:paraId="38EC61B5">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4"/>
                <w:szCs w:val="24"/>
                <w:vertAlign w:val="baseline"/>
                <w:lang w:val="en-US" w:eastAsia="zh-CN"/>
              </w:rPr>
            </w:pPr>
          </w:p>
        </w:tc>
        <w:tc>
          <w:tcPr>
            <w:tcW w:w="885" w:type="dxa"/>
            <w:noWrap w:val="0"/>
            <w:vAlign w:val="center"/>
          </w:tcPr>
          <w:p w14:paraId="5EE2A5B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29D9E797">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080" w:type="dxa"/>
            <w:noWrap w:val="0"/>
            <w:vAlign w:val="center"/>
          </w:tcPr>
          <w:p w14:paraId="0308B2E3">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316F027E">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2D818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118B21B0">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6</w:t>
            </w:r>
          </w:p>
        </w:tc>
        <w:tc>
          <w:tcPr>
            <w:tcW w:w="1712" w:type="dxa"/>
            <w:noWrap w:val="0"/>
            <w:vAlign w:val="center"/>
          </w:tcPr>
          <w:p w14:paraId="4A97DEA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农田气象监测设备</w:t>
            </w:r>
          </w:p>
        </w:tc>
        <w:tc>
          <w:tcPr>
            <w:tcW w:w="3433" w:type="dxa"/>
            <w:noWrap w:val="0"/>
            <w:vAlign w:val="center"/>
          </w:tcPr>
          <w:p w14:paraId="24E0A895">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vertAlign w:val="baseline"/>
                <w:lang w:val="en-US" w:eastAsia="zh-CN"/>
              </w:rPr>
            </w:pPr>
          </w:p>
        </w:tc>
        <w:tc>
          <w:tcPr>
            <w:tcW w:w="885" w:type="dxa"/>
            <w:noWrap w:val="0"/>
            <w:vAlign w:val="center"/>
          </w:tcPr>
          <w:p w14:paraId="51D96C1B">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698828B2">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080" w:type="dxa"/>
            <w:noWrap w:val="0"/>
            <w:vAlign w:val="center"/>
          </w:tcPr>
          <w:p w14:paraId="7D42D105">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3BB93760">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63AD3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Merge w:val="restart"/>
            <w:noWrap w:val="0"/>
            <w:vAlign w:val="center"/>
          </w:tcPr>
          <w:p w14:paraId="4D2B3370">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7</w:t>
            </w:r>
          </w:p>
        </w:tc>
        <w:tc>
          <w:tcPr>
            <w:tcW w:w="1712" w:type="dxa"/>
            <w:noWrap w:val="0"/>
            <w:vAlign w:val="center"/>
          </w:tcPr>
          <w:p w14:paraId="23891FD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田间巡航设备（机场设备）</w:t>
            </w:r>
          </w:p>
        </w:tc>
        <w:tc>
          <w:tcPr>
            <w:tcW w:w="3433" w:type="dxa"/>
            <w:noWrap w:val="0"/>
            <w:vAlign w:val="center"/>
          </w:tcPr>
          <w:p w14:paraId="672B61E2">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ascii="宋体" w:hAnsi="宋体" w:eastAsia="宋体" w:cs="宋体"/>
                <w:b w:val="0"/>
                <w:bCs w:val="0"/>
                <w:sz w:val="21"/>
                <w:szCs w:val="21"/>
                <w:vertAlign w:val="baseline"/>
                <w:lang w:val="en-US" w:eastAsia="zh-CN"/>
              </w:rPr>
            </w:pPr>
          </w:p>
        </w:tc>
        <w:tc>
          <w:tcPr>
            <w:tcW w:w="885" w:type="dxa"/>
            <w:noWrap w:val="0"/>
            <w:vAlign w:val="center"/>
          </w:tcPr>
          <w:p w14:paraId="6331E30A">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716F5203">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080" w:type="dxa"/>
            <w:noWrap w:val="0"/>
            <w:vAlign w:val="center"/>
          </w:tcPr>
          <w:p w14:paraId="78244F26">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13F170EA">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38348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Merge w:val="continue"/>
            <w:noWrap w:val="0"/>
            <w:vAlign w:val="center"/>
          </w:tcPr>
          <w:p w14:paraId="08B3B979">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sz w:val="24"/>
                <w:szCs w:val="24"/>
                <w:lang w:val="en-US" w:eastAsia="zh-CN"/>
              </w:rPr>
            </w:pPr>
          </w:p>
        </w:tc>
        <w:tc>
          <w:tcPr>
            <w:tcW w:w="1712" w:type="dxa"/>
            <w:noWrap w:val="0"/>
            <w:vAlign w:val="center"/>
          </w:tcPr>
          <w:p w14:paraId="52628CC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田间巡航设备（配套无人机）</w:t>
            </w:r>
          </w:p>
        </w:tc>
        <w:tc>
          <w:tcPr>
            <w:tcW w:w="3433" w:type="dxa"/>
            <w:noWrap w:val="0"/>
            <w:vAlign w:val="center"/>
          </w:tcPr>
          <w:p w14:paraId="317FCCA7">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ascii="宋体" w:hAnsi="宋体" w:eastAsia="宋体" w:cs="宋体"/>
                <w:b w:val="0"/>
                <w:bCs w:val="0"/>
                <w:sz w:val="21"/>
                <w:szCs w:val="21"/>
                <w:vertAlign w:val="baseline"/>
                <w:lang w:val="en-US" w:eastAsia="zh-CN"/>
              </w:rPr>
            </w:pPr>
          </w:p>
        </w:tc>
        <w:tc>
          <w:tcPr>
            <w:tcW w:w="885" w:type="dxa"/>
            <w:noWrap w:val="0"/>
            <w:vAlign w:val="center"/>
          </w:tcPr>
          <w:p w14:paraId="17D2E65B">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5C297AAC">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080" w:type="dxa"/>
            <w:noWrap w:val="0"/>
            <w:vAlign w:val="center"/>
          </w:tcPr>
          <w:p w14:paraId="693369BE">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1D117075">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1379F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Merge w:val="continue"/>
            <w:noWrap w:val="0"/>
            <w:vAlign w:val="center"/>
          </w:tcPr>
          <w:p w14:paraId="5548FF84">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sz w:val="24"/>
                <w:szCs w:val="24"/>
                <w:lang w:val="en-US" w:eastAsia="zh-CN"/>
              </w:rPr>
            </w:pPr>
          </w:p>
        </w:tc>
        <w:tc>
          <w:tcPr>
            <w:tcW w:w="1712" w:type="dxa"/>
            <w:noWrap w:val="0"/>
            <w:vAlign w:val="center"/>
          </w:tcPr>
          <w:p w14:paraId="73576B1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田间巡航设备（遥控器）</w:t>
            </w:r>
          </w:p>
        </w:tc>
        <w:tc>
          <w:tcPr>
            <w:tcW w:w="3433" w:type="dxa"/>
            <w:noWrap w:val="0"/>
            <w:vAlign w:val="center"/>
          </w:tcPr>
          <w:p w14:paraId="35EA5C79">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ascii="宋体" w:hAnsi="宋体" w:eastAsia="宋体" w:cs="宋体"/>
                <w:b w:val="0"/>
                <w:bCs w:val="0"/>
                <w:sz w:val="21"/>
                <w:szCs w:val="21"/>
                <w:vertAlign w:val="baseline"/>
                <w:lang w:val="en-US" w:eastAsia="zh-CN"/>
              </w:rPr>
            </w:pPr>
          </w:p>
        </w:tc>
        <w:tc>
          <w:tcPr>
            <w:tcW w:w="885" w:type="dxa"/>
            <w:noWrap w:val="0"/>
            <w:vAlign w:val="center"/>
          </w:tcPr>
          <w:p w14:paraId="5BE3C75B">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12F4D1FE">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080" w:type="dxa"/>
            <w:noWrap w:val="0"/>
            <w:vAlign w:val="center"/>
          </w:tcPr>
          <w:p w14:paraId="628BFA5E">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29FE38C0">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7386F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Merge w:val="restart"/>
            <w:noWrap w:val="0"/>
            <w:vAlign w:val="center"/>
          </w:tcPr>
          <w:p w14:paraId="6B9C80BE">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8</w:t>
            </w:r>
          </w:p>
        </w:tc>
        <w:tc>
          <w:tcPr>
            <w:tcW w:w="1712" w:type="dxa"/>
            <w:noWrap w:val="0"/>
            <w:vAlign w:val="center"/>
          </w:tcPr>
          <w:p w14:paraId="0324347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电路改造通讯（太阳能监控系统）</w:t>
            </w:r>
          </w:p>
        </w:tc>
        <w:tc>
          <w:tcPr>
            <w:tcW w:w="3433" w:type="dxa"/>
            <w:noWrap w:val="0"/>
            <w:vAlign w:val="center"/>
          </w:tcPr>
          <w:p w14:paraId="380C7ABC">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vertAlign w:val="baseline"/>
                <w:lang w:val="en-US" w:eastAsia="zh-CN"/>
              </w:rPr>
            </w:pPr>
          </w:p>
        </w:tc>
        <w:tc>
          <w:tcPr>
            <w:tcW w:w="885" w:type="dxa"/>
            <w:noWrap w:val="0"/>
            <w:vAlign w:val="center"/>
          </w:tcPr>
          <w:p w14:paraId="48B1BC0B">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750" w:type="dxa"/>
            <w:noWrap w:val="0"/>
            <w:vAlign w:val="center"/>
          </w:tcPr>
          <w:p w14:paraId="4E375D2C">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080" w:type="dxa"/>
            <w:noWrap w:val="0"/>
            <w:vAlign w:val="center"/>
          </w:tcPr>
          <w:p w14:paraId="106E818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222EA8EA">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68FB5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Merge w:val="continue"/>
            <w:noWrap w:val="0"/>
            <w:vAlign w:val="center"/>
          </w:tcPr>
          <w:p w14:paraId="017C3880">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sz w:val="24"/>
                <w:szCs w:val="24"/>
                <w:lang w:val="en-US" w:eastAsia="zh-CN"/>
              </w:rPr>
            </w:pPr>
          </w:p>
        </w:tc>
        <w:tc>
          <w:tcPr>
            <w:tcW w:w="1712" w:type="dxa"/>
            <w:noWrap w:val="0"/>
            <w:vAlign w:val="center"/>
          </w:tcPr>
          <w:p w14:paraId="5D33F42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电路改造通讯（专线1）</w:t>
            </w:r>
          </w:p>
        </w:tc>
        <w:tc>
          <w:tcPr>
            <w:tcW w:w="3433" w:type="dxa"/>
            <w:noWrap w:val="0"/>
            <w:vAlign w:val="center"/>
          </w:tcPr>
          <w:p w14:paraId="07E574D9">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vertAlign w:val="baseline"/>
                <w:lang w:val="en-US" w:eastAsia="zh-CN"/>
              </w:rPr>
            </w:pPr>
          </w:p>
        </w:tc>
        <w:tc>
          <w:tcPr>
            <w:tcW w:w="885" w:type="dxa"/>
            <w:noWrap w:val="0"/>
            <w:vAlign w:val="center"/>
          </w:tcPr>
          <w:p w14:paraId="48F6E670">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条</w:t>
            </w:r>
          </w:p>
        </w:tc>
        <w:tc>
          <w:tcPr>
            <w:tcW w:w="750" w:type="dxa"/>
            <w:noWrap w:val="0"/>
            <w:vAlign w:val="center"/>
          </w:tcPr>
          <w:p w14:paraId="057EB22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w:t>
            </w:r>
          </w:p>
        </w:tc>
        <w:tc>
          <w:tcPr>
            <w:tcW w:w="1080" w:type="dxa"/>
            <w:noWrap w:val="0"/>
            <w:vAlign w:val="center"/>
          </w:tcPr>
          <w:p w14:paraId="32C3FC1B">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56B2462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08001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Merge w:val="continue"/>
            <w:noWrap w:val="0"/>
            <w:vAlign w:val="center"/>
          </w:tcPr>
          <w:p w14:paraId="052C1CB3">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sz w:val="24"/>
                <w:szCs w:val="24"/>
                <w:lang w:val="en-US" w:eastAsia="zh-CN"/>
              </w:rPr>
            </w:pPr>
          </w:p>
        </w:tc>
        <w:tc>
          <w:tcPr>
            <w:tcW w:w="1712" w:type="dxa"/>
            <w:noWrap w:val="0"/>
            <w:vAlign w:val="center"/>
          </w:tcPr>
          <w:p w14:paraId="57ADD93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电路改造通讯（专线2）</w:t>
            </w:r>
          </w:p>
        </w:tc>
        <w:tc>
          <w:tcPr>
            <w:tcW w:w="3433" w:type="dxa"/>
            <w:noWrap w:val="0"/>
            <w:vAlign w:val="center"/>
          </w:tcPr>
          <w:p w14:paraId="5887E436">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vertAlign w:val="baseline"/>
                <w:lang w:val="en-US" w:eastAsia="zh-CN"/>
              </w:rPr>
            </w:pPr>
          </w:p>
        </w:tc>
        <w:tc>
          <w:tcPr>
            <w:tcW w:w="885" w:type="dxa"/>
            <w:noWrap w:val="0"/>
            <w:vAlign w:val="center"/>
          </w:tcPr>
          <w:p w14:paraId="66D8797D">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条</w:t>
            </w:r>
          </w:p>
        </w:tc>
        <w:tc>
          <w:tcPr>
            <w:tcW w:w="750" w:type="dxa"/>
            <w:noWrap w:val="0"/>
            <w:vAlign w:val="center"/>
          </w:tcPr>
          <w:p w14:paraId="68E64641">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080" w:type="dxa"/>
            <w:noWrap w:val="0"/>
            <w:vAlign w:val="center"/>
          </w:tcPr>
          <w:p w14:paraId="4B3CBEDB">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1C32293C">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r w14:paraId="44A5D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Merge w:val="continue"/>
            <w:noWrap w:val="0"/>
            <w:vAlign w:val="center"/>
          </w:tcPr>
          <w:p w14:paraId="54069396">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sz w:val="24"/>
                <w:szCs w:val="24"/>
                <w:lang w:val="en-US" w:eastAsia="zh-CN"/>
              </w:rPr>
            </w:pPr>
          </w:p>
        </w:tc>
        <w:tc>
          <w:tcPr>
            <w:tcW w:w="1712" w:type="dxa"/>
            <w:noWrap w:val="0"/>
            <w:vAlign w:val="center"/>
          </w:tcPr>
          <w:p w14:paraId="7A631E9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电路改造通讯（高清摄像头）</w:t>
            </w:r>
          </w:p>
        </w:tc>
        <w:tc>
          <w:tcPr>
            <w:tcW w:w="3433" w:type="dxa"/>
            <w:noWrap w:val="0"/>
            <w:vAlign w:val="center"/>
          </w:tcPr>
          <w:p w14:paraId="26C3112F">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vertAlign w:val="baseline"/>
                <w:lang w:val="en-US" w:eastAsia="zh-CN"/>
              </w:rPr>
            </w:pPr>
          </w:p>
        </w:tc>
        <w:tc>
          <w:tcPr>
            <w:tcW w:w="885" w:type="dxa"/>
            <w:noWrap w:val="0"/>
            <w:vAlign w:val="center"/>
          </w:tcPr>
          <w:p w14:paraId="7620B9A0">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750" w:type="dxa"/>
            <w:noWrap w:val="0"/>
            <w:vAlign w:val="center"/>
          </w:tcPr>
          <w:p w14:paraId="1D36FC2D">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w:t>
            </w:r>
          </w:p>
        </w:tc>
        <w:tc>
          <w:tcPr>
            <w:tcW w:w="1080" w:type="dxa"/>
            <w:noWrap w:val="0"/>
            <w:vAlign w:val="center"/>
          </w:tcPr>
          <w:p w14:paraId="086055E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c>
          <w:tcPr>
            <w:tcW w:w="1245" w:type="dxa"/>
            <w:noWrap w:val="0"/>
            <w:vAlign w:val="center"/>
          </w:tcPr>
          <w:p w14:paraId="30E820F1">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lang w:val="en-US" w:eastAsia="zh-CN"/>
              </w:rPr>
            </w:pPr>
          </w:p>
        </w:tc>
      </w:tr>
    </w:tbl>
    <w:p w14:paraId="427FF820">
      <w:pPr>
        <w:keepNext w:val="0"/>
        <w:keepLines w:val="0"/>
        <w:pageBreakBefore w:val="0"/>
        <w:widowControl w:val="0"/>
        <w:spacing w:line="440" w:lineRule="exact"/>
        <w:jc w:val="lef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注：硬件部分安装及辅材部分要求</w:t>
      </w:r>
    </w:p>
    <w:p w14:paraId="0AA0B085">
      <w:pPr>
        <w:keepNext w:val="0"/>
        <w:keepLines w:val="0"/>
        <w:pageBreakBefore w:val="0"/>
        <w:widowControl w:val="0"/>
        <w:spacing w:line="400" w:lineRule="exact"/>
        <w:ind w:firstLine="48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包括对田间苗情监测、病情监测、虫情监测、墒情监测、气象监测、农田巡查等硬件设备以及基础、围栏等基础设施的安装、调试及辅材等。</w:t>
      </w:r>
    </w:p>
    <w:p w14:paraId="740FB00F">
      <w:pPr>
        <w:keepNext w:val="0"/>
        <w:keepLines w:val="0"/>
        <w:pageBreakBefore w:val="0"/>
        <w:widowControl w:val="0"/>
        <w:spacing w:line="400" w:lineRule="exact"/>
        <w:ind w:firstLine="48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苗情监测设备、病情监测设备、虫情监测设备、气象监测等设备的基坑，尺寸为：苗情设备基坑（长：60cm*宽60cm*深60cm）；病情设备基坑尺寸（长：100cm*宽100cm*深40cm）；虫情设备基坑尺寸（长：100cm*宽100cm*深40cm）；气象设备基坑尺寸（长：40cm*宽40cm*深40cm）。</w:t>
      </w:r>
    </w:p>
    <w:p w14:paraId="1FA1C02E">
      <w:pPr>
        <w:keepNext w:val="0"/>
        <w:keepLines w:val="0"/>
        <w:pageBreakBefore w:val="0"/>
        <w:widowControl w:val="0"/>
        <w:spacing w:line="400" w:lineRule="exact"/>
        <w:ind w:firstLine="48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苗情监测设备、病情监测设备、虫情监测设备、气象监测等设备的混凝土基座，尺寸为：苗情设备基坑（长：60cm*宽60cm*深70cm）；病情设备基坑尺寸（长：100cm*宽100cm*深50cm）；虫情设备基坑尺寸（长：100cm*宽100cm*深50cm）；气象设备基坑尺寸（长：40cm*宽40cm*深50cm）。</w:t>
      </w:r>
    </w:p>
    <w:p w14:paraId="1C102A1C">
      <w:pPr>
        <w:keepNext w:val="0"/>
        <w:keepLines w:val="0"/>
        <w:pageBreakBefore w:val="0"/>
        <w:widowControl w:val="0"/>
        <w:spacing w:line="400" w:lineRule="exact"/>
        <w:ind w:firstLine="48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（3）苗情监测设备、病情监测设备、虫情监测设备、气象监测、农田巡查等设备的安装调试，具体包括太阳能系统、供电线路、网络调试、设备布线、设备安装、参数调试等。</w:t>
      </w:r>
    </w:p>
    <w:p w14:paraId="10A03F50">
      <w:pPr>
        <w:keepNext w:val="0"/>
        <w:keepLines w:val="0"/>
        <w:pageBreakBefore w:val="0"/>
        <w:widowControl w:val="0"/>
        <w:spacing w:line="400" w:lineRule="exact"/>
        <w:ind w:firstLine="48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（4）围栏不少于2处，材料为方管围栏，尺寸为：长10m*宽3m*高1.5m，设标识牌。</w:t>
      </w:r>
    </w:p>
    <w:p w14:paraId="5950DB21">
      <w:pPr>
        <w:keepNext w:val="0"/>
        <w:keepLines w:val="0"/>
        <w:pageBreakBefore w:val="0"/>
        <w:widowControl w:val="0"/>
        <w:spacing w:line="400" w:lineRule="exact"/>
        <w:ind w:firstLine="48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（5）设备及配套设施的运输、保险等，包括监测设备主机等易损件的运输及保险，立杆、水泥、沙子或者标号混凝土的运输，挖机、吊机等机械等服务。</w:t>
      </w:r>
    </w:p>
    <w:p w14:paraId="25867795">
      <w:pPr>
        <w:keepNext w:val="0"/>
        <w:keepLines w:val="0"/>
        <w:pageBreakBefore w:val="0"/>
        <w:widowControl w:val="0"/>
        <w:spacing w:line="440" w:lineRule="exact"/>
        <w:ind w:right="0"/>
        <w:jc w:val="left"/>
        <w:rPr>
          <w:rFonts w:hint="eastAsia" w:ascii="宋体" w:hAnsi="宋体"/>
          <w:b/>
          <w:sz w:val="24"/>
          <w:highlight w:val="none"/>
          <w:lang w:val="en-US" w:eastAsia="zh-CN"/>
        </w:rPr>
      </w:pPr>
      <w:r>
        <w:rPr>
          <w:rFonts w:hint="eastAsia" w:ascii="宋体" w:hAnsi="宋体"/>
          <w:b/>
          <w:sz w:val="24"/>
          <w:highlight w:val="none"/>
          <w:lang w:val="en-US" w:eastAsia="zh-CN"/>
        </w:rPr>
        <w:t>第七条  建设要求</w:t>
      </w:r>
    </w:p>
    <w:p w14:paraId="6AFAEE00">
      <w:pPr>
        <w:keepNext w:val="0"/>
        <w:keepLines w:val="0"/>
        <w:pageBreakBefore w:val="0"/>
        <w:widowControl w:val="0"/>
        <w:spacing w:line="440" w:lineRule="exact"/>
        <w:ind w:firstLine="480"/>
        <w:jc w:val="lef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平台的建设须符合国家规范，满足采购需求。</w:t>
      </w:r>
      <w:r>
        <w:rPr>
          <w:rFonts w:ascii="宋体" w:hAnsi="宋体" w:eastAsia="宋体" w:cs="宋体"/>
          <w:sz w:val="24"/>
          <w:highlight w:val="none"/>
          <w:lang w:val="en-US" w:eastAsia="zh-CN"/>
        </w:rPr>
        <w:t>网络安全等级保护要求</w:t>
      </w:r>
      <w:r>
        <w:rPr>
          <w:rFonts w:hint="eastAsia" w:ascii="宋体" w:hAnsi="宋体" w:eastAsia="宋体" w:cs="宋体"/>
          <w:sz w:val="24"/>
          <w:highlight w:val="none"/>
          <w:lang w:val="en-US" w:eastAsia="zh-CN"/>
        </w:rPr>
        <w:t>达到《信息安全技术 网络安全等级保护基本要求》（GB/T 22239-2019）等国家最新标准规定的第三级安全要求。</w:t>
      </w:r>
      <w:r>
        <w:rPr>
          <w:rFonts w:ascii="宋体" w:hAnsi="宋体" w:eastAsia="宋体" w:cs="宋体"/>
          <w:sz w:val="24"/>
          <w:highlight w:val="none"/>
          <w:lang w:val="en-US" w:eastAsia="zh-CN"/>
        </w:rPr>
        <w:t>商用密码应用</w:t>
      </w:r>
      <w:r>
        <w:rPr>
          <w:rFonts w:hint="eastAsia" w:ascii="宋体" w:hAnsi="宋体" w:eastAsia="宋体" w:cs="宋体"/>
          <w:sz w:val="24"/>
          <w:highlight w:val="none"/>
          <w:lang w:val="en-US" w:eastAsia="zh-CN"/>
        </w:rPr>
        <w:t>须达到</w:t>
      </w:r>
      <w:r>
        <w:rPr>
          <w:rFonts w:ascii="宋体" w:hAnsi="宋体" w:eastAsia="宋体" w:cs="宋体"/>
          <w:sz w:val="24"/>
          <w:highlight w:val="none"/>
          <w:lang w:val="en-US" w:eastAsia="zh-CN"/>
        </w:rPr>
        <w:t>《信息安全技术 信息系统密码应用基本要求》（GB/T 39786-2021）</w:t>
      </w:r>
      <w:r>
        <w:rPr>
          <w:rFonts w:hint="eastAsia" w:ascii="宋体" w:hAnsi="宋体" w:eastAsia="宋体" w:cs="宋体"/>
          <w:sz w:val="24"/>
          <w:highlight w:val="none"/>
          <w:lang w:val="en-US" w:eastAsia="zh-CN"/>
        </w:rPr>
        <w:t>等国家最新标准规定的第三级要求</w:t>
      </w:r>
      <w:r>
        <w:rPr>
          <w:rFonts w:ascii="宋体" w:hAnsi="宋体" w:eastAsia="宋体" w:cs="宋体"/>
          <w:sz w:val="24"/>
          <w:highlight w:val="none"/>
          <w:lang w:val="en-US" w:eastAsia="zh-CN"/>
        </w:rPr>
        <w:t>。</w:t>
      </w:r>
    </w:p>
    <w:p w14:paraId="4C738C27">
      <w:pPr>
        <w:keepNext w:val="0"/>
        <w:keepLines w:val="0"/>
        <w:pageBreakBefore w:val="0"/>
        <w:widowControl w:val="0"/>
        <w:spacing w:line="440" w:lineRule="exact"/>
        <w:ind w:right="0"/>
        <w:jc w:val="left"/>
        <w:rPr>
          <w:rFonts w:hint="eastAsia"/>
          <w:b/>
          <w:bCs/>
          <w:color w:val="000000"/>
          <w:sz w:val="24"/>
          <w:highlight w:val="none"/>
        </w:rPr>
      </w:pPr>
      <w:r>
        <w:rPr>
          <w:rFonts w:hint="eastAsia" w:ascii="宋体" w:hAnsi="宋体"/>
          <w:b/>
          <w:sz w:val="24"/>
          <w:highlight w:val="none"/>
        </w:rPr>
        <w:t>第</w:t>
      </w:r>
      <w:r>
        <w:rPr>
          <w:rFonts w:hint="eastAsia" w:ascii="宋体" w:hAnsi="宋体"/>
          <w:b/>
          <w:sz w:val="24"/>
          <w:highlight w:val="none"/>
          <w:lang w:val="en-US" w:eastAsia="zh-CN"/>
        </w:rPr>
        <w:t>八</w:t>
      </w:r>
      <w:r>
        <w:rPr>
          <w:rFonts w:hint="eastAsia" w:ascii="宋体" w:hAnsi="宋体"/>
          <w:b/>
          <w:sz w:val="24"/>
          <w:highlight w:val="none"/>
        </w:rPr>
        <w:t xml:space="preserve">条  </w:t>
      </w:r>
      <w:r>
        <w:rPr>
          <w:rFonts w:hint="eastAsia"/>
          <w:b/>
          <w:bCs/>
          <w:color w:val="000000"/>
          <w:sz w:val="24"/>
          <w:highlight w:val="none"/>
        </w:rPr>
        <w:t>履约保证金</w:t>
      </w:r>
    </w:p>
    <w:p w14:paraId="1E972055">
      <w:pPr>
        <w:keepNext w:val="0"/>
        <w:keepLines w:val="0"/>
        <w:pageBreakBefore w:val="0"/>
        <w:widowControl w:val="0"/>
        <w:spacing w:line="440" w:lineRule="exact"/>
        <w:ind w:right="0" w:firstLine="482"/>
        <w:jc w:val="left"/>
        <w:rPr>
          <w:rFonts w:hint="eastAsia" w:ascii="宋体" w:hAnsi="宋体" w:eastAsia="宋体" w:cs="宋体"/>
          <w:b/>
          <w:bCs/>
          <w:sz w:val="24"/>
          <w:highlight w:val="none"/>
        </w:rPr>
      </w:pPr>
      <w:r>
        <w:rPr>
          <w:rFonts w:hint="eastAsia" w:ascii="宋体" w:hAnsi="宋体" w:eastAsia="宋体" w:cs="宋体"/>
          <w:b/>
          <w:bCs/>
          <w:sz w:val="24"/>
          <w:highlight w:val="none"/>
        </w:rPr>
        <w:t>1</w:t>
      </w:r>
      <w:r>
        <w:rPr>
          <w:rFonts w:hint="eastAsia" w:ascii="宋体" w:hAnsi="宋体" w:eastAsia="宋体" w:cs="宋体"/>
          <w:b/>
          <w:bCs/>
          <w:sz w:val="24"/>
          <w:highlight w:val="none"/>
          <w:lang w:val="en-US" w:eastAsia="zh-CN"/>
        </w:rPr>
        <w:t>.</w:t>
      </w:r>
      <w:r>
        <w:rPr>
          <w:rFonts w:hint="eastAsia" w:ascii="宋体" w:hAnsi="宋体" w:eastAsia="宋体" w:cs="宋体"/>
          <w:b/>
          <w:bCs/>
          <w:sz w:val="24"/>
          <w:highlight w:val="none"/>
        </w:rPr>
        <w:t>本项目履约保证金为成交价的1%。</w:t>
      </w:r>
    </w:p>
    <w:p w14:paraId="1369FCAB">
      <w:pPr>
        <w:keepNext w:val="0"/>
        <w:keepLines w:val="0"/>
        <w:pageBreakBefore w:val="0"/>
        <w:widowControl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提供的履约保证金可以是人民币形式（银行本票、汇票、支票、电汇），或银行保函、担保公司的保证担保或保险公司的保证保险等多种形式。</w:t>
      </w:r>
    </w:p>
    <w:p w14:paraId="2E1637D7">
      <w:pPr>
        <w:keepNext w:val="0"/>
        <w:keepLines w:val="0"/>
        <w:pageBreakBefore w:val="0"/>
        <w:widowControl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选取银行保函、担保公司的保证担保或保险公司的保证保险等</w:t>
      </w:r>
      <w:r>
        <w:rPr>
          <w:rFonts w:hint="eastAsia" w:ascii="宋体" w:hAnsi="宋体" w:eastAsia="宋体" w:cs="宋体"/>
          <w:sz w:val="24"/>
          <w:highlight w:val="none"/>
          <w:lang w:eastAsia="zh-CN"/>
        </w:rPr>
        <w:t>形式</w:t>
      </w:r>
      <w:r>
        <w:rPr>
          <w:rFonts w:hint="eastAsia" w:ascii="宋体" w:hAnsi="宋体" w:eastAsia="宋体" w:cs="宋体"/>
          <w:sz w:val="24"/>
          <w:highlight w:val="none"/>
        </w:rPr>
        <w:t>向采购人缴纳的，如保函（担保、保险等）的约定期到期但</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履约仍未结束的，</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须进行续保。</w:t>
      </w:r>
    </w:p>
    <w:p w14:paraId="30F0F2C5">
      <w:pPr>
        <w:keepNext w:val="0"/>
        <w:keepLines w:val="0"/>
        <w:pageBreakBefore w:val="0"/>
        <w:widowControl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4</w:t>
      </w:r>
      <w:r>
        <w:rPr>
          <w:rFonts w:hint="eastAsia" w:ascii="宋体" w:hAnsi="宋体" w:eastAsia="宋体" w:cs="宋体"/>
          <w:sz w:val="24"/>
          <w:highlight w:val="none"/>
          <w:lang w:val="en-US" w:eastAsia="zh-CN"/>
        </w:rPr>
        <w:t>.</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选取以履约保函（保险）形式向采购人缴纳的，按照《关于在全省政府采购领域推行电子履约保函（保险）的通知》（苏财购【2023】150号）、《关于在全市公共资源交易领域全面推广应用数字人民币的通知》</w:t>
      </w:r>
      <w:r>
        <w:rPr>
          <w:rFonts w:hint="eastAsia" w:ascii="宋体" w:hAnsi="宋体" w:eastAsia="宋体" w:cs="宋体"/>
          <w:sz w:val="24"/>
          <w:highlight w:val="none"/>
          <w:lang w:eastAsia="zh-CN"/>
        </w:rPr>
        <w:t>（</w:t>
      </w:r>
      <w:r>
        <w:rPr>
          <w:rFonts w:hint="eastAsia" w:ascii="宋体" w:hAnsi="宋体" w:eastAsia="宋体" w:cs="宋体"/>
          <w:sz w:val="24"/>
          <w:highlight w:val="none"/>
        </w:rPr>
        <w:t>淮协调办【2023】33号</w:t>
      </w:r>
      <w:r>
        <w:rPr>
          <w:rFonts w:hint="eastAsia" w:ascii="宋体" w:hAnsi="宋体" w:eastAsia="宋体" w:cs="宋体"/>
          <w:sz w:val="24"/>
          <w:highlight w:val="none"/>
          <w:lang w:eastAsia="zh-CN"/>
        </w:rPr>
        <w:t>）</w:t>
      </w:r>
      <w:r>
        <w:rPr>
          <w:rFonts w:hint="eastAsia" w:ascii="宋体" w:hAnsi="宋体" w:eastAsia="宋体" w:cs="宋体"/>
          <w:sz w:val="24"/>
          <w:highlight w:val="none"/>
        </w:rPr>
        <w:t>的要求，登录“政府采购电子履约保函（保险）平台”，选择第三方机构并提交保函（保险）申请，经审核通过后建议采用数字人民币形式支付相关费用。</w:t>
      </w:r>
    </w:p>
    <w:p w14:paraId="735D0514">
      <w:pPr>
        <w:keepNext w:val="0"/>
        <w:keepLines w:val="0"/>
        <w:pageBreakBefore w:val="0"/>
        <w:widowControl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5</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如</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未能履行合同规定的义务，采购人有权从履约保证金中取得补偿。</w:t>
      </w:r>
    </w:p>
    <w:p w14:paraId="616CFF2C">
      <w:pPr>
        <w:keepNext w:val="0"/>
        <w:keepLines w:val="0"/>
        <w:pageBreakBefore w:val="0"/>
        <w:widowControl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6</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履约保证金在合同约定期间内不予退还或者应完全有效</w:t>
      </w:r>
      <w:r>
        <w:rPr>
          <w:rFonts w:hint="eastAsia" w:ascii="宋体" w:hAnsi="宋体" w:eastAsia="宋体" w:cs="宋体"/>
          <w:sz w:val="24"/>
          <w:highlight w:val="none"/>
          <w:lang w:eastAsia="zh-CN"/>
        </w:rPr>
        <w:t>，在</w:t>
      </w:r>
      <w:r>
        <w:rPr>
          <w:rFonts w:hint="eastAsia" w:ascii="宋体" w:hAnsi="宋体" w:eastAsia="宋体" w:cs="宋体"/>
          <w:sz w:val="24"/>
          <w:highlight w:val="none"/>
        </w:rPr>
        <w:t>约定期间届满之日起5个工作日内，采购人应将履约保证金退还</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；逾期退还的，按中国人民银行同期贷款基准利率上浮20%后的利率支付逾期资金占用费，但因</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自身原因导致无法及时退还的除外。</w:t>
      </w:r>
    </w:p>
    <w:p w14:paraId="1585A3A3">
      <w:pPr>
        <w:keepNext w:val="0"/>
        <w:keepLines w:val="0"/>
        <w:pageBreakBefore w:val="0"/>
        <w:widowControl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7</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履约保证金在合同约定期间内不予退还或者应完全有效，履约保证金在项目验收合格后无息退还给</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w:t>
      </w:r>
    </w:p>
    <w:p w14:paraId="6571E1CC">
      <w:pPr>
        <w:keepNext w:val="0"/>
        <w:keepLines w:val="0"/>
        <w:pageBreakBefore w:val="0"/>
        <w:widowControl w:val="0"/>
        <w:spacing w:line="440" w:lineRule="exact"/>
        <w:ind w:right="0"/>
        <w:jc w:val="left"/>
        <w:rPr>
          <w:rFonts w:ascii="宋体" w:hAnsi="宋体"/>
          <w:b/>
          <w:sz w:val="24"/>
          <w:highlight w:val="none"/>
        </w:rPr>
      </w:pPr>
      <w:r>
        <w:rPr>
          <w:rFonts w:hint="eastAsia" w:ascii="宋体" w:hAnsi="宋体"/>
          <w:b/>
          <w:sz w:val="24"/>
          <w:highlight w:val="none"/>
        </w:rPr>
        <w:t>第</w:t>
      </w:r>
      <w:r>
        <w:rPr>
          <w:rFonts w:hint="eastAsia" w:ascii="宋体" w:hAnsi="宋体"/>
          <w:b/>
          <w:sz w:val="24"/>
          <w:highlight w:val="none"/>
          <w:lang w:val="en-US" w:eastAsia="zh-CN"/>
        </w:rPr>
        <w:t>九</w:t>
      </w:r>
      <w:r>
        <w:rPr>
          <w:rFonts w:hint="eastAsia" w:ascii="宋体" w:hAnsi="宋体"/>
          <w:b/>
          <w:sz w:val="24"/>
          <w:highlight w:val="none"/>
        </w:rPr>
        <w:t>条  采购人的权利义务</w:t>
      </w:r>
    </w:p>
    <w:p w14:paraId="36ADE697">
      <w:pPr>
        <w:keepNext w:val="0"/>
        <w:keepLines w:val="0"/>
        <w:pageBreakBefore w:val="0"/>
        <w:widowControl w:val="0"/>
        <w:spacing w:line="440" w:lineRule="exact"/>
        <w:ind w:right="0" w:firstLine="480"/>
        <w:jc w:val="left"/>
        <w:rPr>
          <w:rFonts w:hint="eastAsia" w:ascii="宋体" w:hAnsi="宋体"/>
          <w:bCs/>
          <w:sz w:val="24"/>
          <w:highlight w:val="none"/>
          <w:lang w:eastAsia="zh-CN"/>
        </w:rPr>
      </w:pPr>
      <w:r>
        <w:rPr>
          <w:rFonts w:hint="eastAsia" w:ascii="宋体" w:hAnsi="宋体"/>
          <w:bCs/>
          <w:sz w:val="24"/>
          <w:highlight w:val="none"/>
          <w:lang w:eastAsia="zh-CN"/>
        </w:rPr>
        <w:t>1.有权监督投标人的工作，听取投标人的工作汇报；</w:t>
      </w:r>
    </w:p>
    <w:p w14:paraId="13A16CBB">
      <w:pPr>
        <w:keepNext w:val="0"/>
        <w:keepLines w:val="0"/>
        <w:pageBreakBefore w:val="0"/>
        <w:widowControl w:val="0"/>
        <w:spacing w:line="440" w:lineRule="exact"/>
        <w:ind w:right="0" w:firstLine="480"/>
        <w:jc w:val="left"/>
        <w:rPr>
          <w:rFonts w:hint="eastAsia" w:ascii="宋体" w:hAnsi="宋体"/>
          <w:bCs/>
          <w:sz w:val="24"/>
          <w:highlight w:val="none"/>
          <w:lang w:eastAsia="zh-CN"/>
        </w:rPr>
      </w:pPr>
      <w:r>
        <w:rPr>
          <w:rFonts w:hint="eastAsia" w:ascii="宋体" w:hAnsi="宋体"/>
          <w:bCs/>
          <w:sz w:val="24"/>
          <w:highlight w:val="none"/>
          <w:lang w:eastAsia="zh-CN"/>
        </w:rPr>
        <w:t>2.合同签订后及时向投标人提交有关资料和提出技术要求。</w:t>
      </w:r>
    </w:p>
    <w:p w14:paraId="253283BF">
      <w:pPr>
        <w:keepNext w:val="0"/>
        <w:keepLines w:val="0"/>
        <w:pageBreakBefore w:val="0"/>
        <w:widowControl w:val="0"/>
        <w:spacing w:line="440" w:lineRule="exact"/>
        <w:ind w:right="0" w:firstLine="480"/>
        <w:jc w:val="left"/>
        <w:rPr>
          <w:rFonts w:hint="eastAsia" w:ascii="宋体" w:hAnsi="宋体"/>
          <w:bCs/>
          <w:sz w:val="24"/>
          <w:highlight w:val="none"/>
          <w:lang w:eastAsia="zh-CN"/>
        </w:rPr>
      </w:pPr>
      <w:r>
        <w:rPr>
          <w:rFonts w:hint="eastAsia" w:ascii="宋体" w:hAnsi="宋体"/>
          <w:bCs/>
          <w:sz w:val="24"/>
          <w:highlight w:val="none"/>
          <w:lang w:eastAsia="zh-CN"/>
        </w:rPr>
        <w:t>3.及时组织对投标人服务成果的审定工作。</w:t>
      </w:r>
    </w:p>
    <w:p w14:paraId="35879883">
      <w:pPr>
        <w:keepNext w:val="0"/>
        <w:keepLines w:val="0"/>
        <w:pageBreakBefore w:val="0"/>
        <w:widowControl w:val="0"/>
        <w:spacing w:line="440" w:lineRule="exact"/>
        <w:ind w:right="0" w:firstLine="480"/>
        <w:jc w:val="left"/>
        <w:rPr>
          <w:rFonts w:hint="eastAsia" w:ascii="宋体" w:hAnsi="宋体"/>
          <w:bCs/>
          <w:sz w:val="24"/>
          <w:highlight w:val="none"/>
          <w:lang w:eastAsia="zh-CN"/>
        </w:rPr>
      </w:pPr>
      <w:r>
        <w:rPr>
          <w:rFonts w:hint="eastAsia" w:ascii="宋体" w:hAnsi="宋体"/>
          <w:bCs/>
          <w:sz w:val="24"/>
          <w:highlight w:val="none"/>
          <w:lang w:eastAsia="zh-CN"/>
        </w:rPr>
        <w:t>4.按照合同条款前附表规定的期限和方式向投标人支付合同价款。</w:t>
      </w:r>
    </w:p>
    <w:p w14:paraId="51B94A5B">
      <w:pPr>
        <w:keepNext w:val="0"/>
        <w:keepLines w:val="0"/>
        <w:pageBreakBefore w:val="0"/>
        <w:widowControl w:val="0"/>
        <w:spacing w:line="440" w:lineRule="exact"/>
        <w:ind w:right="0"/>
        <w:jc w:val="left"/>
        <w:rPr>
          <w:rFonts w:ascii="宋体" w:hAnsi="宋体"/>
          <w:b/>
          <w:sz w:val="24"/>
          <w:highlight w:val="none"/>
        </w:rPr>
      </w:pPr>
      <w:r>
        <w:rPr>
          <w:rFonts w:hint="eastAsia" w:ascii="宋体" w:hAnsi="宋体"/>
          <w:b/>
          <w:sz w:val="24"/>
          <w:highlight w:val="none"/>
        </w:rPr>
        <w:t>第</w:t>
      </w:r>
      <w:r>
        <w:rPr>
          <w:rFonts w:hint="eastAsia" w:ascii="宋体" w:hAnsi="宋体"/>
          <w:b/>
          <w:sz w:val="24"/>
          <w:highlight w:val="none"/>
          <w:lang w:val="en-US" w:eastAsia="zh-CN"/>
        </w:rPr>
        <w:t>十</w:t>
      </w:r>
      <w:r>
        <w:rPr>
          <w:rFonts w:hint="eastAsia" w:ascii="宋体" w:hAnsi="宋体"/>
          <w:b/>
          <w:sz w:val="24"/>
          <w:highlight w:val="none"/>
        </w:rPr>
        <w:t xml:space="preserve">条  </w:t>
      </w:r>
      <w:r>
        <w:rPr>
          <w:rFonts w:hint="eastAsia" w:ascii="宋体" w:hAnsi="宋体"/>
          <w:b/>
          <w:sz w:val="24"/>
          <w:highlight w:val="none"/>
          <w:lang w:eastAsia="zh-CN"/>
        </w:rPr>
        <w:t>投标人</w:t>
      </w:r>
      <w:r>
        <w:rPr>
          <w:rFonts w:hint="eastAsia" w:ascii="宋体" w:hAnsi="宋体"/>
          <w:b/>
          <w:sz w:val="24"/>
          <w:highlight w:val="none"/>
        </w:rPr>
        <w:t>的权利和义务</w:t>
      </w:r>
    </w:p>
    <w:p w14:paraId="550A82C5">
      <w:pPr>
        <w:keepNext w:val="0"/>
        <w:keepLines w:val="0"/>
        <w:pageBreakBefore w:val="0"/>
        <w:widowControl w:val="0"/>
        <w:spacing w:line="440" w:lineRule="exact"/>
        <w:ind w:right="0" w:firstLine="480"/>
        <w:jc w:val="left"/>
        <w:rPr>
          <w:rFonts w:hint="eastAsia" w:ascii="宋体" w:hAnsi="宋体"/>
          <w:bCs/>
          <w:sz w:val="24"/>
          <w:highlight w:val="none"/>
        </w:rPr>
      </w:pPr>
      <w:r>
        <w:rPr>
          <w:rFonts w:hint="eastAsia" w:ascii="宋体" w:hAnsi="宋体"/>
          <w:bCs/>
          <w:sz w:val="24"/>
          <w:highlight w:val="none"/>
          <w:lang w:eastAsia="zh-CN"/>
        </w:rPr>
        <w:t>1.</w:t>
      </w:r>
      <w:r>
        <w:rPr>
          <w:rFonts w:hint="eastAsia" w:ascii="宋体" w:hAnsi="宋体"/>
          <w:bCs/>
          <w:sz w:val="24"/>
          <w:highlight w:val="none"/>
        </w:rPr>
        <w:t>按本合同工作计划开展工作，与采购人充分交流，进行实地调查、现场踏勘，并搜集整理相关资料。</w:t>
      </w:r>
    </w:p>
    <w:p w14:paraId="222360E7">
      <w:pPr>
        <w:keepNext w:val="0"/>
        <w:keepLines w:val="0"/>
        <w:pageBreakBefore w:val="0"/>
        <w:widowControl w:val="0"/>
        <w:spacing w:line="440" w:lineRule="exact"/>
        <w:ind w:right="0" w:firstLine="480"/>
        <w:jc w:val="left"/>
        <w:rPr>
          <w:rFonts w:hint="eastAsia" w:ascii="宋体" w:hAnsi="宋体"/>
          <w:bCs/>
          <w:sz w:val="24"/>
          <w:highlight w:val="none"/>
        </w:rPr>
      </w:pPr>
      <w:r>
        <w:rPr>
          <w:rFonts w:hint="eastAsia" w:ascii="宋体" w:hAnsi="宋体"/>
          <w:bCs/>
          <w:sz w:val="24"/>
          <w:highlight w:val="none"/>
          <w:lang w:eastAsia="zh-CN"/>
        </w:rPr>
        <w:t>2.</w:t>
      </w:r>
      <w:r>
        <w:rPr>
          <w:rFonts w:hint="eastAsia" w:ascii="宋体" w:hAnsi="宋体"/>
          <w:bCs/>
          <w:sz w:val="24"/>
          <w:highlight w:val="none"/>
        </w:rPr>
        <w:t>提供项目有关的技术咨询，允许采购人拥有使用中间成果的权利。</w:t>
      </w:r>
    </w:p>
    <w:p w14:paraId="35DC5645">
      <w:pPr>
        <w:keepNext w:val="0"/>
        <w:keepLines w:val="0"/>
        <w:pageBreakBefore w:val="0"/>
        <w:widowControl w:val="0"/>
        <w:spacing w:line="440" w:lineRule="exact"/>
        <w:ind w:right="0" w:firstLine="480"/>
        <w:jc w:val="left"/>
        <w:rPr>
          <w:rFonts w:hint="eastAsia" w:ascii="宋体" w:hAnsi="宋体"/>
          <w:bCs/>
          <w:sz w:val="24"/>
          <w:highlight w:val="none"/>
        </w:rPr>
      </w:pPr>
      <w:r>
        <w:rPr>
          <w:rFonts w:hint="eastAsia" w:ascii="宋体" w:hAnsi="宋体"/>
          <w:bCs/>
          <w:sz w:val="24"/>
          <w:highlight w:val="none"/>
          <w:lang w:eastAsia="zh-CN"/>
        </w:rPr>
        <w:t>3.投标人</w:t>
      </w:r>
      <w:r>
        <w:rPr>
          <w:rFonts w:hint="eastAsia" w:ascii="宋体" w:hAnsi="宋体"/>
          <w:bCs/>
          <w:sz w:val="24"/>
          <w:highlight w:val="none"/>
        </w:rPr>
        <w:t>确保安全开展工作，若发生安全事故由</w:t>
      </w:r>
      <w:r>
        <w:rPr>
          <w:rFonts w:hint="eastAsia" w:ascii="宋体" w:hAnsi="宋体"/>
          <w:bCs/>
          <w:sz w:val="24"/>
          <w:highlight w:val="none"/>
          <w:lang w:eastAsia="zh-CN"/>
        </w:rPr>
        <w:t>投标人</w:t>
      </w:r>
      <w:r>
        <w:rPr>
          <w:rFonts w:hint="eastAsia" w:ascii="宋体" w:hAnsi="宋体"/>
          <w:bCs/>
          <w:sz w:val="24"/>
          <w:highlight w:val="none"/>
        </w:rPr>
        <w:t>承担完全责任。并随时向采购人报告工作进展情况，发现问题应及时采取措施，保证工作顺利开展。</w:t>
      </w:r>
    </w:p>
    <w:p w14:paraId="50DF8DAE">
      <w:pPr>
        <w:keepNext w:val="0"/>
        <w:keepLines w:val="0"/>
        <w:pageBreakBefore w:val="0"/>
        <w:widowControl w:val="0"/>
        <w:spacing w:line="440" w:lineRule="exact"/>
        <w:ind w:right="0" w:firstLine="480"/>
        <w:jc w:val="left"/>
        <w:rPr>
          <w:rFonts w:hint="eastAsia" w:ascii="宋体" w:hAnsi="宋体"/>
          <w:bCs/>
          <w:sz w:val="24"/>
          <w:highlight w:val="none"/>
        </w:rPr>
      </w:pPr>
      <w:r>
        <w:rPr>
          <w:rFonts w:hint="eastAsia" w:ascii="宋体" w:hAnsi="宋体"/>
          <w:bCs/>
          <w:sz w:val="24"/>
          <w:highlight w:val="none"/>
          <w:lang w:eastAsia="zh-CN"/>
        </w:rPr>
        <w:t>4.</w:t>
      </w:r>
      <w:r>
        <w:rPr>
          <w:rFonts w:hint="eastAsia" w:ascii="宋体" w:hAnsi="宋体"/>
          <w:bCs/>
          <w:sz w:val="24"/>
          <w:highlight w:val="none"/>
        </w:rPr>
        <w:t>按合同进度完成工作，提交相应服务成果。</w:t>
      </w:r>
    </w:p>
    <w:p w14:paraId="231EA914">
      <w:pPr>
        <w:keepNext w:val="0"/>
        <w:keepLines w:val="0"/>
        <w:pageBreakBefore w:val="0"/>
        <w:widowControl w:val="0"/>
        <w:spacing w:line="440" w:lineRule="exact"/>
        <w:ind w:right="0" w:firstLine="480"/>
        <w:jc w:val="left"/>
        <w:rPr>
          <w:rFonts w:hint="eastAsia" w:ascii="宋体" w:hAnsi="宋体"/>
          <w:bCs/>
          <w:sz w:val="24"/>
          <w:highlight w:val="none"/>
        </w:rPr>
      </w:pPr>
      <w:r>
        <w:rPr>
          <w:rFonts w:hint="eastAsia" w:ascii="宋体" w:hAnsi="宋体"/>
          <w:bCs/>
          <w:sz w:val="24"/>
          <w:highlight w:val="none"/>
          <w:lang w:eastAsia="zh-CN"/>
        </w:rPr>
        <w:t>5.</w:t>
      </w:r>
      <w:r>
        <w:rPr>
          <w:rFonts w:hint="eastAsia" w:ascii="宋体" w:hAnsi="宋体"/>
          <w:bCs/>
          <w:sz w:val="24"/>
          <w:highlight w:val="none"/>
        </w:rPr>
        <w:t>按采购人规定时间，完成</w:t>
      </w:r>
      <w:r>
        <w:rPr>
          <w:rFonts w:hint="eastAsia" w:ascii="宋体" w:hAnsi="宋体"/>
          <w:bCs/>
          <w:sz w:val="24"/>
          <w:highlight w:val="none"/>
          <w:lang w:val="en-US" w:eastAsia="zh-CN"/>
        </w:rPr>
        <w:t>所有</w:t>
      </w:r>
      <w:r>
        <w:rPr>
          <w:rFonts w:hint="eastAsia" w:ascii="宋体" w:hAnsi="宋体"/>
          <w:bCs/>
          <w:sz w:val="24"/>
          <w:highlight w:val="none"/>
        </w:rPr>
        <w:t>服务成果并交采购人审定</w:t>
      </w:r>
      <w:r>
        <w:rPr>
          <w:rFonts w:hint="eastAsia" w:ascii="宋体" w:hAnsi="宋体"/>
          <w:bCs/>
          <w:sz w:val="24"/>
          <w:highlight w:val="none"/>
          <w:lang w:val="en-US" w:eastAsia="zh-CN"/>
        </w:rPr>
        <w:t>并使用</w:t>
      </w:r>
      <w:r>
        <w:rPr>
          <w:rFonts w:hint="eastAsia" w:ascii="宋体" w:hAnsi="宋体"/>
          <w:bCs/>
          <w:sz w:val="24"/>
          <w:highlight w:val="none"/>
        </w:rPr>
        <w:t>。</w:t>
      </w:r>
    </w:p>
    <w:p w14:paraId="15EA005D">
      <w:pPr>
        <w:keepNext w:val="0"/>
        <w:keepLines w:val="0"/>
        <w:pageBreakBefore w:val="0"/>
        <w:widowControl w:val="0"/>
        <w:spacing w:line="440" w:lineRule="exact"/>
        <w:ind w:right="0"/>
        <w:jc w:val="left"/>
        <w:rPr>
          <w:rFonts w:ascii="宋体" w:hAnsi="宋体" w:eastAsia="宋体"/>
          <w:b/>
          <w:sz w:val="24"/>
          <w:highlight w:val="none"/>
          <w:lang w:val="en-US" w:eastAsia="zh-CN"/>
        </w:rPr>
      </w:pPr>
      <w:r>
        <w:rPr>
          <w:rFonts w:hint="eastAsia" w:ascii="宋体" w:hAnsi="宋体"/>
          <w:b/>
          <w:sz w:val="24"/>
          <w:highlight w:val="none"/>
        </w:rPr>
        <w:t>第</w:t>
      </w:r>
      <w:r>
        <w:rPr>
          <w:rFonts w:hint="eastAsia" w:ascii="宋体" w:hAnsi="宋体"/>
          <w:b/>
          <w:sz w:val="24"/>
          <w:highlight w:val="none"/>
          <w:lang w:val="en-US" w:eastAsia="zh-CN"/>
        </w:rPr>
        <w:t>十一</w:t>
      </w:r>
      <w:r>
        <w:rPr>
          <w:rFonts w:hint="eastAsia" w:ascii="宋体" w:hAnsi="宋体"/>
          <w:b/>
          <w:sz w:val="24"/>
          <w:highlight w:val="none"/>
        </w:rPr>
        <w:t xml:space="preserve">条  </w:t>
      </w:r>
      <w:r>
        <w:rPr>
          <w:rFonts w:hint="eastAsia" w:ascii="宋体" w:hAnsi="宋体"/>
          <w:b/>
          <w:sz w:val="24"/>
          <w:highlight w:val="none"/>
          <w:lang w:val="en-US" w:eastAsia="zh-CN"/>
        </w:rPr>
        <w:t>成果验收</w:t>
      </w:r>
    </w:p>
    <w:p w14:paraId="6EADF8F9">
      <w:pPr>
        <w:keepNext w:val="0"/>
        <w:keepLines w:val="0"/>
        <w:pageBreakBefore w:val="0"/>
        <w:widowControl w:val="0"/>
        <w:numPr>
          <w:ilvl w:val="0"/>
          <w:numId w:val="0"/>
        </w:numPr>
        <w:spacing w:line="440" w:lineRule="exact"/>
        <w:ind w:right="0" w:firstLine="48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按照国家、行业的相关要求及规定进行验收</w:t>
      </w:r>
      <w:r>
        <w:rPr>
          <w:rFonts w:hint="eastAsia" w:ascii="宋体" w:hAnsi="宋体" w:eastAsia="宋体" w:cs="宋体"/>
          <w:bCs/>
          <w:color w:val="000000"/>
          <w:sz w:val="24"/>
          <w:highlight w:val="none"/>
          <w:lang w:eastAsia="zh-CN"/>
        </w:rPr>
        <w:t>。</w:t>
      </w:r>
    </w:p>
    <w:p w14:paraId="1094A335">
      <w:pPr>
        <w:keepNext w:val="0"/>
        <w:keepLines w:val="0"/>
        <w:pageBreakBefore w:val="0"/>
        <w:widowControl w:val="0"/>
        <w:numPr>
          <w:ilvl w:val="0"/>
          <w:numId w:val="0"/>
        </w:numPr>
        <w:spacing w:line="440" w:lineRule="exact"/>
        <w:ind w:right="0"/>
        <w:jc w:val="left"/>
        <w:rPr>
          <w:rFonts w:ascii="宋体" w:hAnsi="宋体"/>
          <w:b/>
          <w:bCs w:val="0"/>
          <w:sz w:val="24"/>
          <w:highlight w:val="none"/>
          <w:lang w:val="en-US" w:eastAsia="zh-CN"/>
        </w:rPr>
      </w:pPr>
      <w:r>
        <w:rPr>
          <w:rFonts w:hint="eastAsia" w:ascii="宋体" w:hAnsi="宋体"/>
          <w:b/>
          <w:bCs w:val="0"/>
          <w:sz w:val="24"/>
          <w:highlight w:val="none"/>
          <w:lang w:val="en-US" w:eastAsia="zh-CN"/>
        </w:rPr>
        <w:t>第十二条  对投标人服务成果的所有权、使用权归属的约定</w:t>
      </w:r>
    </w:p>
    <w:p w14:paraId="12356F50">
      <w:pPr>
        <w:keepNext w:val="0"/>
        <w:keepLines w:val="0"/>
        <w:pageBreakBefore w:val="0"/>
        <w:widowControl w:val="0"/>
        <w:numPr>
          <w:ilvl w:val="0"/>
          <w:numId w:val="0"/>
        </w:numPr>
        <w:spacing w:line="440" w:lineRule="exact"/>
        <w:ind w:right="0" w:firstLine="480"/>
        <w:jc w:val="left"/>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所有服务所得成果的所有权、使用权均归采购人拥有。投标人保证在履行合同过程中不侵犯采购人及第三方的知识产权。投标人在项目实施过程中，因侵犯他人的专利权或其他知识产权所引起的责任，由投标人承担；投标人在项目验收、成果资料提交后移交并归还本次服务所得各种数据成果及全部原始资料。</w:t>
      </w:r>
    </w:p>
    <w:p w14:paraId="6E48DF08">
      <w:pPr>
        <w:keepNext w:val="0"/>
        <w:keepLines w:val="0"/>
        <w:pageBreakBefore w:val="0"/>
        <w:widowControl w:val="0"/>
        <w:spacing w:line="480" w:lineRule="exact"/>
        <w:ind w:right="0"/>
        <w:jc w:val="left"/>
        <w:rPr>
          <w:rFonts w:ascii="宋体" w:hAnsi="宋体"/>
          <w:b/>
          <w:sz w:val="24"/>
        </w:rPr>
      </w:pPr>
      <w:r>
        <w:rPr>
          <w:rFonts w:hint="eastAsia" w:ascii="宋体" w:hAnsi="宋体"/>
          <w:b/>
          <w:sz w:val="24"/>
        </w:rPr>
        <w:t>第十</w:t>
      </w:r>
      <w:r>
        <w:rPr>
          <w:rFonts w:hint="eastAsia" w:ascii="宋体" w:hAnsi="宋体"/>
          <w:b/>
          <w:sz w:val="24"/>
          <w:lang w:val="en-US" w:eastAsia="zh-CN"/>
        </w:rPr>
        <w:t>三</w:t>
      </w:r>
      <w:r>
        <w:rPr>
          <w:rFonts w:hint="eastAsia" w:ascii="宋体" w:hAnsi="宋体"/>
          <w:b/>
          <w:sz w:val="24"/>
        </w:rPr>
        <w:t>条  采购人违约责任</w:t>
      </w:r>
    </w:p>
    <w:p w14:paraId="1FBC6869">
      <w:pPr>
        <w:keepNext w:val="0"/>
        <w:keepLines w:val="0"/>
        <w:pageBreakBefore w:val="0"/>
        <w:widowControl w:val="0"/>
        <w:spacing w:line="480" w:lineRule="exact"/>
        <w:ind w:right="0" w:firstLine="480"/>
        <w:jc w:val="left"/>
        <w:rPr>
          <w:rFonts w:ascii="宋体" w:hAnsi="宋体"/>
          <w:bCs/>
          <w:sz w:val="24"/>
        </w:rPr>
      </w:pPr>
      <w:r>
        <w:rPr>
          <w:rFonts w:hint="eastAsia" w:ascii="宋体" w:hAnsi="宋体"/>
          <w:bCs/>
          <w:sz w:val="24"/>
          <w:lang w:eastAsia="zh-CN"/>
        </w:rPr>
        <w:t>1.</w:t>
      </w:r>
      <w:r>
        <w:rPr>
          <w:rFonts w:hint="eastAsia" w:ascii="宋体" w:hAnsi="宋体"/>
          <w:bCs/>
          <w:sz w:val="24"/>
        </w:rPr>
        <w:t>合同签订后，采购人中途停止或解除合同，采购人按</w:t>
      </w:r>
      <w:r>
        <w:rPr>
          <w:rFonts w:hint="eastAsia" w:ascii="宋体" w:hAnsi="宋体"/>
          <w:bCs/>
          <w:sz w:val="24"/>
          <w:lang w:eastAsia="zh-CN"/>
        </w:rPr>
        <w:t>投标人</w:t>
      </w:r>
      <w:r>
        <w:rPr>
          <w:rFonts w:hint="eastAsia" w:ascii="宋体" w:hAnsi="宋体"/>
          <w:bCs/>
          <w:sz w:val="24"/>
        </w:rPr>
        <w:t>完成的工作量的价款双倍赔偿</w:t>
      </w:r>
      <w:r>
        <w:rPr>
          <w:rFonts w:hint="eastAsia" w:ascii="宋体" w:hAnsi="宋体"/>
          <w:bCs/>
          <w:sz w:val="24"/>
          <w:lang w:eastAsia="zh-CN"/>
        </w:rPr>
        <w:t>投标人</w:t>
      </w:r>
      <w:r>
        <w:rPr>
          <w:rFonts w:hint="eastAsia" w:ascii="宋体" w:hAnsi="宋体"/>
          <w:bCs/>
          <w:sz w:val="24"/>
        </w:rPr>
        <w:t>损失。</w:t>
      </w:r>
    </w:p>
    <w:p w14:paraId="17CB32E0">
      <w:pPr>
        <w:keepNext w:val="0"/>
        <w:keepLines w:val="0"/>
        <w:pageBreakBefore w:val="0"/>
        <w:widowControl w:val="0"/>
        <w:spacing w:line="480" w:lineRule="exact"/>
        <w:ind w:right="0" w:firstLine="480"/>
        <w:jc w:val="left"/>
        <w:rPr>
          <w:rFonts w:hint="eastAsia" w:ascii="宋体" w:hAnsi="宋体" w:eastAsia="宋体" w:cs="Times New Roman"/>
          <w:bCs/>
          <w:sz w:val="24"/>
        </w:rPr>
      </w:pPr>
      <w:r>
        <w:rPr>
          <w:rFonts w:hint="eastAsia" w:ascii="宋体" w:hAnsi="宋体" w:eastAsia="宋体" w:cs="Times New Roman"/>
          <w:bCs/>
          <w:sz w:val="24"/>
          <w:lang w:eastAsia="zh-CN"/>
        </w:rPr>
        <w:t>2.</w:t>
      </w:r>
      <w:r>
        <w:rPr>
          <w:rFonts w:hint="eastAsia" w:ascii="宋体" w:hAnsi="宋体" w:eastAsia="宋体" w:cs="Times New Roman"/>
          <w:bCs/>
          <w:sz w:val="24"/>
        </w:rPr>
        <w:t>采购人未给</w:t>
      </w:r>
      <w:r>
        <w:rPr>
          <w:rFonts w:hint="eastAsia" w:ascii="宋体" w:hAnsi="宋体" w:eastAsia="宋体" w:cs="Times New Roman"/>
          <w:bCs/>
          <w:sz w:val="24"/>
          <w:lang w:eastAsia="zh-CN"/>
        </w:rPr>
        <w:t>投标人</w:t>
      </w:r>
      <w:r>
        <w:rPr>
          <w:rFonts w:hint="eastAsia" w:ascii="宋体" w:hAnsi="宋体" w:eastAsia="宋体" w:cs="Times New Roman"/>
          <w:bCs/>
          <w:sz w:val="24"/>
        </w:rPr>
        <w:t>提供必要的工作条件而造成停窝工时，采购人应顺延工期。</w:t>
      </w:r>
    </w:p>
    <w:p w14:paraId="47BD41C6">
      <w:pPr>
        <w:keepNext w:val="0"/>
        <w:keepLines w:val="0"/>
        <w:pageBreakBefore w:val="0"/>
        <w:widowControl w:val="0"/>
        <w:spacing w:line="480" w:lineRule="exact"/>
        <w:ind w:right="0"/>
        <w:jc w:val="left"/>
        <w:rPr>
          <w:rFonts w:ascii="宋体" w:hAnsi="宋体"/>
          <w:b/>
          <w:sz w:val="24"/>
        </w:rPr>
      </w:pPr>
      <w:r>
        <w:rPr>
          <w:rFonts w:hint="eastAsia" w:ascii="宋体" w:hAnsi="宋体"/>
          <w:b/>
          <w:sz w:val="24"/>
        </w:rPr>
        <w:t>第十</w:t>
      </w:r>
      <w:r>
        <w:rPr>
          <w:rFonts w:hint="eastAsia" w:ascii="宋体" w:hAnsi="宋体"/>
          <w:b/>
          <w:sz w:val="24"/>
          <w:lang w:val="en-US" w:eastAsia="zh-CN"/>
        </w:rPr>
        <w:t>四</w:t>
      </w:r>
      <w:r>
        <w:rPr>
          <w:rFonts w:hint="eastAsia" w:ascii="宋体" w:hAnsi="宋体"/>
          <w:b/>
          <w:sz w:val="24"/>
        </w:rPr>
        <w:t xml:space="preserve">条  </w:t>
      </w:r>
      <w:r>
        <w:rPr>
          <w:rFonts w:hint="eastAsia" w:ascii="宋体" w:hAnsi="宋体"/>
          <w:b/>
          <w:sz w:val="24"/>
          <w:lang w:eastAsia="zh-CN"/>
        </w:rPr>
        <w:t>投标人</w:t>
      </w:r>
      <w:r>
        <w:rPr>
          <w:rFonts w:hint="eastAsia" w:ascii="宋体" w:hAnsi="宋体"/>
          <w:b/>
          <w:sz w:val="24"/>
        </w:rPr>
        <w:t>违约责任</w:t>
      </w:r>
    </w:p>
    <w:p w14:paraId="1BB93DFB">
      <w:pPr>
        <w:keepNext w:val="0"/>
        <w:keepLines w:val="0"/>
        <w:pageBreakBefore w:val="0"/>
        <w:widowControl w:val="0"/>
        <w:spacing w:line="480" w:lineRule="exact"/>
        <w:ind w:right="0" w:firstLine="480"/>
        <w:jc w:val="left"/>
        <w:rPr>
          <w:rFonts w:hint="eastAsia" w:ascii="宋体" w:hAnsi="宋体"/>
          <w:bCs/>
          <w:sz w:val="24"/>
        </w:rPr>
      </w:pPr>
      <w:r>
        <w:rPr>
          <w:rFonts w:hint="eastAsia" w:ascii="宋体" w:hAnsi="宋体"/>
          <w:bCs/>
          <w:sz w:val="24"/>
          <w:lang w:eastAsia="zh-CN"/>
        </w:rPr>
        <w:t>1.投标人</w:t>
      </w:r>
      <w:r>
        <w:rPr>
          <w:rFonts w:hint="eastAsia" w:ascii="宋体" w:hAnsi="宋体"/>
          <w:bCs/>
          <w:sz w:val="24"/>
        </w:rPr>
        <w:t>提供的材料必须真实有效，项目组人员必须和提供证书的人员一致，如有违约向采购人支付合同总额</w:t>
      </w:r>
      <w:r>
        <w:rPr>
          <w:rFonts w:hint="eastAsia" w:ascii="宋体" w:hAnsi="宋体"/>
          <w:bCs/>
          <w:sz w:val="24"/>
          <w:lang w:val="en-US" w:eastAsia="zh-CN"/>
        </w:rPr>
        <w:t>3</w:t>
      </w:r>
      <w:r>
        <w:rPr>
          <w:rFonts w:hint="eastAsia" w:ascii="宋体" w:hAnsi="宋体"/>
          <w:bCs/>
          <w:sz w:val="24"/>
        </w:rPr>
        <w:t>0%的违约金，采购人有权终止合同。</w:t>
      </w:r>
    </w:p>
    <w:p w14:paraId="37D59F4E">
      <w:pPr>
        <w:pStyle w:val="201"/>
        <w:keepNext w:val="0"/>
        <w:keepLines w:val="0"/>
        <w:pageBreakBefore w:val="0"/>
        <w:widowControl w:val="0"/>
        <w:spacing w:line="480" w:lineRule="exact"/>
        <w:ind w:right="0" w:firstLine="480"/>
        <w:jc w:val="left"/>
        <w:rPr>
          <w:rFonts w:ascii="宋体" w:hAnsi="宋体"/>
          <w:bCs/>
          <w:sz w:val="24"/>
          <w:szCs w:val="24"/>
        </w:rPr>
      </w:pPr>
      <w:r>
        <w:rPr>
          <w:rFonts w:hint="eastAsia" w:ascii="宋体" w:hAnsi="宋体"/>
          <w:bCs/>
          <w:sz w:val="24"/>
          <w:szCs w:val="24"/>
        </w:rPr>
        <w:t>2.合同生效后，如</w:t>
      </w:r>
      <w:r>
        <w:rPr>
          <w:rFonts w:hint="eastAsia" w:ascii="宋体" w:hAnsi="宋体"/>
          <w:bCs/>
          <w:sz w:val="24"/>
          <w:szCs w:val="24"/>
          <w:lang w:eastAsia="zh-CN"/>
        </w:rPr>
        <w:t>投标人</w:t>
      </w:r>
      <w:r>
        <w:rPr>
          <w:rFonts w:hint="eastAsia" w:ascii="宋体" w:hAnsi="宋体"/>
          <w:bCs/>
          <w:sz w:val="24"/>
          <w:szCs w:val="24"/>
        </w:rPr>
        <w:t>擅自中途停止或解除合同，</w:t>
      </w:r>
      <w:r>
        <w:rPr>
          <w:rFonts w:hint="eastAsia" w:ascii="宋体" w:hAnsi="宋体"/>
          <w:bCs/>
          <w:sz w:val="24"/>
          <w:szCs w:val="24"/>
          <w:lang w:eastAsia="zh-CN"/>
        </w:rPr>
        <w:t>投标人</w:t>
      </w:r>
      <w:r>
        <w:rPr>
          <w:rFonts w:hint="eastAsia" w:ascii="宋体" w:hAnsi="宋体"/>
          <w:bCs/>
          <w:sz w:val="24"/>
          <w:szCs w:val="24"/>
        </w:rPr>
        <w:t>按未完成工作量的价款双倍赔偿采购人损失。</w:t>
      </w:r>
    </w:p>
    <w:p w14:paraId="3340204A">
      <w:pPr>
        <w:keepNext w:val="0"/>
        <w:keepLines w:val="0"/>
        <w:pageBreakBefore w:val="0"/>
        <w:widowControl w:val="0"/>
        <w:spacing w:line="480" w:lineRule="exact"/>
        <w:ind w:right="0" w:firstLine="480"/>
        <w:jc w:val="left"/>
        <w:rPr>
          <w:rFonts w:ascii="宋体" w:hAnsi="宋体"/>
          <w:bCs/>
          <w:sz w:val="24"/>
        </w:rPr>
      </w:pPr>
      <w:r>
        <w:rPr>
          <w:rFonts w:hint="eastAsia" w:ascii="宋体" w:hAnsi="宋体"/>
          <w:bCs/>
          <w:sz w:val="24"/>
          <w:lang w:eastAsia="zh-CN"/>
        </w:rPr>
        <w:t>3.投标人</w:t>
      </w:r>
      <w:r>
        <w:rPr>
          <w:rFonts w:hint="eastAsia" w:ascii="宋体" w:hAnsi="宋体"/>
          <w:bCs/>
          <w:sz w:val="24"/>
        </w:rPr>
        <w:t>未能按采购人要求的日期提交服务成果时，每逾期1天，须向采购人支付项目结算总价0.1%的违约金。</w:t>
      </w:r>
    </w:p>
    <w:p w14:paraId="701333EF">
      <w:pPr>
        <w:keepNext w:val="0"/>
        <w:keepLines w:val="0"/>
        <w:pageBreakBefore w:val="0"/>
        <w:widowControl w:val="0"/>
        <w:spacing w:line="480" w:lineRule="exact"/>
        <w:ind w:right="0" w:firstLine="480"/>
        <w:jc w:val="left"/>
        <w:rPr>
          <w:rFonts w:ascii="宋体" w:hAnsi="宋体"/>
          <w:bCs/>
          <w:sz w:val="24"/>
        </w:rPr>
      </w:pPr>
      <w:r>
        <w:rPr>
          <w:rFonts w:hint="eastAsia" w:ascii="宋体" w:hAnsi="宋体"/>
          <w:bCs/>
          <w:sz w:val="24"/>
          <w:lang w:eastAsia="zh-CN"/>
        </w:rPr>
        <w:t>4.投标人</w:t>
      </w:r>
      <w:r>
        <w:rPr>
          <w:rFonts w:hint="eastAsia" w:ascii="宋体" w:hAnsi="宋体"/>
          <w:bCs/>
          <w:sz w:val="24"/>
        </w:rPr>
        <w:t>提供达到质量要求的服务成果。因服务成果质量不符合合同约定的要求造成后果时，</w:t>
      </w:r>
      <w:r>
        <w:rPr>
          <w:rFonts w:hint="eastAsia" w:ascii="宋体" w:hAnsi="宋体"/>
          <w:bCs/>
          <w:sz w:val="24"/>
          <w:lang w:eastAsia="zh-CN"/>
        </w:rPr>
        <w:t>投标人</w:t>
      </w:r>
      <w:r>
        <w:rPr>
          <w:rFonts w:hint="eastAsia" w:ascii="宋体" w:hAnsi="宋体"/>
          <w:bCs/>
          <w:sz w:val="24"/>
        </w:rPr>
        <w:t>应对因此造成的直接损失负赔偿责任，并承担相应的法律责任。</w:t>
      </w:r>
    </w:p>
    <w:p w14:paraId="4E4ECAC5">
      <w:pPr>
        <w:keepNext w:val="0"/>
        <w:keepLines w:val="0"/>
        <w:pageBreakBefore w:val="0"/>
        <w:widowControl w:val="0"/>
        <w:spacing w:line="480" w:lineRule="exact"/>
        <w:ind w:right="0" w:firstLine="480"/>
        <w:jc w:val="left"/>
        <w:rPr>
          <w:rFonts w:ascii="宋体" w:hAnsi="宋体"/>
          <w:bCs/>
          <w:sz w:val="24"/>
        </w:rPr>
      </w:pPr>
      <w:r>
        <w:rPr>
          <w:rFonts w:hint="eastAsia" w:ascii="宋体" w:hAnsi="宋体"/>
          <w:bCs/>
          <w:sz w:val="24"/>
          <w:lang w:eastAsia="zh-CN"/>
        </w:rPr>
        <w:t>5.</w:t>
      </w:r>
      <w:r>
        <w:rPr>
          <w:rFonts w:hint="eastAsia" w:ascii="宋体" w:hAnsi="宋体"/>
          <w:bCs/>
          <w:sz w:val="24"/>
        </w:rPr>
        <w:t>对于采购人提供的图纸和技术资料以及属于采购人的服务成果，</w:t>
      </w:r>
      <w:r>
        <w:rPr>
          <w:rFonts w:hint="eastAsia" w:ascii="宋体" w:hAnsi="宋体"/>
          <w:bCs/>
          <w:sz w:val="24"/>
          <w:lang w:eastAsia="zh-CN"/>
        </w:rPr>
        <w:t>投标人</w:t>
      </w:r>
      <w:r>
        <w:rPr>
          <w:rFonts w:hint="eastAsia" w:ascii="宋体" w:hAnsi="宋体"/>
          <w:bCs/>
          <w:sz w:val="24"/>
        </w:rPr>
        <w:t>有义务保密，不得向第三方转让，否则，采购人有权对因此造成的损失追究责任。</w:t>
      </w:r>
    </w:p>
    <w:p w14:paraId="50A10BC7">
      <w:pPr>
        <w:keepNext w:val="0"/>
        <w:keepLines w:val="0"/>
        <w:pageBreakBefore w:val="0"/>
        <w:widowControl w:val="0"/>
        <w:spacing w:line="480" w:lineRule="exact"/>
        <w:ind w:right="0"/>
        <w:jc w:val="left"/>
        <w:rPr>
          <w:rFonts w:hint="eastAsia" w:ascii="宋体" w:hAnsi="宋体"/>
          <w:bCs/>
          <w:sz w:val="24"/>
        </w:rPr>
      </w:pPr>
      <w:r>
        <w:rPr>
          <w:rFonts w:hint="eastAsia" w:ascii="宋体" w:hAnsi="宋体"/>
          <w:b/>
          <w:sz w:val="24"/>
        </w:rPr>
        <w:t>第十</w:t>
      </w:r>
      <w:r>
        <w:rPr>
          <w:rFonts w:hint="eastAsia" w:ascii="宋体" w:hAnsi="宋体"/>
          <w:b/>
          <w:sz w:val="24"/>
          <w:lang w:val="en-US" w:eastAsia="zh-CN"/>
        </w:rPr>
        <w:t>五</w:t>
      </w:r>
      <w:r>
        <w:rPr>
          <w:rFonts w:hint="eastAsia" w:ascii="宋体" w:hAnsi="宋体"/>
          <w:b/>
          <w:sz w:val="24"/>
        </w:rPr>
        <w:t>条</w:t>
      </w:r>
      <w:r>
        <w:rPr>
          <w:rFonts w:hint="eastAsia" w:ascii="宋体" w:hAnsi="宋体"/>
          <w:bCs/>
          <w:sz w:val="24"/>
        </w:rPr>
        <w:t xml:space="preserve">  </w:t>
      </w:r>
      <w:r>
        <w:rPr>
          <w:rFonts w:hint="eastAsia" w:ascii="宋体" w:hAnsi="宋体"/>
          <w:b/>
          <w:sz w:val="24"/>
        </w:rPr>
        <w:t>合同纠纷处理</w:t>
      </w:r>
    </w:p>
    <w:p w14:paraId="0B0B0EE2">
      <w:pPr>
        <w:keepNext w:val="0"/>
        <w:keepLines w:val="0"/>
        <w:pageBreakBefore w:val="0"/>
        <w:widowControl w:val="0"/>
        <w:spacing w:line="480" w:lineRule="exact"/>
        <w:ind w:right="0" w:firstLine="480"/>
        <w:jc w:val="left"/>
        <w:rPr>
          <w:rFonts w:ascii="宋体" w:hAnsi="宋体"/>
          <w:bCs/>
          <w:sz w:val="24"/>
        </w:rPr>
      </w:pPr>
      <w:r>
        <w:rPr>
          <w:rFonts w:hint="eastAsia" w:ascii="宋体" w:hAnsi="宋体"/>
          <w:bCs/>
          <w:sz w:val="24"/>
        </w:rPr>
        <w:t>因合同执行过程中双方发生纠纷时，可由双方协商解决，若达不成协议，双方同意就本合同产生的纠纷向项目所在地仲裁委员会申请仲裁。</w:t>
      </w:r>
    </w:p>
    <w:p w14:paraId="2D014D97">
      <w:pPr>
        <w:keepNext w:val="0"/>
        <w:keepLines w:val="0"/>
        <w:pageBreakBefore w:val="0"/>
        <w:widowControl w:val="0"/>
        <w:spacing w:line="480" w:lineRule="exact"/>
        <w:ind w:right="0"/>
        <w:jc w:val="left"/>
        <w:rPr>
          <w:rFonts w:ascii="宋体" w:hAnsi="宋体"/>
          <w:b/>
          <w:sz w:val="24"/>
        </w:rPr>
      </w:pPr>
      <w:r>
        <w:rPr>
          <w:rFonts w:hint="eastAsia" w:ascii="宋体" w:hAnsi="宋体"/>
          <w:b/>
          <w:sz w:val="24"/>
        </w:rPr>
        <w:t>第十</w:t>
      </w:r>
      <w:r>
        <w:rPr>
          <w:rFonts w:hint="eastAsia" w:ascii="宋体" w:hAnsi="宋体"/>
          <w:b/>
          <w:sz w:val="24"/>
          <w:lang w:val="en-US" w:eastAsia="zh-CN"/>
        </w:rPr>
        <w:t>六</w:t>
      </w:r>
      <w:r>
        <w:rPr>
          <w:rFonts w:hint="eastAsia" w:ascii="宋体" w:hAnsi="宋体"/>
          <w:b/>
          <w:sz w:val="24"/>
        </w:rPr>
        <w:t>条  附则</w:t>
      </w:r>
    </w:p>
    <w:p w14:paraId="50993F61">
      <w:pPr>
        <w:keepNext w:val="0"/>
        <w:keepLines w:val="0"/>
        <w:pageBreakBefore w:val="0"/>
        <w:widowControl w:val="0"/>
        <w:spacing w:line="480" w:lineRule="exact"/>
        <w:ind w:right="0" w:firstLine="480"/>
        <w:jc w:val="left"/>
        <w:rPr>
          <w:rFonts w:ascii="宋体" w:hAnsi="宋体"/>
          <w:bCs/>
          <w:sz w:val="24"/>
        </w:rPr>
      </w:pPr>
      <w:r>
        <w:rPr>
          <w:rFonts w:hint="eastAsia" w:ascii="宋体" w:hAnsi="宋体"/>
          <w:bCs/>
          <w:sz w:val="24"/>
        </w:rPr>
        <w:t>1.不可抗力：不可抗力是指合同当事人在签订合同时不可预见，在合同履行过程中不可避免且不能克服的自然灾害和社会性突发事件，如地震、海啸、瘟疫、骚乱、戒严、暴动、战争。</w:t>
      </w:r>
    </w:p>
    <w:p w14:paraId="246E5628">
      <w:pPr>
        <w:keepNext w:val="0"/>
        <w:keepLines w:val="0"/>
        <w:pageBreakBefore w:val="0"/>
        <w:widowControl w:val="0"/>
        <w:spacing w:line="480" w:lineRule="exact"/>
        <w:ind w:right="0" w:firstLine="480"/>
        <w:jc w:val="left"/>
        <w:rPr>
          <w:rFonts w:ascii="宋体" w:hAnsi="宋体"/>
          <w:bCs/>
          <w:sz w:val="24"/>
        </w:rPr>
      </w:pPr>
      <w:r>
        <w:rPr>
          <w:rFonts w:hint="eastAsia" w:ascii="宋体" w:hAnsi="宋体"/>
          <w:bCs/>
          <w:sz w:val="24"/>
        </w:rPr>
        <w:t>2.不可抗力引起的后果及造成的损失由合同当事人按照法律规定及合同约定各自承担。不可抗力发生前已完成的工作量应当按照合同约定进行计量支付。</w:t>
      </w:r>
    </w:p>
    <w:p w14:paraId="513CA968">
      <w:pPr>
        <w:keepNext w:val="0"/>
        <w:keepLines w:val="0"/>
        <w:pageBreakBefore w:val="0"/>
        <w:widowControl w:val="0"/>
        <w:spacing w:line="480" w:lineRule="exact"/>
        <w:ind w:right="0" w:firstLine="480"/>
        <w:jc w:val="left"/>
        <w:rPr>
          <w:rFonts w:ascii="宋体" w:hAnsi="宋体"/>
          <w:bCs/>
          <w:sz w:val="24"/>
        </w:rPr>
      </w:pPr>
      <w:r>
        <w:rPr>
          <w:rFonts w:hint="eastAsia" w:ascii="宋体" w:hAnsi="宋体"/>
          <w:bCs/>
          <w:sz w:val="24"/>
        </w:rPr>
        <w:t>3.不可抗力发生后，合同当事人均应采取措施尽量避免和减少损失的扩大，任何一方当事人没有采取有效措施导致损失扩大的，应对扩大的损失承担责任。</w:t>
      </w:r>
    </w:p>
    <w:p w14:paraId="50EF7DC0">
      <w:pPr>
        <w:keepNext w:val="0"/>
        <w:keepLines w:val="0"/>
        <w:pageBreakBefore w:val="0"/>
        <w:widowControl w:val="0"/>
        <w:spacing w:line="480" w:lineRule="exact"/>
        <w:ind w:right="0" w:firstLine="480"/>
        <w:jc w:val="left"/>
        <w:rPr>
          <w:rFonts w:ascii="宋体" w:hAnsi="宋体"/>
          <w:bCs/>
          <w:sz w:val="24"/>
        </w:rPr>
      </w:pPr>
      <w:r>
        <w:rPr>
          <w:rFonts w:hint="eastAsia" w:ascii="宋体" w:hAnsi="宋体"/>
          <w:bCs/>
          <w:sz w:val="24"/>
        </w:rPr>
        <w:t>4.因合同一方迟延履行合同义务，在迟延履行期间遭遇不可抗力的，不免除其违约责任。</w:t>
      </w:r>
    </w:p>
    <w:p w14:paraId="1DAFB44B">
      <w:pPr>
        <w:keepNext w:val="0"/>
        <w:keepLines w:val="0"/>
        <w:pageBreakBefore w:val="0"/>
        <w:widowControl w:val="0"/>
        <w:spacing w:line="440" w:lineRule="exact"/>
        <w:ind w:right="0"/>
        <w:jc w:val="left"/>
        <w:rPr>
          <w:rFonts w:hint="eastAsia" w:ascii="宋体" w:hAnsi="宋体"/>
          <w:b/>
          <w:sz w:val="24"/>
          <w:highlight w:val="none"/>
        </w:rPr>
      </w:pPr>
      <w:r>
        <w:rPr>
          <w:rFonts w:hint="eastAsia" w:ascii="宋体" w:hAnsi="宋体" w:eastAsia="宋体" w:cs="Times New Roman"/>
          <w:b/>
          <w:sz w:val="24"/>
          <w:highlight w:val="none"/>
          <w:lang w:val="en-US" w:eastAsia="zh-CN"/>
        </w:rPr>
        <w:t xml:space="preserve">第十七条  </w:t>
      </w:r>
      <w:r>
        <w:rPr>
          <w:rFonts w:hint="eastAsia" w:ascii="宋体" w:hAnsi="宋体" w:cs="宋体"/>
          <w:b/>
          <w:sz w:val="24"/>
          <w:highlight w:val="none"/>
        </w:rPr>
        <w:t>合同生效及其他</w:t>
      </w:r>
    </w:p>
    <w:p w14:paraId="60AEBF06">
      <w:pPr>
        <w:keepNext w:val="0"/>
        <w:keepLines w:val="0"/>
        <w:pageBreakBefore w:val="0"/>
        <w:widowControl w:val="0"/>
        <w:spacing w:line="440" w:lineRule="exact"/>
        <w:ind w:right="0" w:firstLine="480"/>
        <w:jc w:val="left"/>
        <w:rPr>
          <w:rFonts w:hint="eastAsia" w:ascii="宋体" w:hAnsi="宋体" w:cs="宋体"/>
          <w:sz w:val="24"/>
          <w:highlight w:val="none"/>
        </w:rPr>
      </w:pPr>
      <w:r>
        <w:rPr>
          <w:rFonts w:hint="eastAsia" w:ascii="宋体" w:hAnsi="宋体" w:cs="宋体"/>
          <w:sz w:val="24"/>
          <w:highlight w:val="none"/>
        </w:rPr>
        <w:t>1.本合同经采购人盖章和</w:t>
      </w:r>
      <w:r>
        <w:rPr>
          <w:rFonts w:hint="eastAsia" w:ascii="宋体" w:hAnsi="宋体" w:cs="宋体"/>
          <w:sz w:val="24"/>
          <w:highlight w:val="none"/>
          <w:lang w:eastAsia="zh-CN"/>
        </w:rPr>
        <w:t>投标人</w:t>
      </w:r>
      <w:r>
        <w:rPr>
          <w:rFonts w:hint="eastAsia" w:ascii="宋体" w:hAnsi="宋体" w:cs="宋体"/>
          <w:sz w:val="24"/>
          <w:highlight w:val="none"/>
        </w:rPr>
        <w:t>盖章且法定代表人或其授权委托代理人签章后生效。</w:t>
      </w:r>
    </w:p>
    <w:p w14:paraId="7E7ABE9D">
      <w:pPr>
        <w:keepNext w:val="0"/>
        <w:keepLines w:val="0"/>
        <w:pageBreakBefore w:val="0"/>
        <w:widowControl w:val="0"/>
        <w:spacing w:line="440" w:lineRule="exact"/>
        <w:ind w:right="0" w:firstLine="480"/>
        <w:jc w:val="left"/>
        <w:rPr>
          <w:rFonts w:hint="eastAsia" w:ascii="宋体" w:hAnsi="宋体" w:cs="宋体"/>
          <w:sz w:val="24"/>
          <w:highlight w:val="none"/>
        </w:rPr>
      </w:pPr>
      <w:r>
        <w:rPr>
          <w:rFonts w:hint="eastAsia" w:ascii="宋体" w:hAnsi="宋体" w:cs="宋体"/>
          <w:sz w:val="24"/>
          <w:highlight w:val="none"/>
        </w:rPr>
        <w:t>2.本合同一式肆份，双方各执贰份。</w:t>
      </w:r>
    </w:p>
    <w:p w14:paraId="6C0349D0">
      <w:pPr>
        <w:keepNext w:val="0"/>
        <w:keepLines w:val="0"/>
        <w:pageBreakBefore w:val="0"/>
        <w:widowControl w:val="0"/>
        <w:spacing w:line="440" w:lineRule="exact"/>
        <w:ind w:right="0" w:firstLine="480"/>
        <w:jc w:val="left"/>
        <w:rPr>
          <w:rFonts w:ascii="宋体" w:hAnsi="宋体" w:eastAsia="宋体" w:cs="宋体"/>
          <w:sz w:val="24"/>
          <w:highlight w:val="none"/>
          <w:lang w:val="en-US" w:eastAsia="zh-CN"/>
        </w:rPr>
      </w:pPr>
      <w:r>
        <w:rPr>
          <w:rFonts w:hint="eastAsia" w:ascii="宋体" w:hAnsi="宋体" w:cs="宋体"/>
          <w:sz w:val="24"/>
          <w:highlight w:val="none"/>
        </w:rPr>
        <w:t>3.本合同应按照中华人民共和国的现行法律进行解释。</w:t>
      </w:r>
    </w:p>
    <w:p w14:paraId="18310E02">
      <w:pPr>
        <w:keepNext w:val="0"/>
        <w:keepLines w:val="0"/>
        <w:pageBreakBefore w:val="0"/>
        <w:widowControl w:val="0"/>
        <w:spacing w:line="800" w:lineRule="exact"/>
        <w:ind w:right="0" w:firstLine="480"/>
        <w:rPr>
          <w:rFonts w:hint="eastAsia" w:ascii="宋体" w:hAnsi="宋体" w:cs="宋体"/>
          <w:sz w:val="24"/>
          <w:highlight w:val="none"/>
        </w:rPr>
      </w:pPr>
      <w:r>
        <w:rPr>
          <w:rFonts w:hint="eastAsia" w:ascii="宋体" w:hAnsi="宋体" w:cs="宋体"/>
          <w:sz w:val="24"/>
          <w:highlight w:val="none"/>
        </w:rPr>
        <w:t xml:space="preserve">采 购 人：                              </w:t>
      </w:r>
      <w:r>
        <w:rPr>
          <w:rFonts w:hint="eastAsia" w:ascii="宋体" w:hAnsi="宋体" w:cs="宋体"/>
          <w:sz w:val="24"/>
          <w:highlight w:val="none"/>
          <w:lang w:val="en-US" w:eastAsia="zh-CN"/>
        </w:rPr>
        <w:t>投</w:t>
      </w:r>
      <w:r>
        <w:rPr>
          <w:rFonts w:hint="eastAsia" w:ascii="宋体" w:hAnsi="宋体" w:cs="宋体"/>
          <w:sz w:val="24"/>
          <w:highlight w:val="none"/>
        </w:rPr>
        <w:t xml:space="preserve"> </w:t>
      </w:r>
      <w:r>
        <w:rPr>
          <w:rFonts w:hint="eastAsia" w:ascii="宋体" w:hAnsi="宋体" w:cs="宋体"/>
          <w:sz w:val="24"/>
          <w:highlight w:val="none"/>
          <w:lang w:val="en-US" w:eastAsia="zh-CN"/>
        </w:rPr>
        <w:t>标 人</w:t>
      </w:r>
      <w:r>
        <w:rPr>
          <w:rFonts w:hint="eastAsia" w:ascii="宋体" w:hAnsi="宋体" w:cs="宋体"/>
          <w:sz w:val="24"/>
          <w:highlight w:val="none"/>
        </w:rPr>
        <w:t>：</w:t>
      </w:r>
    </w:p>
    <w:p w14:paraId="5E10C3FC">
      <w:pPr>
        <w:keepNext w:val="0"/>
        <w:keepLines w:val="0"/>
        <w:pageBreakBefore w:val="0"/>
        <w:widowControl w:val="0"/>
        <w:spacing w:line="800" w:lineRule="exact"/>
        <w:ind w:right="0" w:firstLine="480"/>
        <w:rPr>
          <w:rFonts w:hint="eastAsia" w:ascii="宋体" w:hAnsi="宋体" w:cs="宋体"/>
          <w:sz w:val="24"/>
          <w:highlight w:val="none"/>
        </w:rPr>
      </w:pPr>
      <w:r>
        <w:rPr>
          <w:rFonts w:hint="eastAsia" w:ascii="宋体" w:hAnsi="宋体" w:cs="宋体"/>
          <w:sz w:val="24"/>
          <w:highlight w:val="none"/>
        </w:rPr>
        <w:t>单位盖章：                              单位盖章：</w:t>
      </w:r>
    </w:p>
    <w:p w14:paraId="685C05BA">
      <w:pPr>
        <w:keepNext w:val="0"/>
        <w:keepLines w:val="0"/>
        <w:pageBreakBefore w:val="0"/>
        <w:widowControl w:val="0"/>
        <w:spacing w:line="800" w:lineRule="exact"/>
        <w:ind w:right="0" w:firstLine="480"/>
        <w:rPr>
          <w:rFonts w:hint="eastAsia" w:ascii="宋体" w:hAnsi="宋体" w:cs="宋体"/>
          <w:sz w:val="24"/>
          <w:highlight w:val="none"/>
        </w:rPr>
      </w:pPr>
      <w:r>
        <w:rPr>
          <w:rFonts w:hint="eastAsia" w:ascii="宋体" w:hAnsi="宋体" w:cs="宋体"/>
          <w:sz w:val="24"/>
          <w:highlight w:val="none"/>
        </w:rPr>
        <w:t>代表签字：                              代表签字：</w:t>
      </w:r>
    </w:p>
    <w:p w14:paraId="41FACB9F">
      <w:pPr>
        <w:keepNext w:val="0"/>
        <w:keepLines w:val="0"/>
        <w:pageBreakBefore w:val="0"/>
        <w:widowControl w:val="0"/>
        <w:spacing w:line="800" w:lineRule="exact"/>
        <w:ind w:right="0" w:firstLine="480"/>
        <w:rPr>
          <w:rFonts w:hint="eastAsia" w:ascii="仿宋" w:hAnsi="仿宋" w:eastAsia="仿宋"/>
          <w:b/>
          <w:bCs/>
          <w:sz w:val="36"/>
          <w:szCs w:val="36"/>
          <w:highlight w:val="none"/>
          <w:lang w:eastAsia="zh-CN"/>
        </w:rPr>
      </w:pPr>
      <w:r>
        <w:rPr>
          <w:rFonts w:hint="eastAsia" w:ascii="宋体" w:hAnsi="宋体" w:cs="宋体"/>
          <w:sz w:val="24"/>
          <w:highlight w:val="none"/>
        </w:rPr>
        <w:t>签订日期：                              签订日期：</w:t>
      </w:r>
    </w:p>
    <w:p w14:paraId="4E8E8FBD">
      <w:pPr>
        <w:pStyle w:val="187"/>
        <w:ind w:left="0" w:firstLine="0"/>
        <w:rPr>
          <w:rFonts w:hint="eastAsia" w:ascii="宋体" w:hAnsi="宋体" w:eastAsia="宋体" w:cs="宋体"/>
          <w:lang w:eastAsia="zh-CN"/>
        </w:rPr>
      </w:pPr>
    </w:p>
    <w:p w14:paraId="74AEE740">
      <w:pPr>
        <w:pStyle w:val="196"/>
        <w:keepNext w:val="0"/>
        <w:keepLines w:val="0"/>
        <w:pageBreakBefore/>
        <w:widowControl w:val="0"/>
        <w:spacing w:line="500" w:lineRule="exact"/>
        <w:ind w:right="0"/>
        <w:jc w:val="center"/>
        <w:outlineLvl w:val="0"/>
        <w:rPr>
          <w:rFonts w:hint="eastAsia" w:ascii="宋体" w:hAnsi="宋体" w:eastAsia="宋体" w:cs="宋体"/>
          <w:b/>
          <w:bCs/>
          <w:sz w:val="30"/>
          <w:szCs w:val="30"/>
          <w:highlight w:val="none"/>
          <w:lang w:val="zh-CN"/>
        </w:rPr>
      </w:pPr>
      <w:bookmarkStart w:id="33" w:name="_Toc23561"/>
      <w:r>
        <w:rPr>
          <w:rFonts w:hint="eastAsia" w:ascii="宋体" w:hAnsi="宋体" w:eastAsia="宋体" w:cs="宋体"/>
          <w:b/>
          <w:bCs/>
          <w:sz w:val="32"/>
          <w:szCs w:val="32"/>
          <w:highlight w:val="none"/>
        </w:rPr>
        <w:t>第五章  项目采购需求及总体要求</w:t>
      </w:r>
      <w:bookmarkEnd w:id="33"/>
    </w:p>
    <w:p w14:paraId="3CFF319E">
      <w:pPr>
        <w:keepNext w:val="0"/>
        <w:keepLines w:val="0"/>
        <w:pageBreakBefore w:val="0"/>
        <w:widowControl w:val="0"/>
        <w:spacing w:line="400" w:lineRule="exact"/>
        <w:jc w:val="left"/>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一、项目概况</w:t>
      </w:r>
    </w:p>
    <w:p w14:paraId="520920B1">
      <w:pPr>
        <w:keepNext w:val="0"/>
        <w:keepLines w:val="0"/>
        <w:pageBreakBefore w:val="0"/>
        <w:widowControl w:val="0"/>
        <w:spacing w:line="40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原有监管平台提升、信息网络体系完善，集成扩展完善智慧种业监管平台，对全区制种基地、龙头企业和农资门店进行GIS精确定位，网格化监管实现数字化，水稻种子生产、水稻种子质量检测、水稻种子交易等大数据资源实现互联互通、智慧分析，为管理部门监管提供数据支持，最终实现对本地种业全产业的产业可视、可溯、可控。新增基地的田间监测设备，网络维护。</w:t>
      </w:r>
    </w:p>
    <w:p w14:paraId="00AF0502">
      <w:pPr>
        <w:keepNext w:val="0"/>
        <w:keepLines w:val="0"/>
        <w:pageBreakBefore w:val="0"/>
        <w:widowControl w:val="0"/>
        <w:spacing w:line="400" w:lineRule="exact"/>
        <w:jc w:val="left"/>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二、建设内容</w:t>
      </w:r>
    </w:p>
    <w:p w14:paraId="1E636453">
      <w:pPr>
        <w:keepNext w:val="0"/>
        <w:keepLines w:val="0"/>
        <w:pageBreakBefore w:val="0"/>
        <w:widowControl w:val="0"/>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本项目通过信息化和智能化技术，构建高效的信息网络体系，整合种业产业数据资源，实现精准监管与数据分析。平台将基于GIS技术精准定位制种基地和企业，构建数字化监管体系和信息档案管理体系，从水稻制种过程监管、种子交易监管到龙头企业与服务监管，构建“1个决策中心+5大监管服务平台+N个应用系统”的数智化种业全产业链监管服务体系和电子档案管理体系，实现金湖县杂交水稻制种、生产、销售、流通等全环节、全过程、全方位的可视化动态监管和信息的电子化档案管理。</w:t>
      </w:r>
    </w:p>
    <w:p w14:paraId="6ADB3F25">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lang w:eastAsia="zh-CN"/>
        </w:rPr>
        <w:t>）</w:t>
      </w:r>
      <w:r>
        <w:rPr>
          <w:rFonts w:hint="eastAsia" w:ascii="宋体" w:hAnsi="宋体" w:eastAsia="宋体" w:cs="宋体"/>
          <w:b/>
          <w:bCs/>
          <w:sz w:val="24"/>
          <w:szCs w:val="24"/>
        </w:rPr>
        <w:t>1个中心——全产业链种业数智化决策中心</w:t>
      </w:r>
    </w:p>
    <w:p w14:paraId="61D27D08">
      <w:pPr>
        <w:keepNext w:val="0"/>
        <w:keepLines w:val="0"/>
        <w:pageBreakBefore w:val="0"/>
        <w:widowControl w:val="0"/>
        <w:spacing w:line="4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建立金湖县种业全产业链数智化监管决策中心，提供全县域、全产业链、全过程的种业监管与服务决策体系。基于大数据、物联网、GIS等信息化技术，进行种业监管信息数据整合与统计分析，并通过种业发展可视化一张图，实现制种基地、龙头企业、农资门店等信息的可视化监管，保证金湖县种业全产业的可视、可溯、可控</w:t>
      </w:r>
      <w:r>
        <w:rPr>
          <w:rFonts w:hint="eastAsia" w:ascii="宋体" w:hAnsi="宋体" w:eastAsia="宋体" w:cs="宋体"/>
          <w:sz w:val="24"/>
          <w:szCs w:val="24"/>
          <w:lang w:eastAsia="zh-CN"/>
        </w:rPr>
        <w:t>。</w:t>
      </w:r>
    </w:p>
    <w:p w14:paraId="68B8DBCF">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34" w:name="_Toc15041"/>
      <w:r>
        <w:rPr>
          <w:rFonts w:hint="eastAsia" w:ascii="宋体" w:hAnsi="宋体" w:eastAsia="宋体" w:cs="宋体"/>
          <w:b/>
          <w:bCs/>
          <w:sz w:val="24"/>
          <w:szCs w:val="24"/>
          <w:lang w:val="en-US" w:eastAsia="zh-CN"/>
        </w:rPr>
        <w:t>（二）5大监管服务平台——全产业链数智监管服务平台</w:t>
      </w:r>
      <w:bookmarkEnd w:id="34"/>
    </w:p>
    <w:p w14:paraId="59C4C4D1">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围绕制种全产业链环节，进行制种基地、制种主体、生产运行、种子市场等全环节的数智化监管，并提供制种数智服务管理，实现金湖水稻制种产业的全程可追溯监管与服务。</w:t>
      </w:r>
    </w:p>
    <w:p w14:paraId="54348ACD">
      <w:pPr>
        <w:keepNext w:val="0"/>
        <w:keepLines w:val="0"/>
        <w:pageBreakBefore w:val="0"/>
        <w:widowControl w:val="0"/>
        <w:spacing w:line="400" w:lineRule="exact"/>
        <w:ind w:firstLine="482"/>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制种基地数智化监管平台</w:t>
      </w:r>
      <w:r>
        <w:rPr>
          <w:rFonts w:hint="eastAsia" w:ascii="宋体" w:hAnsi="宋体" w:eastAsia="宋体" w:cs="宋体"/>
          <w:sz w:val="24"/>
          <w:szCs w:val="24"/>
          <w:lang w:val="en-US" w:eastAsia="zh-CN"/>
        </w:rPr>
        <w:t>：基于GIS地图实现制种基地信息、农情数据、制种主体信息的数字化管理，集成物联网设备监测农情数据，并进行制种主体的数智化管理，与中国种业大数据平台对接获取企业多维度信息，全面掌握县域内水稻制种基地情况。</w:t>
      </w:r>
    </w:p>
    <w:p w14:paraId="5A83B4AF">
      <w:pPr>
        <w:keepNext w:val="0"/>
        <w:keepLines w:val="0"/>
        <w:pageBreakBefore w:val="0"/>
        <w:widowControl w:val="0"/>
        <w:spacing w:line="400" w:lineRule="exact"/>
        <w:ind w:firstLine="482"/>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制种生产全环节数智化监管平台</w:t>
      </w:r>
      <w:r>
        <w:rPr>
          <w:rFonts w:hint="eastAsia" w:ascii="宋体" w:hAnsi="宋体" w:eastAsia="宋体" w:cs="宋体"/>
          <w:sz w:val="24"/>
          <w:szCs w:val="24"/>
          <w:lang w:val="en-US" w:eastAsia="zh-CN"/>
        </w:rPr>
        <w:t>：涵盖生产、加工、仓储物流与销售各环节，管控制种生产加工运行情况，跟踪农事活动，提升生产效能与可追溯性；统计仓储物流信息与种子销售信息，增强市场调控与风险把控能力，全方位实现制种全产业链数智化监管。</w:t>
      </w:r>
    </w:p>
    <w:p w14:paraId="3990D27E">
      <w:pPr>
        <w:keepNext w:val="0"/>
        <w:keepLines w:val="0"/>
        <w:pageBreakBefore w:val="0"/>
        <w:widowControl w:val="0"/>
        <w:spacing w:line="400" w:lineRule="exact"/>
        <w:ind w:firstLine="482"/>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种子质量可追溯监管平台</w:t>
      </w:r>
      <w:r>
        <w:rPr>
          <w:rFonts w:hint="eastAsia" w:ascii="宋体" w:hAnsi="宋体" w:eastAsia="宋体" w:cs="宋体"/>
          <w:sz w:val="24"/>
          <w:szCs w:val="24"/>
          <w:lang w:val="en-US" w:eastAsia="zh-CN"/>
        </w:rPr>
        <w:t>：涵盖质量检验、全程追溯及标签监管服务，关联制种全流程数据，确保种子全程合规可追溯，实现种子质量与安全监管，提升市场合规性。</w:t>
      </w:r>
    </w:p>
    <w:p w14:paraId="09AECFF1">
      <w:pPr>
        <w:keepNext w:val="0"/>
        <w:keepLines w:val="0"/>
        <w:pageBreakBefore w:val="0"/>
        <w:widowControl w:val="0"/>
        <w:spacing w:line="400" w:lineRule="exact"/>
        <w:ind w:firstLine="482"/>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制种数智化服务管理平台</w:t>
      </w:r>
      <w:r>
        <w:rPr>
          <w:rFonts w:hint="eastAsia" w:ascii="宋体" w:hAnsi="宋体" w:eastAsia="宋体" w:cs="宋体"/>
          <w:sz w:val="24"/>
          <w:szCs w:val="24"/>
          <w:lang w:val="en-US" w:eastAsia="zh-CN"/>
        </w:rPr>
        <w:t>：集农资、农机、农技及种业保险服务于一体，实现数字化监管与服务。利用先进的技术手段，对农资经营主体、农机作业情况、农技知识培训以及种业保险服务等关键信息进行高效整合与管理，提升农业全产业链的运作效率与风险管理水平。</w:t>
      </w:r>
    </w:p>
    <w:p w14:paraId="5380F9AD">
      <w:pPr>
        <w:keepNext w:val="0"/>
        <w:keepLines w:val="0"/>
        <w:pageBreakBefore w:val="0"/>
        <w:widowControl w:val="0"/>
        <w:spacing w:line="400" w:lineRule="exact"/>
        <w:ind w:firstLine="482"/>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种子市场数智化动态监管平台</w:t>
      </w:r>
      <w:r>
        <w:rPr>
          <w:rFonts w:hint="eastAsia" w:ascii="宋体" w:hAnsi="宋体" w:eastAsia="宋体" w:cs="宋体"/>
          <w:sz w:val="24"/>
          <w:szCs w:val="24"/>
          <w:lang w:val="en-US" w:eastAsia="zh-CN"/>
        </w:rPr>
        <w:t>：涵盖市场抽检管理、案件查处及投诉处理监管，强化种子市场动态监管，确保种子质量，维护市场秩序，促进种子行业健康发展。</w:t>
      </w:r>
    </w:p>
    <w:p w14:paraId="4ED96A2F">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35" w:name="_Toc9833"/>
      <w:bookmarkStart w:id="36" w:name="_Toc23959"/>
      <w:r>
        <w:rPr>
          <w:rFonts w:hint="eastAsia" w:ascii="宋体" w:hAnsi="宋体" w:eastAsia="宋体" w:cs="宋体"/>
          <w:b/>
          <w:bCs/>
          <w:sz w:val="24"/>
          <w:szCs w:val="24"/>
          <w:lang w:val="en-US" w:eastAsia="zh-CN"/>
        </w:rPr>
        <w:t>（三）平台数据赋能与技术服务建设</w:t>
      </w:r>
      <w:bookmarkEnd w:id="35"/>
      <w:bookmarkEnd w:id="36"/>
    </w:p>
    <w:p w14:paraId="2F8C61DE">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平台数据赋能与技术服务聚焦于数据对接集成、信息录入培训、设备通讯保障及技术运维支持。通过与中国种业大数据平台及现有业务平台的无缝对接，实现种业数据的高效整合与共享，打破信息孤岛，构建统一数据资源管理体系。提供全县水稻制种基地信息的全面梳理与录入服务，辅以用户角色定制的操作培训，确保平台高效应用。同时，涵盖物联网设备的数据通讯、云接入服务及全方位的技术与设备维护，确保数据与系统的实时、稳定运行，为金湖水稻制种管理提供坚实的数据支撑与决策赋能。</w:t>
      </w:r>
    </w:p>
    <w:p w14:paraId="7478DC01">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37" w:name="_Toc18732"/>
      <w:bookmarkStart w:id="38" w:name="_Toc22850"/>
      <w:r>
        <w:rPr>
          <w:rFonts w:hint="eastAsia" w:ascii="宋体" w:hAnsi="宋体" w:eastAsia="宋体" w:cs="宋体"/>
          <w:b/>
          <w:bCs/>
          <w:sz w:val="24"/>
          <w:szCs w:val="24"/>
          <w:lang w:val="en-US" w:eastAsia="zh-CN"/>
        </w:rPr>
        <w:t>（四）现代水稻数字化示范基地建设</w:t>
      </w:r>
      <w:bookmarkEnd w:id="37"/>
      <w:bookmarkEnd w:id="38"/>
    </w:p>
    <w:p w14:paraId="4BCE7721">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现有水稻制种示范基地上安装部署一批智能田间气象站、土壤墒情监测、虫情测报、病情监测、长势监测及种情移动监测等智能监测装备，对示范基地农情环境情况进行实时采集与动态分析，最终形成智能化的数字田间农情监测预警网络。</w:t>
      </w:r>
    </w:p>
    <w:p w14:paraId="57B8BAE3">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39" w:name="_Toc7782"/>
      <w:r>
        <w:rPr>
          <w:rFonts w:hint="eastAsia" w:ascii="宋体" w:hAnsi="宋体" w:eastAsia="宋体" w:cs="宋体"/>
          <w:b/>
          <w:bCs/>
          <w:sz w:val="24"/>
          <w:szCs w:val="24"/>
          <w:lang w:val="en-US" w:eastAsia="zh-CN"/>
        </w:rPr>
        <w:t>1.功能模块</w:t>
      </w:r>
      <w:bookmarkEnd w:id="39"/>
    </w:p>
    <w:p w14:paraId="4C53DE34">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搭建金湖县种业全产业链数智化监管服务平台，建立完善的水稻制种全产业链信息网络体系，并致力于打造一个高度智能化的种业监管平台。该项目将采用GIS技术对全区的制种基地、核心企业和农资商店进行精确的地理定位，并实现网格化管理，推动监管流程的数字化。同时，平台将整合水稻制种基地信息、制种生产运行信息、种子质量检测信息、全程可追溯信息等大数据资源，实现数据的互联互通和智能分析，为管理部门提供强有力的数据支持，实现对种业全产业链的实时可视化监控、来源追溯和质量控制，确保种业健康、高效、可持续发展。</w:t>
      </w:r>
    </w:p>
    <w:p w14:paraId="12631F95">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40" w:name="_Toc11712"/>
      <w:r>
        <w:rPr>
          <w:rFonts w:hint="eastAsia" w:ascii="宋体" w:hAnsi="宋体" w:eastAsia="宋体" w:cs="宋体"/>
          <w:b/>
          <w:bCs/>
          <w:sz w:val="24"/>
          <w:szCs w:val="24"/>
          <w:lang w:val="en-US" w:eastAsia="zh-CN"/>
        </w:rPr>
        <w:t>2.种业数智化决策中心</w:t>
      </w:r>
      <w:bookmarkEnd w:id="40"/>
    </w:p>
    <w:p w14:paraId="74697D5F">
      <w:pPr>
        <w:pStyle w:val="183"/>
        <w:keepNext w:val="0"/>
        <w:keepLines w:val="0"/>
        <w:pageBreakBefore w:val="0"/>
        <w:widowControl w:val="0"/>
        <w:numPr>
          <w:ilvl w:val="2"/>
          <w:numId w:val="0"/>
        </w:numPr>
        <w:spacing w:before="0" w:after="0" w:line="400" w:lineRule="exact"/>
        <w:ind w:left="0" w:firstLine="241"/>
        <w:jc w:val="left"/>
        <w:rPr>
          <w:rFonts w:hint="eastAsia" w:ascii="宋体" w:hAnsi="宋体" w:eastAsia="宋体" w:cs="宋体"/>
          <w:sz w:val="24"/>
          <w:szCs w:val="24"/>
          <w:lang w:val="en-US" w:eastAsia="zh-CN"/>
        </w:rPr>
      </w:pPr>
      <w:r>
        <w:rPr>
          <w:rFonts w:hint="eastAsia" w:ascii="宋体" w:hAnsi="宋体" w:eastAsia="宋体" w:cs="宋体"/>
          <w:b/>
          <w:sz w:val="24"/>
          <w:szCs w:val="24"/>
          <w:lang w:val="en-US" w:eastAsia="zh-CN" w:bidi="ar-SA"/>
        </w:rPr>
        <w:t>（1）</w:t>
      </w:r>
      <w:r>
        <w:rPr>
          <w:rFonts w:hint="eastAsia" w:ascii="宋体" w:hAnsi="宋体" w:eastAsia="宋体" w:cs="宋体"/>
          <w:sz w:val="24"/>
          <w:szCs w:val="24"/>
          <w:lang w:val="en-US" w:eastAsia="zh-CN"/>
        </w:rPr>
        <w:t>种业全产业链决策数据中心</w:t>
      </w:r>
    </w:p>
    <w:p w14:paraId="0A939EA1">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搭建种业全产业链监管决策大数据中心，深度对接中国种业大数据平台，建立完善金湖种业全产业链基础数据库，动态监测金湖县域内制种基地布局、基础建设、运行及生产运营情况，进行数据资源管理与统计分析，支撑统筹金湖产业发展，为种业监管决策提供数据依据与决策支持。</w:t>
      </w:r>
    </w:p>
    <w:p w14:paraId="6ADDCD64">
      <w:pPr>
        <w:pStyle w:val="183"/>
        <w:keepNext w:val="0"/>
        <w:keepLines w:val="0"/>
        <w:pageBreakBefore w:val="0"/>
        <w:widowControl w:val="0"/>
        <w:numPr>
          <w:ilvl w:val="2"/>
          <w:numId w:val="0"/>
        </w:numPr>
        <w:spacing w:before="0" w:after="0" w:line="400" w:lineRule="exact"/>
        <w:ind w:left="0" w:firstLine="241"/>
        <w:jc w:val="lef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（2）种业发展可视化一张图</w:t>
      </w:r>
    </w:p>
    <w:p w14:paraId="58EBE1C1">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在一张图中进行金湖县种业监管数据与产业运行情况等信息的可视化呈现，对全县制种基地、龙头企业和农资门店进行GIS精准定位，网格化监管实现数字化，基于种业生产信息的可视化呈现，实现对本地种业全产业链的可视、可溯、可控。</w:t>
      </w:r>
    </w:p>
    <w:p w14:paraId="2BE1EB1F">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41" w:name="_Toc6336"/>
      <w:r>
        <w:rPr>
          <w:rFonts w:hint="eastAsia" w:ascii="宋体" w:hAnsi="宋体" w:eastAsia="宋体" w:cs="宋体"/>
          <w:b/>
          <w:bCs/>
          <w:sz w:val="24"/>
          <w:szCs w:val="24"/>
          <w:lang w:val="en-US" w:eastAsia="zh-CN"/>
        </w:rPr>
        <w:t>3.制种基地数智化监管平台</w:t>
      </w:r>
      <w:bookmarkEnd w:id="41"/>
    </w:p>
    <w:p w14:paraId="6CD37129">
      <w:pPr>
        <w:pStyle w:val="183"/>
        <w:keepNext w:val="0"/>
        <w:keepLines w:val="0"/>
        <w:pageBreakBefore w:val="0"/>
        <w:widowControl w:val="0"/>
        <w:numPr>
          <w:ilvl w:val="2"/>
          <w:numId w:val="0"/>
        </w:numPr>
        <w:spacing w:before="0" w:after="0" w:line="400" w:lineRule="exact"/>
        <w:ind w:left="0" w:firstLine="241"/>
        <w:jc w:val="lef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（1）制种GIS信息综合管理</w:t>
      </w:r>
    </w:p>
    <w:p w14:paraId="5E651A21">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基于GIS地图，进行制种基地全产业链信息数字化管理，实现对辖区规划制种基地、制种企业主体、制种农户、机械、仓库、晒场、社会化服务组织等信息的统一管理。</w:t>
      </w:r>
    </w:p>
    <w:p w14:paraId="41148243">
      <w:pPr>
        <w:pStyle w:val="183"/>
        <w:keepNext w:val="0"/>
        <w:keepLines w:val="0"/>
        <w:pageBreakBefore w:val="0"/>
        <w:widowControl w:val="0"/>
        <w:numPr>
          <w:ilvl w:val="2"/>
          <w:numId w:val="0"/>
        </w:numPr>
        <w:spacing w:before="0" w:after="0" w:line="400" w:lineRule="exact"/>
        <w:ind w:left="0" w:firstLine="241"/>
        <w:jc w:val="lef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（2）制种农情数智化管理</w:t>
      </w:r>
    </w:p>
    <w:p w14:paraId="1A7A2F0B">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对布设在基地的物联网设备进行集成管理，通过实时采集基地农情环境数据，如气象数据、苗情数据、墒情数据、病虫情数据等，实现田间物联网农情信息的实时动态监测。</w:t>
      </w:r>
    </w:p>
    <w:p w14:paraId="3D9CBFF5">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苗情长势监测数据管理：支持对接远程监控设备采集的数据，对制种田苗情长势情况进行监测，实现对视频装备采集信息的展示、存储、查询、分析。</w:t>
      </w:r>
    </w:p>
    <w:p w14:paraId="6CBD543D">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病情监测数据管理：支持对接孢子捕捉仪设备采集的数据，实现对病害发生情况等监测数据的展示、存储、查询和分析。</w:t>
      </w:r>
    </w:p>
    <w:p w14:paraId="70DF9914">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虫情监测数据管理：支持对接田间虫情监测设备采集的数据，实现对虫害发生情况等监测数据的展示、存储、查询和分析。</w:t>
      </w:r>
    </w:p>
    <w:p w14:paraId="46839312">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土壤墒情监测数据管理：支持对接土壤墒情监测设备采集的数据，对制种田不同深度的土层的温湿度等信息进行监测。实现对土壤墒情监测信息的展示、存储、查询、分析。</w:t>
      </w:r>
    </w:p>
    <w:p w14:paraId="5117FFDA">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田间气象监测数据管理：支持对装备采集的空气温度、湿度、光照、风速、风向、降雨量、大气压力等数据的展示、存储、查询和分析。</w:t>
      </w:r>
    </w:p>
    <w:p w14:paraId="481AD953">
      <w:pPr>
        <w:pStyle w:val="183"/>
        <w:keepNext w:val="0"/>
        <w:keepLines w:val="0"/>
        <w:pageBreakBefore w:val="0"/>
        <w:widowControl w:val="0"/>
        <w:numPr>
          <w:ilvl w:val="2"/>
          <w:numId w:val="0"/>
        </w:numPr>
        <w:spacing w:before="0" w:after="0" w:line="400" w:lineRule="exact"/>
        <w:ind w:left="0" w:firstLine="241"/>
        <w:jc w:val="lef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（3）制种主体数智化管理</w:t>
      </w:r>
    </w:p>
    <w:p w14:paraId="4D84D62F">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县域制种主体数智化管理，支持与中国种业大数据平台进行数据对接，获取制种企业的主体全息、品种全链、生产经营备案信息；登记管理在本县制种的企业基础信息，实时核对企业报备证书信息。并进行主体年度制种管理，登记管理企业制种计划、生产、加工等环节的数据采集，掌握县域内种子制种数据情况。</w:t>
      </w:r>
    </w:p>
    <w:p w14:paraId="63AC1A03">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42" w:name="_Toc16257"/>
      <w:r>
        <w:rPr>
          <w:rFonts w:hint="eastAsia" w:ascii="宋体" w:hAnsi="宋体" w:eastAsia="宋体" w:cs="宋体"/>
          <w:b/>
          <w:bCs/>
          <w:sz w:val="24"/>
          <w:szCs w:val="24"/>
          <w:lang w:val="en-US" w:eastAsia="zh-CN"/>
        </w:rPr>
        <w:t>4.制种生产全环节数智化监管平台</w:t>
      </w:r>
      <w:bookmarkEnd w:id="42"/>
    </w:p>
    <w:p w14:paraId="6A87E428">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sz w:val="24"/>
          <w:szCs w:val="24"/>
          <w:lang w:val="en-US" w:eastAsia="zh-CN"/>
        </w:rPr>
      </w:pPr>
      <w:r>
        <w:rPr>
          <w:rFonts w:hint="eastAsia" w:ascii="宋体" w:hAnsi="宋体" w:eastAsia="宋体" w:cs="宋体"/>
          <w:b/>
          <w:color w:val="000000"/>
          <w:sz w:val="24"/>
          <w:szCs w:val="24"/>
          <w:lang w:val="en-US" w:eastAsia="zh-CN" w:bidi="ar-SA"/>
        </w:rPr>
        <w:t>（1）</w:t>
      </w:r>
      <w:r>
        <w:rPr>
          <w:rFonts w:hint="eastAsia" w:ascii="宋体" w:hAnsi="宋体" w:eastAsia="宋体" w:cs="宋体"/>
          <w:sz w:val="24"/>
          <w:szCs w:val="24"/>
          <w:lang w:val="en-US" w:eastAsia="zh-CN"/>
        </w:rPr>
        <w:t>生产运行数智化管理</w:t>
      </w:r>
    </w:p>
    <w:p w14:paraId="2C018FCB">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进行县域年度制种生产计划与任务管控，动态监管基地生产过程，实现基地田间农事活动跟踪，掌控制种种植意向、种植计划、生产进度、作物产量、防灾减灾等基地生产运行情况，提升制种生产效率、质量与可追溯性。</w:t>
      </w:r>
    </w:p>
    <w:p w14:paraId="4FBEA01A">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（2）加工信息数智化管理</w:t>
      </w:r>
    </w:p>
    <w:p w14:paraId="021C420E">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实现对企业生产加工信息的管理，针对企业、品种、加工地点、加工量等信息进行监管，掌握烘干量、脱粒量、分选量、包衣量等关键数据，实现制种加工环节的数智化监管，提升制种加工效率与质量管控。</w:t>
      </w:r>
    </w:p>
    <w:p w14:paraId="65C51DD7">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（3）仓储物流数智化管理</w:t>
      </w:r>
    </w:p>
    <w:p w14:paraId="5DA47B86">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县域内种子等产品仓储设施地点信息、仓储库存量等信息的数据统计管理，为仓储资源调配提供依据，提高仓储设施的利用率；并对种子的物流流向、运输数量等信息进行管理，优化资源配置，为产业运行分析与预测提供数据支撑。</w:t>
      </w:r>
    </w:p>
    <w:p w14:paraId="42EED931">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（4）销售信息数智化管理</w:t>
      </w:r>
    </w:p>
    <w:p w14:paraId="0007BFEA">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进行企业主体种子销售量、销售单位、销售渠道等信息的数字化管理，提高种业市场监管效率，增强对种子市场的宏观调控能力，为市场风险把控、市场供需评估提供科学依据。</w:t>
      </w:r>
    </w:p>
    <w:p w14:paraId="27A9E2AF">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43" w:name="_Toc15152"/>
      <w:r>
        <w:rPr>
          <w:rFonts w:hint="eastAsia" w:ascii="宋体" w:hAnsi="宋体" w:eastAsia="宋体" w:cs="宋体"/>
          <w:b/>
          <w:bCs/>
          <w:sz w:val="24"/>
          <w:szCs w:val="24"/>
          <w:lang w:val="en-US" w:eastAsia="zh-CN"/>
        </w:rPr>
        <w:t>5.种子质量可追溯监管平台</w:t>
      </w:r>
      <w:bookmarkEnd w:id="43"/>
    </w:p>
    <w:p w14:paraId="731C33BA">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（1）种子质量检验管理</w:t>
      </w:r>
    </w:p>
    <w:p w14:paraId="4F67E189">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进行种子的质量信息数字化监管，包括对种子质量检验批次、品种、样本数、水分、净度、纯度、发芽率以及检测结果进行信息化管理，实现对种子检验质量数据的采集，并进行展示、查询和分析。</w:t>
      </w:r>
    </w:p>
    <w:p w14:paraId="0FFA2CE5">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（2）全程可追溯档案管理</w:t>
      </w:r>
    </w:p>
    <w:p w14:paraId="681AE806">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支持关联制种生产企业、品种、环境、种植过程、仓储加工、产品质量检测、物流、销售等各类数据，提供数字化全程可追溯信息，确保种子从生产到销售的全过程合规、可追溯，防止假冒伪劣种子流入市场。</w:t>
      </w:r>
    </w:p>
    <w:p w14:paraId="33336837">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（3）种子溯源标签服务管理</w:t>
      </w:r>
    </w:p>
    <w:p w14:paraId="39C8B66A">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标签的生成报备、标签分发、标签下载和信息统计等管理功能，增强种子质量追溯管理的全面性和高效性。为县域内项目经营的商品种子建立标签库，即时掌握合法经营的商品种子信息，保障市场流通种子的合法性和可追溯性。</w:t>
      </w:r>
    </w:p>
    <w:p w14:paraId="5FC5E4E5">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44" w:name="_Toc17090"/>
      <w:r>
        <w:rPr>
          <w:rFonts w:hint="eastAsia" w:ascii="宋体" w:hAnsi="宋体" w:eastAsia="宋体" w:cs="宋体"/>
          <w:b/>
          <w:bCs/>
          <w:sz w:val="24"/>
          <w:szCs w:val="24"/>
          <w:lang w:val="en-US" w:eastAsia="zh-CN"/>
        </w:rPr>
        <w:t>6.制种数智化服务管理平台</w:t>
      </w:r>
      <w:bookmarkEnd w:id="44"/>
    </w:p>
    <w:p w14:paraId="42AFD666">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（1）农资服务管理</w:t>
      </w:r>
    </w:p>
    <w:p w14:paraId="0B38ED54">
      <w:pPr>
        <w:keepNext w:val="0"/>
        <w:keepLines w:val="0"/>
        <w:pageBreakBefore w:val="0"/>
        <w:widowControl w:val="0"/>
        <w:spacing w:line="400" w:lineRule="exact"/>
        <w:ind w:firstLine="480"/>
        <w:jc w:val="left"/>
        <w:rPr>
          <w:rFonts w:hint="eastAsia" w:ascii="宋体" w:hAnsi="宋体" w:eastAsia="宋体" w:cs="宋体"/>
          <w:sz w:val="28"/>
          <w:szCs w:val="28"/>
          <w:lang w:val="en-US" w:eastAsia="zh-CN"/>
        </w:rPr>
      </w:pPr>
      <w:r>
        <w:rPr>
          <w:rFonts w:hint="eastAsia" w:ascii="宋体" w:hAnsi="宋体" w:eastAsia="宋体" w:cs="宋体"/>
          <w:sz w:val="24"/>
          <w:szCs w:val="24"/>
          <w:lang w:val="en-US" w:eastAsia="zh-CN"/>
        </w:rPr>
        <w:t>对金湖县域内的农资信息进行数字化监管，主要针对农资经营主体、地址、商品管理、进销台账等数据进行监管。包含门店名称、地址、联系方式、法定代表人等基本信息，以及企业资质与许可信息、农资信息、农资销售台账等信息。</w:t>
      </w:r>
    </w:p>
    <w:p w14:paraId="0FD9FC5B">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（2）农机服务管理</w:t>
      </w:r>
    </w:p>
    <w:p w14:paraId="33AABA86">
      <w:pPr>
        <w:keepNext w:val="0"/>
        <w:keepLines w:val="0"/>
        <w:pageBreakBefore w:val="0"/>
        <w:widowControl w:val="0"/>
        <w:spacing w:line="400" w:lineRule="exact"/>
        <w:ind w:firstLine="480"/>
        <w:jc w:val="left"/>
        <w:rPr>
          <w:rFonts w:hint="eastAsia" w:ascii="宋体" w:hAnsi="宋体" w:eastAsia="宋体" w:cs="宋体"/>
          <w:sz w:val="28"/>
          <w:szCs w:val="28"/>
          <w:lang w:val="en-US" w:eastAsia="zh-CN"/>
        </w:rPr>
      </w:pPr>
      <w:r>
        <w:rPr>
          <w:rFonts w:hint="eastAsia" w:ascii="宋体" w:hAnsi="宋体" w:eastAsia="宋体" w:cs="宋体"/>
          <w:sz w:val="24"/>
          <w:szCs w:val="24"/>
          <w:lang w:val="en-US" w:eastAsia="zh-CN"/>
        </w:rPr>
        <w:t>建设农机作业服务管理模块，进行农机基础信息及农机作业情况监管，针对县域内农机所有人、号牌、类型、年检状态、品牌等数据进行综合监管。并支持提供接口对接智能农机，接入农业作业情况数据，实现作业监控管理，提供数据展示、查询和分析服务。</w:t>
      </w:r>
    </w:p>
    <w:p w14:paraId="2AFCE190">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（3）农技服务管理</w:t>
      </w:r>
    </w:p>
    <w:p w14:paraId="12001557">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建设农业技术支撑服务管理模块，支持进行农业行业资讯、政策规章等信息的展示与管理，并提供农技知识培训服务，进行农业种植技术、病虫害防治技术、防灾减灾技术等农技指导，实现农技服务的线上数字化平台搭建。</w:t>
      </w:r>
    </w:p>
    <w:p w14:paraId="1CA49D1A">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（4）种业保险服务管理</w:t>
      </w:r>
    </w:p>
    <w:p w14:paraId="164DD1FB">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进行制种保险服务管理，进行保险投保理赔信息统计，包括投保年度、单位名称、投保类型、地块名称、投保面积、承保单位、保额、保费等投保信息管理，以及保单号、险因类型、赔付金额等理赔信息管理。同时，依据国家公共安全信息化工程农业农村部种植业系统建设要求，与农业农村部农情信息调度系统进行对接，实现种业保险服务相关数据对接。为种业领域的保险理赔服务提供全面、高效的信息化管理，并为市场洞察与决策提供数据支撑。</w:t>
      </w:r>
    </w:p>
    <w:p w14:paraId="4D318FCF">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45" w:name="_Toc7387"/>
      <w:r>
        <w:rPr>
          <w:rFonts w:hint="eastAsia" w:ascii="宋体" w:hAnsi="宋体" w:eastAsia="宋体" w:cs="宋体"/>
          <w:b/>
          <w:bCs/>
          <w:sz w:val="24"/>
          <w:szCs w:val="24"/>
          <w:lang w:val="en-US" w:eastAsia="zh-CN"/>
        </w:rPr>
        <w:t>7.种子市场数智化动态监管平台</w:t>
      </w:r>
      <w:bookmarkEnd w:id="45"/>
    </w:p>
    <w:p w14:paraId="13B6500D">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（1）种子市场抽检管理</w:t>
      </w:r>
    </w:p>
    <w:p w14:paraId="19E38FAB">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进行种子市场抽检管理，包含抽检计划制定、抽检记录管理等，规范种子市场抽检流程，实现市场抽检信息化服务，确保种子质量安全，推动种业监控发展。</w:t>
      </w:r>
    </w:p>
    <w:p w14:paraId="586E1783">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（2）种子市场案件查处管理</w:t>
      </w:r>
    </w:p>
    <w:p w14:paraId="50768F1C">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种子市场案件查处的线上管理，支持记录案件的基本信息、查处过程、处理结果等关键信息。支持案件数据的统计分析与查询共享，为监管部门提供决策支持，同时促进部门间沟通与协作。确保案件查处过程的公正性、准确性，提高查处效率，有效维护种子市场秩序，保障种子行业健康发展。</w:t>
      </w:r>
    </w:p>
    <w:p w14:paraId="546242D9">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46" w:name="_Toc23061"/>
      <w:r>
        <w:rPr>
          <w:rFonts w:hint="eastAsia" w:ascii="宋体" w:hAnsi="宋体" w:eastAsia="宋体" w:cs="宋体"/>
          <w:b/>
          <w:bCs/>
          <w:sz w:val="24"/>
          <w:szCs w:val="24"/>
          <w:lang w:val="en-US" w:eastAsia="zh-CN"/>
        </w:rPr>
        <w:t>8.无人机遥感监测系统</w:t>
      </w:r>
      <w:bookmarkEnd w:id="46"/>
    </w:p>
    <w:p w14:paraId="08353905">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对制种田进行无人机低空遥感监测，将监测到的图像进行系统化的处理，结合水稻生育物候期模型，实现制种基地各条田水稻各生育期的长势的监测，为智慧决策提供科学数据支撑。</w:t>
      </w:r>
    </w:p>
    <w:p w14:paraId="71C93A03">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47" w:name="_Toc9739"/>
      <w:r>
        <w:rPr>
          <w:rFonts w:hint="eastAsia" w:ascii="宋体" w:hAnsi="宋体" w:eastAsia="宋体" w:cs="宋体"/>
          <w:b/>
          <w:bCs/>
          <w:sz w:val="24"/>
          <w:szCs w:val="24"/>
          <w:lang w:val="en-US" w:eastAsia="zh-CN"/>
        </w:rPr>
        <w:t>9.平台数据赋能与技术服务建设</w:t>
      </w:r>
      <w:bookmarkEnd w:id="47"/>
    </w:p>
    <w:p w14:paraId="56484A6D">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（1）数据对接与集成服务</w:t>
      </w:r>
    </w:p>
    <w:p w14:paraId="2C56D6C4">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深度对接中国种业大数据平台中品种审定、种子生产备案等业务系统、已有物联网设备及相关业务平台，进行种业相关数据的高效采集与集成管理。打破数据壁垒，构建统一数据资源池，实现数据互联互通与实时共享，并通过数据挖掘与分析，助力种业数据统一管理与服务，为金湖种业全产业链决策管理提供数据赋能。</w:t>
      </w:r>
    </w:p>
    <w:p w14:paraId="5CC8C207">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（2）数据录入与培训服务</w:t>
      </w:r>
    </w:p>
    <w:p w14:paraId="4BF505BE">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进行全县水稻制种基地地块信息、企业主体、机械设备、仓库、晒场等信息的整理入库，提供数据录入服务。并针对平台系统涉及的用户，按角色提供平台系统操作的相关培训服务，确保平台系统的高效使用与运行管理。</w:t>
      </w:r>
    </w:p>
    <w:p w14:paraId="6D82EADE">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（3）设备流量通讯服务</w:t>
      </w:r>
    </w:p>
    <w:p w14:paraId="5A69BD6C">
      <w:pPr>
        <w:keepNext w:val="0"/>
        <w:keepLines w:val="0"/>
        <w:pageBreakBefore w:val="0"/>
        <w:widowControl w:val="0"/>
        <w:spacing w:line="400" w:lineRule="exact"/>
        <w:ind w:firstLine="480"/>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涵盖物联网设备的数据通讯、云接入服务及全方位的技术与设备维护，确保数据与系统的实时、稳定运行，为金湖水稻制种管理提供坚实的数据支撑与决策赋能。5年免费服务期。</w:t>
      </w:r>
    </w:p>
    <w:p w14:paraId="529564E1">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（4）技术支持与设备维护</w:t>
      </w:r>
    </w:p>
    <w:p w14:paraId="4AE19C43">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提供平台运行的技术故障维护及相关技术咨询服务，支持进行基地物联网设备的运行维护等，确保系统与设备的正常运行。5年免费服务期。</w:t>
      </w:r>
    </w:p>
    <w:p w14:paraId="3AC3A4D5">
      <w:pPr>
        <w:pStyle w:val="216"/>
        <w:keepNext w:val="0"/>
        <w:keepLines w:val="0"/>
        <w:pageBreakBefore w:val="0"/>
        <w:widowControl/>
        <w:spacing w:before="0" w:after="0" w:line="400" w:lineRule="exact"/>
        <w:ind w:firstLine="241"/>
        <w:jc w:val="left"/>
        <w:rPr>
          <w:rFonts w:hint="eastAsia" w:ascii="宋体" w:hAnsi="宋体" w:eastAsia="宋体" w:cs="宋体"/>
          <w:b/>
          <w:bCs/>
          <w:sz w:val="24"/>
          <w:szCs w:val="24"/>
          <w:lang w:val="en-US" w:eastAsia="zh-CN"/>
        </w:rPr>
      </w:pPr>
      <w:bookmarkStart w:id="48" w:name="_Toc17578"/>
      <w:r>
        <w:rPr>
          <w:rFonts w:hint="eastAsia" w:ascii="宋体" w:hAnsi="宋体" w:eastAsia="宋体" w:cs="宋体"/>
          <w:b/>
          <w:bCs/>
          <w:sz w:val="24"/>
          <w:szCs w:val="24"/>
          <w:lang w:val="en-US" w:eastAsia="zh-CN"/>
        </w:rPr>
        <w:t>10.现代水稻数字化示范基地建设</w:t>
      </w:r>
      <w:bookmarkEnd w:id="48"/>
    </w:p>
    <w:p w14:paraId="76747D25">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现有水稻制种示范基地上安装部署一批智能田间气象站、土壤墒情、虫情测报、病情监测、长势监测等智能监测装备，对示范基地农情环境情况进行实时采集与动态分析，最终形成智能化的数字田间农情监测预警网络。</w:t>
      </w:r>
    </w:p>
    <w:p w14:paraId="00BAC429">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（1）苗情监测设备</w:t>
      </w:r>
    </w:p>
    <w:p w14:paraId="24780914">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通过布设视频监控设备，进行基地内水稻苗情长势监测，实现水稻长势苗情动态可视化监测。</w:t>
      </w:r>
    </w:p>
    <w:p w14:paraId="10378A91">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（2）病情监测设备</w:t>
      </w:r>
    </w:p>
    <w:p w14:paraId="7C396911">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通过布设孢子捕捉仪，进行基地内水稻作物病情数据采集和智能化监测。</w:t>
      </w:r>
    </w:p>
    <w:p w14:paraId="156EB921">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（3）虫情监测设备</w:t>
      </w:r>
    </w:p>
    <w:p w14:paraId="6B46B187">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通过布设虫情测报分析设备，进行基地内虫害信息采集，实现基地内虫情智能化监测。</w:t>
      </w:r>
    </w:p>
    <w:p w14:paraId="4E2E9753">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（4）种情移动监测装备</w:t>
      </w:r>
    </w:p>
    <w:p w14:paraId="5641D3F0">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通过使用便携式移动种情监测设备，对制种田块进行包括空气温度、空气湿度、土壤湿度、土壤温度等数据的实时监测与收集，实现随机测点的便携式移动采集监测。</w:t>
      </w:r>
    </w:p>
    <w:p w14:paraId="748443A7">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（5）土壤墒情监测设备</w:t>
      </w:r>
    </w:p>
    <w:p w14:paraId="24860321">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通过布设土壤墒情监测设备，进行种植基地土壤温度、湿度等数据采集，实现种植基地土壤墒情的智能化监测。</w:t>
      </w:r>
    </w:p>
    <w:p w14:paraId="1D4EA69B">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（6）农田气象监测设备</w:t>
      </w:r>
    </w:p>
    <w:p w14:paraId="0374F58D">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通过布设农田气象监测站，进行基地内空气温湿度、光照、风力、风向等气象数据监测，实现农田气象数据实时动态监测。</w:t>
      </w:r>
    </w:p>
    <w:p w14:paraId="47F57BAE">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（7）田间巡航设备</w:t>
      </w:r>
    </w:p>
    <w:p w14:paraId="165E3760">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通过利用无人机管理平台，实现对农田作物的长势监测和分析，实现农田的田间巡查和监测管理。</w:t>
      </w:r>
    </w:p>
    <w:p w14:paraId="16F7E1B5">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（8）电路改造通讯</w:t>
      </w:r>
    </w:p>
    <w:p w14:paraId="0B5E7596">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通过对农田网络进行改造，解决田间监测设备的数据传输，进而能够正常对接数据平台，进行平台数据的集成式管理。</w:t>
      </w:r>
    </w:p>
    <w:p w14:paraId="333267E1">
      <w:pPr>
        <w:pStyle w:val="183"/>
        <w:keepNext w:val="0"/>
        <w:keepLines w:val="0"/>
        <w:pageBreakBefore w:val="0"/>
        <w:widowControl w:val="0"/>
        <w:numPr>
          <w:ilvl w:val="0"/>
          <w:numId w:val="0"/>
        </w:numPr>
        <w:spacing w:before="0" w:after="0" w:line="400" w:lineRule="exact"/>
        <w:ind w:left="0" w:firstLine="482"/>
        <w:jc w:val="left"/>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（9）硬件设备实施</w:t>
      </w:r>
    </w:p>
    <w:p w14:paraId="2EF839DF">
      <w:pPr>
        <w:keepNext w:val="0"/>
        <w:keepLines w:val="0"/>
        <w:pageBreakBefore w:val="0"/>
        <w:widowControl w:val="0"/>
        <w:spacing w:line="4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包括对田间苗情监测、病情监测、虫情监测、墒情监测、气象监测、农田巡查等硬件设备以及基础、围栏等基础设施的安装、调试及辅材等。</w:t>
      </w:r>
    </w:p>
    <w:p w14:paraId="2D44C063">
      <w:pPr>
        <w:keepNext w:val="0"/>
        <w:keepLines w:val="0"/>
        <w:pageBreakBefore w:val="0"/>
        <w:widowControl w:val="0"/>
        <w:spacing w:line="440" w:lineRule="exact"/>
        <w:jc w:val="left"/>
        <w:rPr>
          <w:rFonts w:hint="eastAsia" w:ascii="宋体" w:hAnsi="宋体" w:eastAsia="宋体" w:cs="宋体"/>
          <w:b/>
          <w:bCs/>
          <w:sz w:val="24"/>
          <w:szCs w:val="24"/>
          <w:lang w:val="zh-CN" w:eastAsia="zh-CN"/>
        </w:rPr>
      </w:pPr>
      <w:r>
        <w:rPr>
          <w:rFonts w:hint="eastAsia" w:ascii="宋体" w:hAnsi="宋体" w:eastAsia="宋体" w:cs="宋体"/>
          <w:b/>
          <w:bCs/>
          <w:sz w:val="24"/>
          <w:szCs w:val="24"/>
          <w:lang w:val="en-US" w:eastAsia="zh-CN"/>
        </w:rPr>
        <w:t>三、技术要求</w:t>
      </w:r>
    </w:p>
    <w:tbl>
      <w:tblPr>
        <w:tblStyle w:val="2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1470"/>
        <w:gridCol w:w="6317"/>
        <w:gridCol w:w="725"/>
        <w:gridCol w:w="706"/>
      </w:tblGrid>
      <w:tr w14:paraId="22E03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744" w:type="dxa"/>
            <w:noWrap w:val="0"/>
            <w:vAlign w:val="center"/>
          </w:tcPr>
          <w:p w14:paraId="317C350C">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1470" w:type="dxa"/>
            <w:noWrap w:val="0"/>
            <w:vAlign w:val="center"/>
          </w:tcPr>
          <w:p w14:paraId="01E7BEAC">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名称</w:t>
            </w:r>
          </w:p>
        </w:tc>
        <w:tc>
          <w:tcPr>
            <w:tcW w:w="6317" w:type="dxa"/>
            <w:noWrap w:val="0"/>
            <w:vAlign w:val="center"/>
          </w:tcPr>
          <w:p w14:paraId="0500AA30">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技术参数</w:t>
            </w:r>
          </w:p>
        </w:tc>
        <w:tc>
          <w:tcPr>
            <w:tcW w:w="725" w:type="dxa"/>
            <w:noWrap w:val="0"/>
            <w:vAlign w:val="center"/>
          </w:tcPr>
          <w:p w14:paraId="768E86C1">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单位</w:t>
            </w:r>
          </w:p>
        </w:tc>
        <w:tc>
          <w:tcPr>
            <w:tcW w:w="706" w:type="dxa"/>
            <w:noWrap w:val="0"/>
            <w:vAlign w:val="center"/>
          </w:tcPr>
          <w:p w14:paraId="36FF939F">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数量</w:t>
            </w:r>
          </w:p>
        </w:tc>
      </w:tr>
      <w:tr w14:paraId="65958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6DB7390F">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一</w:t>
            </w:r>
          </w:p>
        </w:tc>
        <w:tc>
          <w:tcPr>
            <w:tcW w:w="9218" w:type="dxa"/>
            <w:gridSpan w:val="4"/>
            <w:noWrap w:val="0"/>
            <w:vAlign w:val="center"/>
          </w:tcPr>
          <w:p w14:paraId="25E6175D">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软件部分</w:t>
            </w:r>
          </w:p>
        </w:tc>
      </w:tr>
      <w:tr w14:paraId="07C0D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4E1A4979">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470" w:type="dxa"/>
            <w:noWrap w:val="0"/>
            <w:vAlign w:val="center"/>
          </w:tcPr>
          <w:p w14:paraId="13118999">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种业数智化决策中心</w:t>
            </w:r>
          </w:p>
        </w:tc>
        <w:tc>
          <w:tcPr>
            <w:tcW w:w="6317" w:type="dxa"/>
            <w:noWrap w:val="0"/>
            <w:vAlign w:val="center"/>
          </w:tcPr>
          <w:p w14:paraId="6D46D8C8">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详见建设内容中要求</w:t>
            </w:r>
          </w:p>
        </w:tc>
        <w:tc>
          <w:tcPr>
            <w:tcW w:w="725" w:type="dxa"/>
            <w:noWrap w:val="0"/>
            <w:vAlign w:val="center"/>
          </w:tcPr>
          <w:p w14:paraId="0821BA9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73DE2670">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r>
      <w:tr w14:paraId="7E6B8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1DA8C6E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470" w:type="dxa"/>
            <w:noWrap w:val="0"/>
            <w:vAlign w:val="center"/>
          </w:tcPr>
          <w:p w14:paraId="520A176D">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制种生产全环节数智化监管平台</w:t>
            </w:r>
          </w:p>
        </w:tc>
        <w:tc>
          <w:tcPr>
            <w:tcW w:w="6317" w:type="dxa"/>
            <w:noWrap w:val="0"/>
            <w:vAlign w:val="center"/>
          </w:tcPr>
          <w:p w14:paraId="3569A0F9">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详见建设内容中要求</w:t>
            </w:r>
          </w:p>
        </w:tc>
        <w:tc>
          <w:tcPr>
            <w:tcW w:w="725" w:type="dxa"/>
            <w:noWrap w:val="0"/>
            <w:vAlign w:val="center"/>
          </w:tcPr>
          <w:p w14:paraId="275A5F50">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53CF43B5">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r>
      <w:tr w14:paraId="660B6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2B935DF1">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470" w:type="dxa"/>
            <w:noWrap w:val="0"/>
            <w:vAlign w:val="center"/>
          </w:tcPr>
          <w:p w14:paraId="3FB1D77A">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种子质量可追溯监管平台</w:t>
            </w:r>
          </w:p>
        </w:tc>
        <w:tc>
          <w:tcPr>
            <w:tcW w:w="6317" w:type="dxa"/>
            <w:noWrap w:val="0"/>
            <w:vAlign w:val="center"/>
          </w:tcPr>
          <w:p w14:paraId="2C3A348A">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详见建设内容中要求</w:t>
            </w:r>
          </w:p>
        </w:tc>
        <w:tc>
          <w:tcPr>
            <w:tcW w:w="725" w:type="dxa"/>
            <w:noWrap w:val="0"/>
            <w:vAlign w:val="center"/>
          </w:tcPr>
          <w:p w14:paraId="420C919C">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2BDE448F">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r>
      <w:tr w14:paraId="5552F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4D66D45A">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470" w:type="dxa"/>
            <w:noWrap w:val="0"/>
            <w:vAlign w:val="center"/>
          </w:tcPr>
          <w:p w14:paraId="11E3B303">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制种数智化服务管理平台</w:t>
            </w:r>
          </w:p>
        </w:tc>
        <w:tc>
          <w:tcPr>
            <w:tcW w:w="6317" w:type="dxa"/>
            <w:noWrap w:val="0"/>
            <w:vAlign w:val="center"/>
          </w:tcPr>
          <w:p w14:paraId="50C66001">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详见建设内容中要求</w:t>
            </w:r>
          </w:p>
        </w:tc>
        <w:tc>
          <w:tcPr>
            <w:tcW w:w="725" w:type="dxa"/>
            <w:noWrap w:val="0"/>
            <w:vAlign w:val="center"/>
          </w:tcPr>
          <w:p w14:paraId="41CDF65A">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3E52C1B1">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r>
      <w:tr w14:paraId="03AD1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4050859D">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470" w:type="dxa"/>
            <w:noWrap w:val="0"/>
            <w:vAlign w:val="center"/>
          </w:tcPr>
          <w:p w14:paraId="006E2110">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种子市场数智化动态监管平台</w:t>
            </w:r>
          </w:p>
        </w:tc>
        <w:tc>
          <w:tcPr>
            <w:tcW w:w="6317" w:type="dxa"/>
            <w:noWrap w:val="0"/>
            <w:vAlign w:val="center"/>
          </w:tcPr>
          <w:p w14:paraId="6938B7FC">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详见建设内容中要求</w:t>
            </w:r>
          </w:p>
        </w:tc>
        <w:tc>
          <w:tcPr>
            <w:tcW w:w="725" w:type="dxa"/>
            <w:noWrap w:val="0"/>
            <w:vAlign w:val="center"/>
          </w:tcPr>
          <w:p w14:paraId="142BE19C">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4AA6F3DC">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r>
      <w:tr w14:paraId="2D1E2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4888B45E">
            <w:pPr>
              <w:keepNext w:val="0"/>
              <w:keepLines w:val="0"/>
              <w:widowControl/>
              <w:suppressLineNumbers w:val="0"/>
              <w:spacing w:before="0" w:beforeAutospacing="0" w:after="0" w:afterAutospacing="0"/>
              <w:ind w:left="0" w:right="0"/>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6</w:t>
            </w:r>
          </w:p>
        </w:tc>
        <w:tc>
          <w:tcPr>
            <w:tcW w:w="1470" w:type="dxa"/>
            <w:noWrap w:val="0"/>
            <w:vAlign w:val="center"/>
          </w:tcPr>
          <w:p w14:paraId="59906C33">
            <w:pPr>
              <w:keepNext w:val="0"/>
              <w:keepLines w:val="0"/>
              <w:suppressLineNumbers w:val="0"/>
              <w:spacing w:before="0" w:beforeAutospacing="0" w:after="0" w:afterAutospacing="0"/>
              <w:ind w:left="0" w:right="0"/>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平台数据赋能与技术服务</w:t>
            </w:r>
          </w:p>
        </w:tc>
        <w:tc>
          <w:tcPr>
            <w:tcW w:w="6317" w:type="dxa"/>
            <w:noWrap w:val="0"/>
            <w:vAlign w:val="center"/>
          </w:tcPr>
          <w:p w14:paraId="24D529EB">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详见建设内容中要求</w:t>
            </w:r>
          </w:p>
        </w:tc>
        <w:tc>
          <w:tcPr>
            <w:tcW w:w="725" w:type="dxa"/>
            <w:noWrap w:val="0"/>
            <w:vAlign w:val="center"/>
          </w:tcPr>
          <w:p w14:paraId="39262182">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555EC671">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r>
      <w:tr w14:paraId="33CCD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686A611C">
            <w:pPr>
              <w:keepNext w:val="0"/>
              <w:keepLines w:val="0"/>
              <w:pageBreakBefore w:val="0"/>
              <w:widowControl w:val="0"/>
              <w:suppressLineNumbers w:val="0"/>
              <w:spacing w:before="0" w:beforeAutospacing="0" w:after="0" w:afterAutospacing="0" w:line="440" w:lineRule="exact"/>
              <w:ind w:left="0" w:right="0"/>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bCs/>
                <w:sz w:val="24"/>
                <w:szCs w:val="24"/>
                <w:highlight w:val="none"/>
                <w:vertAlign w:val="baseline"/>
                <w:lang w:val="en-US" w:eastAsia="zh-CN"/>
              </w:rPr>
              <w:t>二</w:t>
            </w:r>
          </w:p>
        </w:tc>
        <w:tc>
          <w:tcPr>
            <w:tcW w:w="9218" w:type="dxa"/>
            <w:gridSpan w:val="4"/>
            <w:noWrap w:val="0"/>
            <w:vAlign w:val="center"/>
          </w:tcPr>
          <w:p w14:paraId="5363619A">
            <w:pPr>
              <w:keepNext w:val="0"/>
              <w:keepLines w:val="0"/>
              <w:pageBreakBefore w:val="0"/>
              <w:widowControl w:val="0"/>
              <w:suppressLineNumbers w:val="0"/>
              <w:spacing w:before="0" w:beforeAutospacing="0" w:after="0" w:afterAutospacing="0" w:line="44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vertAlign w:val="baseline"/>
                <w:lang w:val="en-US" w:eastAsia="zh-CN"/>
              </w:rPr>
              <w:t>硬件部分</w:t>
            </w:r>
          </w:p>
        </w:tc>
      </w:tr>
      <w:tr w14:paraId="321F3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454206DC">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w:t>
            </w:r>
          </w:p>
        </w:tc>
        <w:tc>
          <w:tcPr>
            <w:tcW w:w="1470" w:type="dxa"/>
            <w:noWrap w:val="0"/>
            <w:vAlign w:val="center"/>
          </w:tcPr>
          <w:p w14:paraId="45E591C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苗情监测设备</w:t>
            </w:r>
          </w:p>
        </w:tc>
        <w:tc>
          <w:tcPr>
            <w:tcW w:w="6317" w:type="dxa"/>
            <w:noWrap w:val="0"/>
            <w:vAlign w:val="center"/>
          </w:tcPr>
          <w:p w14:paraId="6F382017">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通过布设视频监控设备，进行基地内水稻苗情长势监测，实现水稻长势苗情动态可视化监测。</w:t>
            </w:r>
          </w:p>
          <w:p w14:paraId="1C18F486">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1、视频图像监测设备参数</w:t>
            </w:r>
          </w:p>
          <w:p w14:paraId="7F3BDBCF">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（1）支持最大2560×1440@30fps高清画面输出</w:t>
            </w:r>
          </w:p>
          <w:p w14:paraId="4FFF0133">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（2）移动通信类型：4G</w:t>
            </w:r>
          </w:p>
          <w:p w14:paraId="4FF264C8">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（3）支持H.265高效压缩算法，可较大节省存储空间</w:t>
            </w:r>
          </w:p>
          <w:p w14:paraId="632A33CC">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（4）支持24倍及以上光学变焦，12倍及以上数字变焦</w:t>
            </w:r>
          </w:p>
          <w:p w14:paraId="40908630">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（5）像素：≥400万</w:t>
            </w:r>
          </w:p>
          <w:p w14:paraId="5AF7B59E">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（5）红外照射距离可达120m;</w:t>
            </w:r>
          </w:p>
          <w:p w14:paraId="294643AF">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（6）支持360°水平旋转，垂直方向-20°～90°（自动翻转）</w:t>
            </w:r>
          </w:p>
          <w:p w14:paraId="3CB534F5">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（7）SD卡扩展：支持不低于256G</w:t>
            </w:r>
          </w:p>
          <w:p w14:paraId="1681B0B0">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（8）防雷、防浪涌、防突波，IP66防护等级</w:t>
            </w:r>
          </w:p>
          <w:p w14:paraId="0CA0003F">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（9）支持SDK、开放型视频网络接口、ONVIF、GB/T28181等</w:t>
            </w:r>
          </w:p>
          <w:p w14:paraId="7BF9869E">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2、太阳能供电系统参数</w:t>
            </w:r>
          </w:p>
          <w:p w14:paraId="3FB4532A">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（1）单晶太阳能板：转换率18%及以上，工作温度-20℃～60℃；</w:t>
            </w:r>
          </w:p>
          <w:p w14:paraId="1CCDCD58">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（2）控制器充电电压：12V；组件电流≤8A，工作温度：-20℃～60℃；</w:t>
            </w:r>
          </w:p>
          <w:p w14:paraId="2324ACA5">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（3）电池参数：12V，100AH及以上；充放电次数≥2000次；</w:t>
            </w:r>
          </w:p>
          <w:p w14:paraId="35FA857E">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（4）镀锌支架，太阳能板通用抱杆安装支架</w:t>
            </w:r>
          </w:p>
          <w:p w14:paraId="2A1F7313">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3、视频设备立杆：</w:t>
            </w:r>
          </w:p>
          <w:p w14:paraId="7250912D">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（1）镀锌管、喷塑5米及以上</w:t>
            </w:r>
          </w:p>
          <w:p w14:paraId="237D15FB">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（2）材质：2.0mm及以上镀锌钢管</w:t>
            </w:r>
          </w:p>
          <w:p w14:paraId="4140EBEA">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（3）口径：115mm及以上</w:t>
            </w:r>
          </w:p>
          <w:p w14:paraId="5BF47460">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（4）横臂：尺寸不低于（长）50cm*（直径）60mm*（壁厚）2.0mm</w:t>
            </w:r>
          </w:p>
          <w:p w14:paraId="01213EBD">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（5）含设备箱、地笼、避雷针</w:t>
            </w:r>
          </w:p>
          <w:p w14:paraId="343C21E3">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4、包含设备及配套设施的运输、保险等。</w:t>
            </w:r>
          </w:p>
        </w:tc>
        <w:tc>
          <w:tcPr>
            <w:tcW w:w="725" w:type="dxa"/>
            <w:noWrap w:val="0"/>
            <w:vAlign w:val="center"/>
          </w:tcPr>
          <w:p w14:paraId="31A25390">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1525D03F">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w:t>
            </w:r>
          </w:p>
        </w:tc>
      </w:tr>
      <w:tr w14:paraId="1C5E9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56CB83DA">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w:t>
            </w:r>
          </w:p>
        </w:tc>
        <w:tc>
          <w:tcPr>
            <w:tcW w:w="1470" w:type="dxa"/>
            <w:noWrap w:val="0"/>
            <w:vAlign w:val="center"/>
          </w:tcPr>
          <w:p w14:paraId="378A0CC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病情监测设备</w:t>
            </w:r>
          </w:p>
        </w:tc>
        <w:tc>
          <w:tcPr>
            <w:tcW w:w="6317" w:type="dxa"/>
            <w:noWrap w:val="0"/>
            <w:vAlign w:val="center"/>
          </w:tcPr>
          <w:p w14:paraId="2B93B3FF">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通过布设孢子捕捉仪进行基地内水稻作物病情数据采集和智能化监测。</w:t>
            </w:r>
          </w:p>
          <w:p w14:paraId="7E8DC38A">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（1）功率：≤150W。</w:t>
            </w:r>
          </w:p>
          <w:p w14:paraId="0CA8AA6B">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（2）材料：镀锌喷塑。</w:t>
            </w:r>
          </w:p>
          <w:p w14:paraId="7AF1EFEB">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（3）定时：可设置24个开关机时间段。</w:t>
            </w:r>
          </w:p>
          <w:p w14:paraId="1D73E843">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（4）拍照装置：1200万及以上像素相机，能够自动对所捕获病菌孢子进行高清显微拍摄，所拍摄图像清晰度能够达到人工识别病菌孢子种类的要求。</w:t>
            </w:r>
          </w:p>
          <w:p w14:paraId="1497F4D0">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（5）语音播报：实时播报设备的工作状态进程。</w:t>
            </w:r>
          </w:p>
          <w:p w14:paraId="1E500408">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（6）太阳能供电系统：200AH及以上电池，320W及以上太阳能光电池板。</w:t>
            </w:r>
          </w:p>
          <w:p w14:paraId="3F4094A9">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（7）时段控制：收集时间段可根据用户实际需求进行调整。</w:t>
            </w:r>
          </w:p>
        </w:tc>
        <w:tc>
          <w:tcPr>
            <w:tcW w:w="725" w:type="dxa"/>
            <w:noWrap w:val="0"/>
            <w:vAlign w:val="center"/>
          </w:tcPr>
          <w:p w14:paraId="5717E730">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6D649C83">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r>
      <w:tr w14:paraId="152F9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75D11954">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w:t>
            </w:r>
          </w:p>
        </w:tc>
        <w:tc>
          <w:tcPr>
            <w:tcW w:w="1470" w:type="dxa"/>
            <w:noWrap w:val="0"/>
            <w:vAlign w:val="center"/>
          </w:tcPr>
          <w:p w14:paraId="3298C31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虫情监测设备</w:t>
            </w:r>
          </w:p>
        </w:tc>
        <w:tc>
          <w:tcPr>
            <w:tcW w:w="6317" w:type="dxa"/>
            <w:noWrap w:val="0"/>
            <w:vAlign w:val="center"/>
          </w:tcPr>
          <w:p w14:paraId="07856395">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通过布设虫情测报分析设备，进行基地内虫害信息采集，实现基地内虫情智能化监测。</w:t>
            </w:r>
          </w:p>
          <w:p w14:paraId="43B5CF49">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（1）诱集光源：黑光灯管，主波长365nm。</w:t>
            </w:r>
          </w:p>
          <w:p w14:paraId="0A0B4139">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（2）供电：太阳能套装供电系统，24V供电。</w:t>
            </w:r>
          </w:p>
          <w:p w14:paraId="17B77E58">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（3）远红外虫体处理致死率不小于98%，虫体完整率不小于95%。</w:t>
            </w:r>
          </w:p>
          <w:p w14:paraId="269138B3">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（4）光控：根据昼夜交替自动开关灯。</w:t>
            </w:r>
          </w:p>
          <w:p w14:paraId="519F770D">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（5）排水装置：可实现自动雨控及排水。</w:t>
            </w:r>
          </w:p>
          <w:p w14:paraId="1E1BBB2B">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（6）接虫箱：不锈钢喷塑材质，可抽拉。</w:t>
            </w:r>
          </w:p>
          <w:p w14:paraId="07B2091D">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（7）自动识别和计数：具有自动识别和计数功能。</w:t>
            </w:r>
          </w:p>
          <w:p w14:paraId="06B6CE0B">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（8）全中文液晶显示，7寸及以上电容触摸屏。可分时段设置和控制，支持远程自动拍照，配置1200万及以上像素内置相机。</w:t>
            </w:r>
          </w:p>
          <w:p w14:paraId="24455DEB">
            <w:pPr>
              <w:keepNext w:val="0"/>
              <w:keepLines w:val="0"/>
              <w:pageBreakBefore w:val="0"/>
              <w:widowControl w:val="0"/>
              <w:suppressLineNumbers w:val="0"/>
              <w:spacing w:before="0" w:beforeAutospacing="0" w:after="0" w:afterAutospacing="0" w:line="360" w:lineRule="exact"/>
              <w:ind w:left="0" w:right="0"/>
              <w:jc w:val="left"/>
              <w:rPr>
                <w:rFonts w:hint="eastAsia" w:ascii="仿宋_GB2312" w:hAnsi="仿宋_GB2312" w:eastAsia="仿宋_GB2312" w:cs="仿宋_GB2312"/>
                <w:i w:val="0"/>
                <w:iCs w:val="0"/>
                <w:color w:val="000000"/>
                <w:sz w:val="24"/>
                <w:szCs w:val="24"/>
                <w:highlight w:val="none"/>
                <w:u w:val="none"/>
                <w:lang w:val="en-US" w:eastAsia="zh-CN" w:bidi="ar-SA"/>
              </w:rPr>
            </w:pPr>
            <w:r>
              <w:rPr>
                <w:rFonts w:hint="eastAsia" w:ascii="宋体" w:hAnsi="宋体" w:eastAsia="宋体" w:cs="宋体"/>
                <w:b w:val="0"/>
                <w:bCs w:val="0"/>
                <w:sz w:val="21"/>
                <w:szCs w:val="21"/>
                <w:highlight w:val="none"/>
                <w:vertAlign w:val="baseline"/>
                <w:lang w:val="en-US" w:eastAsia="zh-CN"/>
              </w:rPr>
              <w:t>（9）太阳能供电系统：200AH及以上电池，320W及以上太阳能光电池板。</w:t>
            </w:r>
          </w:p>
        </w:tc>
        <w:tc>
          <w:tcPr>
            <w:tcW w:w="725" w:type="dxa"/>
            <w:noWrap w:val="0"/>
            <w:vAlign w:val="center"/>
          </w:tcPr>
          <w:p w14:paraId="2C4D26D4">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0F7D2EF8">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r>
      <w:tr w14:paraId="37890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3EEF056F">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4</w:t>
            </w:r>
          </w:p>
        </w:tc>
        <w:tc>
          <w:tcPr>
            <w:tcW w:w="1470" w:type="dxa"/>
            <w:noWrap w:val="0"/>
            <w:vAlign w:val="center"/>
          </w:tcPr>
          <w:p w14:paraId="7E976DC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种情移动监测装备</w:t>
            </w:r>
          </w:p>
        </w:tc>
        <w:tc>
          <w:tcPr>
            <w:tcW w:w="6317" w:type="dxa"/>
            <w:noWrap w:val="0"/>
            <w:vAlign w:val="center"/>
          </w:tcPr>
          <w:p w14:paraId="1B17FC42">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通过使用便携式移动种情监测设备，对制种田块进行包括空气湿度、土壤湿度、土壤温度等数据的实时监测与收集，实现随机测点的便携式移动采集监测。</w:t>
            </w:r>
            <w:r>
              <w:rPr>
                <w:rFonts w:hint="eastAsia" w:ascii="宋体" w:hAnsi="宋体" w:eastAsia="宋体" w:cs="宋体"/>
                <w:b w:val="0"/>
                <w:bCs w:val="0"/>
                <w:sz w:val="21"/>
                <w:szCs w:val="21"/>
                <w:highlight w:val="none"/>
                <w:vertAlign w:val="baseline"/>
                <w:lang w:val="en-US" w:eastAsia="zh-CN"/>
              </w:rPr>
              <w:br w:type="textWrapping" w:clear="all"/>
            </w:r>
            <w:r>
              <w:rPr>
                <w:rFonts w:hint="eastAsia" w:ascii="宋体" w:hAnsi="宋体" w:eastAsia="宋体" w:cs="宋体"/>
                <w:b w:val="0"/>
                <w:bCs w:val="0"/>
                <w:sz w:val="21"/>
                <w:szCs w:val="21"/>
                <w:highlight w:val="none"/>
                <w:vertAlign w:val="baseline"/>
                <w:lang w:val="en-US" w:eastAsia="zh-CN"/>
              </w:rPr>
              <w:t>（1）支持对制种田监测点进行移动监测，可监测空气温湿度、土壤温湿度等。</w:t>
            </w:r>
          </w:p>
          <w:p w14:paraId="4BDA0654">
            <w:pPr>
              <w:keepNext w:val="0"/>
              <w:keepLines w:val="0"/>
              <w:pageBreakBefore w:val="0"/>
              <w:widowControl w:val="0"/>
              <w:suppressLineNumbers w:val="0"/>
              <w:spacing w:before="0" w:beforeAutospacing="0" w:after="0" w:afterAutospacing="0" w:line="360" w:lineRule="exact"/>
              <w:ind w:left="0" w:right="0"/>
              <w:jc w:val="left"/>
              <w:rPr>
                <w:rFonts w:hint="eastAsia" w:ascii="仿宋_GB2312" w:hAnsi="仿宋_GB2312" w:eastAsia="仿宋_GB2312" w:cs="仿宋_GB2312"/>
                <w:i w:val="0"/>
                <w:iCs w:val="0"/>
                <w:color w:val="000000"/>
                <w:sz w:val="24"/>
                <w:szCs w:val="24"/>
                <w:highlight w:val="none"/>
                <w:u w:val="none"/>
                <w:lang w:val="en-US" w:eastAsia="zh-CN" w:bidi="ar-SA"/>
              </w:rPr>
            </w:pPr>
            <w:r>
              <w:rPr>
                <w:rFonts w:hint="eastAsia" w:ascii="宋体" w:hAnsi="宋体" w:eastAsia="宋体" w:cs="宋体"/>
                <w:b w:val="0"/>
                <w:bCs w:val="0"/>
                <w:sz w:val="21"/>
                <w:szCs w:val="21"/>
                <w:highlight w:val="none"/>
                <w:vertAlign w:val="baseline"/>
                <w:lang w:val="en-US" w:eastAsia="zh-CN"/>
              </w:rPr>
              <w:t>（2）支持自动生成监测数据曲线。</w:t>
            </w:r>
            <w:r>
              <w:rPr>
                <w:rFonts w:hint="eastAsia" w:ascii="宋体" w:hAnsi="宋体" w:eastAsia="宋体" w:cs="宋体"/>
                <w:b w:val="0"/>
                <w:bCs w:val="0"/>
                <w:sz w:val="21"/>
                <w:szCs w:val="21"/>
                <w:highlight w:val="none"/>
                <w:vertAlign w:val="baseline"/>
                <w:lang w:val="en-US" w:eastAsia="zh-CN"/>
              </w:rPr>
              <w:br w:type="textWrapping" w:clear="all"/>
            </w:r>
            <w:r>
              <w:rPr>
                <w:rFonts w:hint="eastAsia" w:ascii="宋体" w:hAnsi="宋体" w:eastAsia="宋体" w:cs="宋体"/>
                <w:b w:val="0"/>
                <w:bCs w:val="0"/>
                <w:sz w:val="21"/>
                <w:szCs w:val="21"/>
                <w:highlight w:val="none"/>
                <w:vertAlign w:val="baseline"/>
                <w:lang w:val="en-US" w:eastAsia="zh-CN"/>
              </w:rPr>
              <w:t>（3）采用低功耗设计，可实现与软件系统的自动数据对接。</w:t>
            </w:r>
          </w:p>
        </w:tc>
        <w:tc>
          <w:tcPr>
            <w:tcW w:w="725" w:type="dxa"/>
            <w:noWrap w:val="0"/>
            <w:vAlign w:val="center"/>
          </w:tcPr>
          <w:p w14:paraId="498CC14D">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4C4818BE">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r>
      <w:tr w14:paraId="5B0B6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2" w:hRule="atLeast"/>
        </w:trPr>
        <w:tc>
          <w:tcPr>
            <w:tcW w:w="744" w:type="dxa"/>
            <w:noWrap w:val="0"/>
            <w:vAlign w:val="center"/>
          </w:tcPr>
          <w:p w14:paraId="335B2FEE">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5</w:t>
            </w:r>
          </w:p>
        </w:tc>
        <w:tc>
          <w:tcPr>
            <w:tcW w:w="1470" w:type="dxa"/>
            <w:noWrap w:val="0"/>
            <w:vAlign w:val="center"/>
          </w:tcPr>
          <w:p w14:paraId="5EFC9B3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土壤墒情监测设备</w:t>
            </w:r>
          </w:p>
        </w:tc>
        <w:tc>
          <w:tcPr>
            <w:tcW w:w="6317" w:type="dxa"/>
            <w:noWrap w:val="0"/>
            <w:vAlign w:val="center"/>
          </w:tcPr>
          <w:p w14:paraId="6A86B415">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通过布设土壤墒情监测设备，进行种植基地土壤温度、湿度等数据采集，实现种植基地土壤墒情的智能化监测。</w:t>
            </w:r>
          </w:p>
          <w:p w14:paraId="2FC559E7">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（1）支持对制种田三层土壤的温湿度和氮磷钾含量、盐分、电导率、ph值等数据监测；</w:t>
            </w:r>
          </w:p>
          <w:p w14:paraId="4A46D09E">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（2）自动生成监测数据曲线，为病虫害模型提供数据依据。</w:t>
            </w:r>
          </w:p>
          <w:p w14:paraId="5CB753DE">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（3）支持10、20、40cm土壤深度监测，三层氮磷钾、土壤温湿度等信息采集；太阳能供电，4g网络模式传输。</w:t>
            </w:r>
          </w:p>
        </w:tc>
        <w:tc>
          <w:tcPr>
            <w:tcW w:w="725" w:type="dxa"/>
            <w:noWrap w:val="0"/>
            <w:vAlign w:val="center"/>
          </w:tcPr>
          <w:p w14:paraId="75C82C09">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55DDF6A5">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r>
      <w:tr w14:paraId="23D6D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2CB12041">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6</w:t>
            </w:r>
          </w:p>
        </w:tc>
        <w:tc>
          <w:tcPr>
            <w:tcW w:w="1470" w:type="dxa"/>
            <w:noWrap w:val="0"/>
            <w:vAlign w:val="center"/>
          </w:tcPr>
          <w:p w14:paraId="4D8A08B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农田气象监测设备</w:t>
            </w:r>
          </w:p>
        </w:tc>
        <w:tc>
          <w:tcPr>
            <w:tcW w:w="6317" w:type="dxa"/>
            <w:noWrap w:val="0"/>
            <w:vAlign w:val="center"/>
          </w:tcPr>
          <w:p w14:paraId="046B2FBF">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通过布设农田气象监测站，进行基地内空气温湿度、光照、风力、风向等气象数据监测，实现农田气象数据实时动态监测。</w:t>
            </w:r>
          </w:p>
          <w:p w14:paraId="0264F21B">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（1）支持对空气温度、湿度、雨量、风力风向、大气压、光照强度等要素田间环境信息进行监测；</w:t>
            </w:r>
          </w:p>
          <w:p w14:paraId="43FCF88F">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（2）系统支持自动生成监测数据曲线。</w:t>
            </w:r>
          </w:p>
          <w:p w14:paraId="2E3B3539">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（3）系统支持4G全网通无线通讯模块。内置定位模块。</w:t>
            </w:r>
          </w:p>
        </w:tc>
        <w:tc>
          <w:tcPr>
            <w:tcW w:w="725" w:type="dxa"/>
            <w:noWrap w:val="0"/>
            <w:vAlign w:val="center"/>
          </w:tcPr>
          <w:p w14:paraId="0084833D">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150DEFAD">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r>
      <w:tr w14:paraId="78DCE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noWrap w:val="0"/>
            <w:vAlign w:val="center"/>
          </w:tcPr>
          <w:p w14:paraId="7CEDA952">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7</w:t>
            </w:r>
          </w:p>
        </w:tc>
        <w:tc>
          <w:tcPr>
            <w:tcW w:w="1470" w:type="dxa"/>
            <w:noWrap w:val="0"/>
            <w:vAlign w:val="center"/>
          </w:tcPr>
          <w:p w14:paraId="1A29EE9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田间巡航设备</w:t>
            </w:r>
          </w:p>
        </w:tc>
        <w:tc>
          <w:tcPr>
            <w:tcW w:w="6317" w:type="dxa"/>
            <w:noWrap w:val="0"/>
            <w:vAlign w:val="center"/>
          </w:tcPr>
          <w:p w14:paraId="1284384D">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1、机场设备</w:t>
            </w:r>
          </w:p>
          <w:p w14:paraId="05B30848">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（1）尺寸：≤650mmx750mmx800mm（舱盖闭合，不含气象站）</w:t>
            </w:r>
          </w:p>
          <w:p w14:paraId="5D693CC3">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（2）重量：设备重量≤60kg</w:t>
            </w:r>
          </w:p>
          <w:p w14:paraId="77D4A2E5">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（3）机场IP防护等级：≥IP55</w:t>
            </w:r>
          </w:p>
          <w:p w14:paraId="60FB150A">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（4）最大允许降落风速≥10m/s</w:t>
            </w:r>
          </w:p>
          <w:p w14:paraId="32DAE7DD">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（5）最大作业半径：最大作业半径≥10公里</w:t>
            </w:r>
          </w:p>
          <w:p w14:paraId="2B37F184">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（6）设备最短作业间隔≤35min；</w:t>
            </w:r>
          </w:p>
          <w:p w14:paraId="2F16FC97">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（7）设备内置备用电池，续航时间≥4小时</w:t>
            </w:r>
          </w:p>
          <w:p w14:paraId="00B69396">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（8）设备内置传感器：内置风速、雨量、温度、湿度、水浸等传感器</w:t>
            </w:r>
          </w:p>
          <w:p w14:paraId="5C8EF9E7">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（9）监控：支持双摄监控，可监控舱内和舱外情况</w:t>
            </w:r>
          </w:p>
          <w:p w14:paraId="30E05567">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（10）开放协议：设备支持二次开发</w:t>
            </w:r>
          </w:p>
          <w:p w14:paraId="436EADE6">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（11）飞行器支持快速起飞，20秒内完成快速起飞</w:t>
            </w:r>
          </w:p>
          <w:p w14:paraId="1C65187D">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2、配套无人机</w:t>
            </w:r>
          </w:p>
          <w:p w14:paraId="490EB478">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（1）裸机重量：飞行器裸机重量≤1900克（无配件，含电池）</w:t>
            </w:r>
          </w:p>
          <w:p w14:paraId="7D35A35C">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（2）最大起飞重量：最大起飞重量≥2000克</w:t>
            </w:r>
          </w:p>
          <w:p w14:paraId="264B6D99">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（3）尺寸：≤380mmx420mmx220mm（L×W×H）</w:t>
            </w:r>
          </w:p>
          <w:p w14:paraId="67CD46F2">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（4）轴距：对角线轴距 ≤500 毫米</w:t>
            </w:r>
          </w:p>
          <w:p w14:paraId="5837F250">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（5）最大水平飞行速度：≥ 20 米/秒</w:t>
            </w:r>
          </w:p>
          <w:p w14:paraId="1DD4C0CF">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（6）最大上升速度≥6米/秒</w:t>
            </w:r>
          </w:p>
          <w:p w14:paraId="613CA274">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（7）最大下降速度≥6米/秒</w:t>
            </w:r>
          </w:p>
          <w:p w14:paraId="397F517D">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（8）作业阶段抗风能力≥12米/秒</w:t>
            </w:r>
          </w:p>
          <w:p w14:paraId="4F593E23">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（9）最长飞行时间≥50分钟</w:t>
            </w:r>
          </w:p>
          <w:p w14:paraId="312B7406">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（10）最大作业半径≥10公里</w:t>
            </w:r>
          </w:p>
          <w:p w14:paraId="0BEF9383">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（11）支持单北斗定位（仅北斗版本硬件）：支持仅单北斗定位模式（仅北斗版本硬件）</w:t>
            </w:r>
          </w:p>
          <w:p w14:paraId="06B64D4F">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（12）4G图传：飞行器支持使用4G增强图传</w:t>
            </w:r>
          </w:p>
          <w:p w14:paraId="1D1C5169">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（13）相机类型：具备长焦可见光、中长焦可见光、广角可见光</w:t>
            </w:r>
          </w:p>
          <w:p w14:paraId="2D9C2A1D">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（14）广角相机：相机CMOS≥1/2英寸，有效像素≥4000万</w:t>
            </w:r>
          </w:p>
          <w:p w14:paraId="44DE56BF">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（15）中长焦相机：具备中长焦相机，相机CMOS≥1/2英寸，有效像素≥4000万</w:t>
            </w:r>
          </w:p>
          <w:p w14:paraId="3BF6EA78">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（16）长焦相机：具备长焦相机，相机CMOS≥1/2英寸，有效像素≥4000万</w:t>
            </w:r>
          </w:p>
          <w:p w14:paraId="177DCECE">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（17）热成像相机：分辨率≥640*512</w:t>
            </w:r>
          </w:p>
          <w:p w14:paraId="10E4607A">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（18）可见光相机变焦倍数：变焦倍数≥100倍数字变焦</w:t>
            </w:r>
          </w:p>
          <w:p w14:paraId="276B0DD0">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（19）激光测距模块：最远正入射量程≥1000m</w:t>
            </w:r>
          </w:p>
          <w:p w14:paraId="036A6A99">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（20）稳定系统：具备三轴机械增稳云台（俯仰、横滚、平移）</w:t>
            </w:r>
          </w:p>
          <w:p w14:paraId="33B7FE8E">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（21）含三年机场设备和配套无人机设备原厂保障服务和意外维修险。</w:t>
            </w:r>
          </w:p>
          <w:p w14:paraId="60AE4386">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（22）第三者责任险 ≥（100万元/年），共计三年</w:t>
            </w:r>
          </w:p>
          <w:p w14:paraId="460AF170">
            <w:pPr>
              <w:keepNext w:val="0"/>
              <w:keepLines w:val="0"/>
              <w:pageBreakBefore w:val="0"/>
              <w:widowControl w:val="0"/>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（23）API数据接口，三年</w:t>
            </w:r>
          </w:p>
          <w:p w14:paraId="7E73AD87">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bidi="ar-SA"/>
              </w:rPr>
              <w:t>3、</w:t>
            </w:r>
            <w:r>
              <w:rPr>
                <w:rFonts w:hint="eastAsia" w:ascii="宋体" w:hAnsi="宋体" w:eastAsia="宋体" w:cs="宋体"/>
                <w:b w:val="0"/>
                <w:bCs w:val="0"/>
                <w:sz w:val="21"/>
                <w:szCs w:val="21"/>
                <w:highlight w:val="none"/>
                <w:vertAlign w:val="baseline"/>
                <w:lang w:val="en-US" w:eastAsia="zh-CN"/>
              </w:rPr>
              <w:t>遥控器</w:t>
            </w:r>
          </w:p>
          <w:p w14:paraId="185DB082">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bidi="ar-SA"/>
              </w:rPr>
              <w:t>（1）</w:t>
            </w:r>
            <w:r>
              <w:rPr>
                <w:rFonts w:ascii="宋体" w:hAnsi="宋体" w:eastAsia="宋体" w:cs="宋体"/>
                <w:b w:val="0"/>
                <w:bCs w:val="0"/>
                <w:sz w:val="21"/>
                <w:szCs w:val="21"/>
                <w:highlight w:val="none"/>
                <w:vertAlign w:val="baseline"/>
                <w:lang w:val="en-US" w:eastAsia="zh-CN"/>
              </w:rPr>
              <w:t>天线</w:t>
            </w:r>
            <w:r>
              <w:rPr>
                <w:rFonts w:hint="eastAsia" w:ascii="宋体" w:hAnsi="宋体" w:eastAsia="宋体" w:cs="宋体"/>
                <w:b w:val="0"/>
                <w:bCs w:val="0"/>
                <w:sz w:val="21"/>
                <w:szCs w:val="21"/>
                <w:highlight w:val="none"/>
                <w:vertAlign w:val="baseline"/>
                <w:lang w:val="en-US" w:eastAsia="zh-CN"/>
              </w:rPr>
              <w:t>：</w:t>
            </w:r>
            <w:r>
              <w:rPr>
                <w:rFonts w:ascii="宋体" w:hAnsi="宋体" w:eastAsia="宋体" w:cs="宋体"/>
                <w:b w:val="0"/>
                <w:bCs w:val="0"/>
                <w:sz w:val="21"/>
                <w:szCs w:val="21"/>
                <w:highlight w:val="none"/>
                <w:vertAlign w:val="baseline"/>
                <w:lang w:val="en-US" w:eastAsia="zh-CN"/>
              </w:rPr>
              <w:t>≥4天线</w:t>
            </w:r>
          </w:p>
          <w:p w14:paraId="6D438F82">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w:t>
            </w:r>
            <w:r>
              <w:rPr>
                <w:rFonts w:ascii="宋体" w:hAnsi="宋体" w:eastAsia="宋体" w:cs="宋体"/>
                <w:b w:val="0"/>
                <w:bCs w:val="0"/>
                <w:sz w:val="21"/>
                <w:szCs w:val="21"/>
                <w:highlight w:val="none"/>
                <w:vertAlign w:val="baseline"/>
                <w:lang w:val="en-US" w:eastAsia="zh-CN"/>
              </w:rPr>
              <w:t>工作频段</w:t>
            </w:r>
            <w:r>
              <w:rPr>
                <w:rFonts w:hint="eastAsia" w:ascii="宋体" w:hAnsi="宋体" w:eastAsia="宋体" w:cs="宋体"/>
                <w:b w:val="0"/>
                <w:bCs w:val="0"/>
                <w:sz w:val="21"/>
                <w:szCs w:val="21"/>
                <w:highlight w:val="none"/>
                <w:vertAlign w:val="baseline"/>
                <w:lang w:val="en-US" w:eastAsia="zh-CN"/>
              </w:rPr>
              <w:t>：</w:t>
            </w:r>
            <w:r>
              <w:rPr>
                <w:rFonts w:ascii="宋体" w:hAnsi="宋体" w:eastAsia="宋体" w:cs="宋体"/>
                <w:b w:val="0"/>
                <w:bCs w:val="0"/>
                <w:sz w:val="21"/>
                <w:szCs w:val="21"/>
                <w:highlight w:val="none"/>
                <w:vertAlign w:val="baseline"/>
                <w:lang w:val="en-US" w:eastAsia="zh-CN"/>
              </w:rPr>
              <w:t>支持2.4G、5.8G图传</w:t>
            </w:r>
          </w:p>
          <w:p w14:paraId="6EC82C68">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w:t>
            </w:r>
            <w:r>
              <w:rPr>
                <w:rFonts w:ascii="宋体" w:hAnsi="宋体" w:eastAsia="宋体" w:cs="宋体"/>
                <w:b w:val="0"/>
                <w:bCs w:val="0"/>
                <w:sz w:val="21"/>
                <w:szCs w:val="21"/>
                <w:highlight w:val="none"/>
                <w:vertAlign w:val="baseline"/>
                <w:lang w:val="en-US" w:eastAsia="zh-CN"/>
              </w:rPr>
              <w:t>显示器分辨率：地面站显示器应采用触摸屏，屏幕显示分辨率≥1920*1080p</w:t>
            </w:r>
          </w:p>
          <w:p w14:paraId="28CDC693">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w:t>
            </w:r>
            <w:r>
              <w:rPr>
                <w:rFonts w:ascii="宋体" w:hAnsi="宋体" w:eastAsia="宋体" w:cs="宋体"/>
                <w:b w:val="0"/>
                <w:bCs w:val="0"/>
                <w:sz w:val="21"/>
                <w:szCs w:val="21"/>
                <w:highlight w:val="none"/>
                <w:vertAlign w:val="baseline"/>
                <w:lang w:val="en-US" w:eastAsia="zh-CN"/>
              </w:rPr>
              <w:t>显示器亮度：显示器亮度≥1400尼特</w:t>
            </w:r>
          </w:p>
          <w:p w14:paraId="6B70FB6E">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w:t>
            </w:r>
            <w:r>
              <w:rPr>
                <w:rFonts w:ascii="宋体" w:hAnsi="宋体" w:eastAsia="宋体" w:cs="宋体"/>
                <w:b w:val="0"/>
                <w:bCs w:val="0"/>
                <w:sz w:val="21"/>
                <w:szCs w:val="21"/>
                <w:highlight w:val="none"/>
                <w:vertAlign w:val="baseline"/>
                <w:lang w:val="en-US" w:eastAsia="zh-CN"/>
              </w:rPr>
              <w:t>遥控器4G增强图传：支持4G增强图传模块，提升图传稳定性</w:t>
            </w:r>
          </w:p>
          <w:p w14:paraId="31BFD767">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w:t>
            </w:r>
            <w:r>
              <w:rPr>
                <w:rFonts w:ascii="宋体" w:hAnsi="宋体" w:eastAsia="宋体" w:cs="宋体"/>
                <w:b w:val="0"/>
                <w:bCs w:val="0"/>
                <w:sz w:val="21"/>
                <w:szCs w:val="21"/>
                <w:highlight w:val="none"/>
                <w:vertAlign w:val="baseline"/>
                <w:lang w:val="en-US" w:eastAsia="zh-CN"/>
              </w:rPr>
              <w:t>遥控器重量：不带外置电池重量≤1.2kg</w:t>
            </w:r>
          </w:p>
          <w:p w14:paraId="0EAA51FC">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w:t>
            </w:r>
            <w:r>
              <w:rPr>
                <w:rFonts w:ascii="宋体" w:hAnsi="宋体" w:eastAsia="宋体" w:cs="宋体"/>
                <w:b w:val="0"/>
                <w:bCs w:val="0"/>
                <w:sz w:val="21"/>
                <w:szCs w:val="21"/>
                <w:highlight w:val="none"/>
                <w:vertAlign w:val="baseline"/>
                <w:lang w:val="en-US" w:eastAsia="zh-CN"/>
              </w:rPr>
              <w:t>接口：支持的接口包括HDMI1.4，SD3.0，Type-C支持OTG，</w:t>
            </w:r>
            <w:r>
              <w:rPr>
                <w:rFonts w:hint="eastAsia" w:ascii="宋体" w:hAnsi="宋体" w:eastAsia="宋体" w:cs="宋体"/>
                <w:b w:val="0"/>
                <w:bCs w:val="0"/>
                <w:sz w:val="21"/>
                <w:szCs w:val="21"/>
                <w:highlight w:val="none"/>
                <w:vertAlign w:val="baseline"/>
                <w:lang w:val="en-US" w:eastAsia="zh-CN"/>
              </w:rPr>
              <w:t>（8）</w:t>
            </w:r>
            <w:r>
              <w:rPr>
                <w:rFonts w:ascii="宋体" w:hAnsi="宋体" w:eastAsia="宋体" w:cs="宋体"/>
                <w:b w:val="0"/>
                <w:bCs w:val="0"/>
                <w:sz w:val="21"/>
                <w:szCs w:val="21"/>
                <w:highlight w:val="none"/>
                <w:vertAlign w:val="baseline"/>
                <w:lang w:val="en-US" w:eastAsia="zh-CN"/>
              </w:rPr>
              <w:t>支持PD充电，USB-A</w:t>
            </w:r>
          </w:p>
          <w:p w14:paraId="556FB0C3">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（9）</w:t>
            </w:r>
            <w:r>
              <w:rPr>
                <w:rFonts w:ascii="宋体" w:hAnsi="宋体" w:eastAsia="宋体" w:cs="宋体"/>
                <w:b w:val="0"/>
                <w:bCs w:val="0"/>
                <w:sz w:val="21"/>
                <w:szCs w:val="21"/>
                <w:highlight w:val="none"/>
                <w:vertAlign w:val="baseline"/>
                <w:lang w:val="en-US" w:eastAsia="zh-CN"/>
              </w:rPr>
              <w:t>遥控器支持外置电池</w:t>
            </w:r>
          </w:p>
          <w:p w14:paraId="5A89AAEB">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（10）</w:t>
            </w:r>
            <w:r>
              <w:rPr>
                <w:rFonts w:ascii="宋体" w:hAnsi="宋体" w:eastAsia="宋体" w:cs="宋体"/>
                <w:b w:val="0"/>
                <w:bCs w:val="0"/>
                <w:sz w:val="21"/>
                <w:szCs w:val="21"/>
                <w:highlight w:val="none"/>
                <w:vertAlign w:val="baseline"/>
                <w:lang w:val="en-US" w:eastAsia="zh-CN"/>
              </w:rPr>
              <w:t>最大信号有效距离（无干扰、无遮挡）：≥20公里（FCC）10公里（CE/SRRC/MIC）</w:t>
            </w:r>
          </w:p>
          <w:p w14:paraId="294545C3">
            <w:pPr>
              <w:keepNext w:val="0"/>
              <w:keepLines w:val="0"/>
              <w:pageBreakBefore w:val="0"/>
              <w:widowControl w:val="0"/>
              <w:numPr>
                <w:ilvl w:val="0"/>
                <w:numId w:val="0"/>
              </w:numPr>
              <w:suppressLineNumbers w:val="0"/>
              <w:spacing w:before="0" w:beforeAutospacing="0" w:after="0" w:afterAutospacing="0" w:line="360" w:lineRule="exact"/>
              <w:ind w:left="0" w:right="0"/>
              <w:jc w:val="left"/>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注：包含安装部署的人力、交通、物流、辅材的费用。</w:t>
            </w:r>
          </w:p>
        </w:tc>
        <w:tc>
          <w:tcPr>
            <w:tcW w:w="725" w:type="dxa"/>
            <w:noWrap w:val="0"/>
            <w:vAlign w:val="center"/>
          </w:tcPr>
          <w:p w14:paraId="06F9AC71">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0385BCAA">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r>
      <w:tr w14:paraId="2C2D2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Merge w:val="restart"/>
            <w:noWrap w:val="0"/>
            <w:vAlign w:val="center"/>
          </w:tcPr>
          <w:p w14:paraId="1F8C5018">
            <w:pPr>
              <w:keepNext w:val="0"/>
              <w:keepLines w:val="0"/>
              <w:widowControl/>
              <w:suppressLineNumbers w:val="0"/>
              <w:spacing w:before="0" w:beforeAutospacing="0" w:after="0" w:afterAutospacing="0"/>
              <w:ind w:left="0" w:right="0"/>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8</w:t>
            </w:r>
          </w:p>
        </w:tc>
        <w:tc>
          <w:tcPr>
            <w:tcW w:w="1470" w:type="dxa"/>
            <w:vMerge w:val="restart"/>
            <w:noWrap w:val="0"/>
            <w:vAlign w:val="center"/>
          </w:tcPr>
          <w:p w14:paraId="09DB286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农田网络通讯提升（含五年免费运维维护服务）</w:t>
            </w:r>
          </w:p>
        </w:tc>
        <w:tc>
          <w:tcPr>
            <w:tcW w:w="6317" w:type="dxa"/>
            <w:noWrap w:val="0"/>
            <w:vAlign w:val="center"/>
          </w:tcPr>
          <w:p w14:paraId="38A21040">
            <w:pPr>
              <w:keepNext w:val="0"/>
              <w:keepLines w:val="0"/>
              <w:pageBreakBefore w:val="0"/>
              <w:widowControl w:val="0"/>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太阳能监控系统：含太阳能、SSD卡、物联网卡</w:t>
            </w:r>
          </w:p>
        </w:tc>
        <w:tc>
          <w:tcPr>
            <w:tcW w:w="725" w:type="dxa"/>
            <w:noWrap w:val="0"/>
            <w:vAlign w:val="center"/>
          </w:tcPr>
          <w:p w14:paraId="025E0014">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套</w:t>
            </w:r>
          </w:p>
        </w:tc>
        <w:tc>
          <w:tcPr>
            <w:tcW w:w="706" w:type="dxa"/>
            <w:noWrap w:val="0"/>
            <w:vAlign w:val="center"/>
          </w:tcPr>
          <w:p w14:paraId="1E266186">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r>
      <w:tr w14:paraId="2CE81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Merge w:val="continue"/>
            <w:noWrap w:val="0"/>
            <w:vAlign w:val="center"/>
          </w:tcPr>
          <w:p w14:paraId="19CF9E45">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sz w:val="24"/>
                <w:szCs w:val="24"/>
                <w:highlight w:val="none"/>
                <w:lang w:val="en-US" w:eastAsia="zh-CN"/>
              </w:rPr>
            </w:pPr>
          </w:p>
        </w:tc>
        <w:tc>
          <w:tcPr>
            <w:tcW w:w="1470" w:type="dxa"/>
            <w:vMerge w:val="continue"/>
            <w:noWrap w:val="0"/>
            <w:vAlign w:val="center"/>
          </w:tcPr>
          <w:p w14:paraId="187B015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highlight w:val="none"/>
                <w:u w:val="none"/>
                <w:lang w:val="en-US" w:eastAsia="zh-CN" w:bidi="ar"/>
              </w:rPr>
            </w:pPr>
          </w:p>
        </w:tc>
        <w:tc>
          <w:tcPr>
            <w:tcW w:w="6317" w:type="dxa"/>
            <w:noWrap w:val="0"/>
            <w:vAlign w:val="center"/>
          </w:tcPr>
          <w:p w14:paraId="74018F89">
            <w:pPr>
              <w:keepNext w:val="0"/>
              <w:keepLines w:val="0"/>
              <w:pageBreakBefore w:val="0"/>
              <w:widowControl w:val="0"/>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专线1:50M VPN；5年使用期。</w:t>
            </w:r>
          </w:p>
        </w:tc>
        <w:tc>
          <w:tcPr>
            <w:tcW w:w="725" w:type="dxa"/>
            <w:noWrap w:val="0"/>
            <w:vAlign w:val="center"/>
          </w:tcPr>
          <w:p w14:paraId="2DCA1DCB">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条</w:t>
            </w:r>
          </w:p>
        </w:tc>
        <w:tc>
          <w:tcPr>
            <w:tcW w:w="706" w:type="dxa"/>
            <w:noWrap w:val="0"/>
            <w:vAlign w:val="center"/>
          </w:tcPr>
          <w:p w14:paraId="4093F552">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w:t>
            </w:r>
          </w:p>
        </w:tc>
      </w:tr>
      <w:tr w14:paraId="1960C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Merge w:val="continue"/>
            <w:noWrap w:val="0"/>
            <w:vAlign w:val="center"/>
          </w:tcPr>
          <w:p w14:paraId="70398268">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sz w:val="24"/>
                <w:szCs w:val="24"/>
                <w:highlight w:val="none"/>
                <w:lang w:val="en-US" w:eastAsia="zh-CN"/>
              </w:rPr>
            </w:pPr>
          </w:p>
        </w:tc>
        <w:tc>
          <w:tcPr>
            <w:tcW w:w="1470" w:type="dxa"/>
            <w:vMerge w:val="continue"/>
            <w:noWrap w:val="0"/>
            <w:vAlign w:val="center"/>
          </w:tcPr>
          <w:p w14:paraId="2267839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highlight w:val="none"/>
                <w:u w:val="none"/>
                <w:lang w:val="en-US" w:eastAsia="zh-CN" w:bidi="ar"/>
              </w:rPr>
            </w:pPr>
          </w:p>
        </w:tc>
        <w:tc>
          <w:tcPr>
            <w:tcW w:w="6317" w:type="dxa"/>
            <w:noWrap w:val="0"/>
            <w:vAlign w:val="center"/>
          </w:tcPr>
          <w:p w14:paraId="5B9B86E0">
            <w:pPr>
              <w:keepNext w:val="0"/>
              <w:keepLines w:val="0"/>
              <w:pageBreakBefore w:val="0"/>
              <w:widowControl w:val="0"/>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专线2:500M VPN；5年使用期。</w:t>
            </w:r>
          </w:p>
        </w:tc>
        <w:tc>
          <w:tcPr>
            <w:tcW w:w="725" w:type="dxa"/>
            <w:noWrap w:val="0"/>
            <w:vAlign w:val="center"/>
          </w:tcPr>
          <w:p w14:paraId="71414D8E">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条</w:t>
            </w:r>
          </w:p>
        </w:tc>
        <w:tc>
          <w:tcPr>
            <w:tcW w:w="706" w:type="dxa"/>
            <w:noWrap w:val="0"/>
            <w:vAlign w:val="center"/>
          </w:tcPr>
          <w:p w14:paraId="6AB1B21B">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r>
      <w:tr w14:paraId="3BB64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Merge w:val="continue"/>
            <w:noWrap w:val="0"/>
            <w:vAlign w:val="center"/>
          </w:tcPr>
          <w:p w14:paraId="74368F47">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000000"/>
                <w:sz w:val="24"/>
                <w:szCs w:val="24"/>
                <w:highlight w:val="none"/>
                <w:lang w:val="en-US" w:eastAsia="zh-CN"/>
              </w:rPr>
            </w:pPr>
          </w:p>
        </w:tc>
        <w:tc>
          <w:tcPr>
            <w:tcW w:w="1470" w:type="dxa"/>
            <w:vMerge w:val="continue"/>
            <w:noWrap w:val="0"/>
            <w:vAlign w:val="center"/>
          </w:tcPr>
          <w:p w14:paraId="4050EDB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highlight w:val="none"/>
                <w:u w:val="none"/>
                <w:lang w:val="en-US" w:eastAsia="zh-CN" w:bidi="ar"/>
              </w:rPr>
            </w:pPr>
          </w:p>
        </w:tc>
        <w:tc>
          <w:tcPr>
            <w:tcW w:w="6317" w:type="dxa"/>
            <w:noWrap w:val="0"/>
            <w:vAlign w:val="center"/>
          </w:tcPr>
          <w:p w14:paraId="6FF843D5">
            <w:pPr>
              <w:keepNext w:val="0"/>
              <w:keepLines w:val="0"/>
              <w:pageBreakBefore w:val="0"/>
              <w:widowControl w:val="0"/>
              <w:suppressLineNumbers w:val="0"/>
              <w:spacing w:before="0" w:beforeAutospacing="0" w:after="0" w:afterAutospacing="0" w:line="360" w:lineRule="exact"/>
              <w:ind w:left="0" w:right="0"/>
              <w:jc w:val="left"/>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高清摄像头：400万，23倍光学变倍</w:t>
            </w:r>
          </w:p>
        </w:tc>
        <w:tc>
          <w:tcPr>
            <w:tcW w:w="725" w:type="dxa"/>
            <w:noWrap w:val="0"/>
            <w:vAlign w:val="center"/>
          </w:tcPr>
          <w:p w14:paraId="7D3C4286">
            <w:pPr>
              <w:keepNext w:val="0"/>
              <w:keepLines w:val="0"/>
              <w:pageBreakBefore w:val="0"/>
              <w:widowControl w:val="0"/>
              <w:suppressLineNumbers w:val="0"/>
              <w:spacing w:before="0" w:beforeAutospacing="0" w:after="0" w:afterAutospacing="0" w:line="400" w:lineRule="exact"/>
              <w:ind w:left="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台</w:t>
            </w:r>
          </w:p>
        </w:tc>
        <w:tc>
          <w:tcPr>
            <w:tcW w:w="706" w:type="dxa"/>
            <w:noWrap w:val="0"/>
            <w:vAlign w:val="center"/>
          </w:tcPr>
          <w:p w14:paraId="65505CFA">
            <w:pPr>
              <w:keepNext w:val="0"/>
              <w:keepLines w:val="0"/>
              <w:pageBreakBefore w:val="0"/>
              <w:widowControl w:val="0"/>
              <w:suppressLineNumbers w:val="0"/>
              <w:spacing w:before="0" w:beforeAutospacing="0" w:after="0" w:afterAutospacing="0" w:line="400" w:lineRule="exact"/>
              <w:ind w:left="0" w:right="0"/>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w:t>
            </w:r>
          </w:p>
        </w:tc>
      </w:tr>
    </w:tbl>
    <w:p w14:paraId="27265F5B">
      <w:pPr>
        <w:keepNext w:val="0"/>
        <w:keepLines w:val="0"/>
        <w:pageBreakBefore w:val="0"/>
        <w:widowControl w:val="0"/>
        <w:spacing w:line="440" w:lineRule="exact"/>
        <w:jc w:val="lef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注：硬件部分安装及辅材部分要求</w:t>
      </w:r>
    </w:p>
    <w:p w14:paraId="514B2318">
      <w:pPr>
        <w:keepNext w:val="0"/>
        <w:keepLines w:val="0"/>
        <w:pageBreakBefore w:val="0"/>
        <w:widowControl w:val="0"/>
        <w:spacing w:line="400" w:lineRule="exact"/>
        <w:ind w:firstLine="48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包括对田间苗情监测、病情监测、虫情监测、墒情监测、气象监测、农田巡查等硬件设备以及基础、围栏等基础设施的安装、调试及辅材等。</w:t>
      </w:r>
    </w:p>
    <w:p w14:paraId="41AAACA3">
      <w:pPr>
        <w:keepNext w:val="0"/>
        <w:keepLines w:val="0"/>
        <w:pageBreakBefore w:val="0"/>
        <w:widowControl w:val="0"/>
        <w:spacing w:line="400" w:lineRule="exact"/>
        <w:ind w:firstLine="48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苗情监测设备、病情监测设备、虫情监测设备、气象监测等设备的基坑，尺寸为：苗情设备基坑（长：60cm*宽60cm*深60cm）；病情设备基坑尺寸（长：100cm*宽100cm*深40cm）；虫情设备基坑尺寸（长：100cm*宽100cm*深40cm）；气象设备基坑尺寸（长：40cm*宽40cm*深40cm）。</w:t>
      </w:r>
    </w:p>
    <w:p w14:paraId="2D7074FC">
      <w:pPr>
        <w:keepNext w:val="0"/>
        <w:keepLines w:val="0"/>
        <w:pageBreakBefore w:val="0"/>
        <w:widowControl w:val="0"/>
        <w:spacing w:line="400" w:lineRule="exact"/>
        <w:ind w:firstLine="48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苗情监测设备、病情监测设备、虫情监测设备、气象监测等设备的混凝土基座，尺寸为：苗情设备基坑（长：60cm*宽60cm*深70cm）；病情设备基坑尺寸（长：100cm*宽100cm*深50cm）；虫情设备基坑尺寸（长：100cm*宽100cm*深50cm）；气象设备基坑尺寸（长：40cm*宽40cm*深50cm）。</w:t>
      </w:r>
    </w:p>
    <w:p w14:paraId="57528ADF">
      <w:pPr>
        <w:keepNext w:val="0"/>
        <w:keepLines w:val="0"/>
        <w:pageBreakBefore w:val="0"/>
        <w:widowControl w:val="0"/>
        <w:spacing w:line="400" w:lineRule="exact"/>
        <w:ind w:firstLine="48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（3）苗情监测设备、病情监测设备、虫情监测设备、气象监测、农田巡查等设备的安装调试，具体包括太阳能系统、供电线路、网络调试、设备布线、设备安装、参数调试等。</w:t>
      </w:r>
    </w:p>
    <w:p w14:paraId="0613FC55">
      <w:pPr>
        <w:keepNext w:val="0"/>
        <w:keepLines w:val="0"/>
        <w:pageBreakBefore w:val="0"/>
        <w:widowControl w:val="0"/>
        <w:spacing w:line="400" w:lineRule="exact"/>
        <w:ind w:firstLine="48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（4）围栏不少于2处，材料为方管围栏，尺寸为：长10m*宽3m*高1.5m，设标识牌。</w:t>
      </w:r>
    </w:p>
    <w:p w14:paraId="6A2E0412">
      <w:pPr>
        <w:keepNext w:val="0"/>
        <w:keepLines w:val="0"/>
        <w:pageBreakBefore w:val="0"/>
        <w:widowControl w:val="0"/>
        <w:spacing w:line="400" w:lineRule="exact"/>
        <w:ind w:firstLine="48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（5）设备及配套设施的运输、保险等，包括监测设备主机等易损件的运输及保险，立杆、水泥、沙子或者标号混凝土的运输，挖机、吊机等机械等服务。</w:t>
      </w:r>
    </w:p>
    <w:p w14:paraId="27B11549">
      <w:pPr>
        <w:keepNext w:val="0"/>
        <w:keepLines w:val="0"/>
        <w:pageBreakBefore w:val="0"/>
        <w:widowControl w:val="0"/>
        <w:spacing w:line="440" w:lineRule="exact"/>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四、建设要求</w:t>
      </w:r>
    </w:p>
    <w:p w14:paraId="08BEC219">
      <w:pPr>
        <w:keepNext w:val="0"/>
        <w:keepLines w:val="0"/>
        <w:pageBreakBefore w:val="0"/>
        <w:widowControl w:val="0"/>
        <w:spacing w:line="440" w:lineRule="exact"/>
        <w:ind w:firstLine="480"/>
        <w:jc w:val="lef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平台的建设须符合国家规范，满足采购需求。</w:t>
      </w:r>
      <w:r>
        <w:rPr>
          <w:rFonts w:ascii="宋体" w:hAnsi="宋体" w:eastAsia="宋体" w:cs="宋体"/>
          <w:sz w:val="24"/>
          <w:highlight w:val="none"/>
          <w:lang w:val="en-US" w:eastAsia="zh-CN"/>
        </w:rPr>
        <w:t>网络安全等级保护要求</w:t>
      </w:r>
      <w:r>
        <w:rPr>
          <w:rFonts w:hint="eastAsia" w:ascii="宋体" w:hAnsi="宋体" w:eastAsia="宋体" w:cs="宋体"/>
          <w:sz w:val="24"/>
          <w:highlight w:val="none"/>
          <w:lang w:val="en-US" w:eastAsia="zh-CN"/>
        </w:rPr>
        <w:t>达到《信息安全技术 网络安全等级保护基本要求》（GB/T 22239-2019）等国家最新标准规定的第三级安全要求。</w:t>
      </w:r>
      <w:r>
        <w:rPr>
          <w:rFonts w:ascii="宋体" w:hAnsi="宋体" w:eastAsia="宋体" w:cs="宋体"/>
          <w:sz w:val="24"/>
          <w:highlight w:val="none"/>
          <w:lang w:val="en-US" w:eastAsia="zh-CN"/>
        </w:rPr>
        <w:t>商用密码应用</w:t>
      </w:r>
      <w:r>
        <w:rPr>
          <w:rFonts w:hint="eastAsia" w:ascii="宋体" w:hAnsi="宋体" w:eastAsia="宋体" w:cs="宋体"/>
          <w:sz w:val="24"/>
          <w:highlight w:val="none"/>
          <w:lang w:val="en-US" w:eastAsia="zh-CN"/>
        </w:rPr>
        <w:t>须达到</w:t>
      </w:r>
      <w:r>
        <w:rPr>
          <w:rFonts w:ascii="宋体" w:hAnsi="宋体" w:eastAsia="宋体" w:cs="宋体"/>
          <w:sz w:val="24"/>
          <w:highlight w:val="none"/>
          <w:lang w:val="en-US" w:eastAsia="zh-CN"/>
        </w:rPr>
        <w:t>《信息安全技术 信息系统密码应用基本要求》（GB/T 39786-2021）</w:t>
      </w:r>
      <w:r>
        <w:rPr>
          <w:rFonts w:hint="eastAsia" w:ascii="宋体" w:hAnsi="宋体" w:eastAsia="宋体" w:cs="宋体"/>
          <w:sz w:val="24"/>
          <w:highlight w:val="none"/>
          <w:lang w:val="en-US" w:eastAsia="zh-CN"/>
        </w:rPr>
        <w:t>等国家最新标准规定的第三级要求</w:t>
      </w:r>
      <w:r>
        <w:rPr>
          <w:rFonts w:ascii="宋体" w:hAnsi="宋体" w:eastAsia="宋体" w:cs="宋体"/>
          <w:sz w:val="24"/>
          <w:highlight w:val="none"/>
          <w:lang w:val="en-US" w:eastAsia="zh-CN"/>
        </w:rPr>
        <w:t>。</w:t>
      </w:r>
    </w:p>
    <w:p w14:paraId="524E3B16">
      <w:pPr>
        <w:keepNext w:val="0"/>
        <w:keepLines w:val="0"/>
        <w:pageBreakBefore w:val="0"/>
        <w:widowControl w:val="0"/>
        <w:spacing w:line="440" w:lineRule="exact"/>
        <w:jc w:val="left"/>
        <w:rPr>
          <w:rFonts w:hint="eastAsia" w:ascii="宋体" w:hAnsi="宋体" w:eastAsia="宋体" w:cs="宋体"/>
          <w:b/>
          <w:bCs/>
          <w:sz w:val="24"/>
          <w:szCs w:val="24"/>
          <w:highlight w:val="none"/>
          <w:lang w:val="zh-CN"/>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lang w:val="zh-CN"/>
        </w:rPr>
        <w:t>服务期限</w:t>
      </w:r>
    </w:p>
    <w:p w14:paraId="27965365">
      <w:pPr>
        <w:keepNext w:val="0"/>
        <w:keepLines w:val="0"/>
        <w:pageBreakBefore w:val="0"/>
        <w:widowControl w:val="0"/>
        <w:spacing w:line="44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自合同签订之日起90天内完成。</w:t>
      </w:r>
    </w:p>
    <w:p w14:paraId="6BF8EE28">
      <w:pPr>
        <w:keepNext w:val="0"/>
        <w:keepLines w:val="0"/>
        <w:pageBreakBefore w:val="0"/>
        <w:widowControl w:val="0"/>
        <w:spacing w:line="440" w:lineRule="exact"/>
        <w:jc w:val="lef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六</w:t>
      </w:r>
      <w:r>
        <w:rPr>
          <w:rFonts w:hint="eastAsia" w:ascii="宋体" w:hAnsi="宋体" w:eastAsia="宋体" w:cs="宋体"/>
          <w:b/>
          <w:bCs/>
          <w:sz w:val="24"/>
          <w:szCs w:val="24"/>
          <w:highlight w:val="none"/>
          <w:lang w:val="zh-CN"/>
        </w:rPr>
        <w:t>、付款方式</w:t>
      </w:r>
    </w:p>
    <w:p w14:paraId="564A43E7">
      <w:pPr>
        <w:keepNext w:val="0"/>
        <w:keepLines w:val="0"/>
        <w:pageBreakBefore w:val="0"/>
        <w:widowControl w:val="0"/>
        <w:spacing w:line="440" w:lineRule="exact"/>
        <w:ind w:firstLine="480"/>
        <w:jc w:val="left"/>
        <w:rPr>
          <w:rFonts w:hint="eastAsia" w:ascii="宋体" w:hAnsi="宋体" w:eastAsia="宋体" w:cs="宋体"/>
          <w:sz w:val="24"/>
          <w:szCs w:val="24"/>
          <w:highlight w:val="none"/>
          <w:lang w:val="zh-CN"/>
        </w:rPr>
      </w:pPr>
      <w:r>
        <w:rPr>
          <w:rFonts w:hint="eastAsia" w:ascii="宋体" w:hAnsi="宋体" w:eastAsia="宋体" w:cs="宋体"/>
          <w:sz w:val="24"/>
          <w:highlight w:val="none"/>
          <w:lang w:eastAsia="zh-CN"/>
        </w:rPr>
        <w:t>项目完成并经验收合格后支付合同价的70%，审计完成后按审计价付清余款。</w:t>
      </w:r>
    </w:p>
    <w:p w14:paraId="1296722D">
      <w:pPr>
        <w:keepNext w:val="0"/>
        <w:keepLines w:val="0"/>
        <w:pageBreakBefore w:val="0"/>
        <w:widowControl w:val="0"/>
        <w:spacing w:line="440" w:lineRule="exact"/>
        <w:jc w:val="left"/>
        <w:rPr>
          <w:rFonts w:hint="eastAsia" w:ascii="宋体" w:hAnsi="宋体" w:eastAsia="宋体" w:cs="宋体"/>
          <w:sz w:val="24"/>
          <w:highlight w:val="none"/>
          <w:lang w:val="en-US" w:eastAsia="zh-CN"/>
        </w:rPr>
      </w:pPr>
      <w:r>
        <w:rPr>
          <w:rFonts w:hint="eastAsia" w:ascii="宋体" w:hAnsi="宋体" w:eastAsia="宋体" w:cs="宋体"/>
          <w:b/>
          <w:bCs/>
          <w:sz w:val="24"/>
          <w:szCs w:val="24"/>
          <w:lang w:val="en-US" w:eastAsia="zh-CN"/>
        </w:rPr>
        <w:t>七、质保期：</w:t>
      </w:r>
      <w:r>
        <w:rPr>
          <w:rFonts w:hint="eastAsia" w:ascii="宋体" w:hAnsi="宋体" w:eastAsia="宋体" w:cs="宋体"/>
          <w:sz w:val="24"/>
          <w:highlight w:val="none"/>
          <w:lang w:val="en-US" w:eastAsia="zh-CN"/>
        </w:rPr>
        <w:t>5年（包含免费的运维服务及设备损坏更换服务）</w:t>
      </w:r>
    </w:p>
    <w:p w14:paraId="04434E50">
      <w:pPr>
        <w:keepNext w:val="0"/>
        <w:keepLines w:val="0"/>
        <w:pageBreakBefore w:val="0"/>
        <w:widowControl w:val="0"/>
        <w:spacing w:line="440" w:lineRule="exact"/>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八、其他要求：</w:t>
      </w:r>
    </w:p>
    <w:p w14:paraId="3DF617CE">
      <w:pPr>
        <w:keepNext w:val="0"/>
        <w:keepLines w:val="0"/>
        <w:pageBreakBefore w:val="0"/>
        <w:widowControl w:val="0"/>
        <w:spacing w:line="440" w:lineRule="exact"/>
        <w:ind w:firstLine="480"/>
        <w:jc w:val="lef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投标人</w:t>
      </w:r>
      <w:r>
        <w:rPr>
          <w:rFonts w:ascii="宋体" w:hAnsi="宋体" w:eastAsia="宋体" w:cs="宋体"/>
          <w:sz w:val="24"/>
          <w:highlight w:val="none"/>
          <w:lang w:val="en-US" w:eastAsia="zh-CN"/>
        </w:rPr>
        <w:t>在服务过程中加强绿色低碳管理，提倡采用低碳环保方式，不得对作业环境造成任何污染或损毁。日常工作中节约用纸、用电、用水等，降低能源消耗减少不必要的浪费。</w:t>
      </w:r>
      <w:r>
        <w:rPr>
          <w:rFonts w:hint="eastAsia" w:ascii="宋体" w:hAnsi="宋体" w:eastAsia="宋体" w:cs="宋体"/>
          <w:sz w:val="24"/>
          <w:highlight w:val="none"/>
          <w:lang w:val="en-US" w:eastAsia="zh-CN"/>
        </w:rPr>
        <w:t>投标人</w:t>
      </w:r>
      <w:r>
        <w:rPr>
          <w:rFonts w:ascii="宋体" w:hAnsi="宋体" w:eastAsia="宋体" w:cs="宋体"/>
          <w:sz w:val="24"/>
          <w:highlight w:val="none"/>
          <w:lang w:val="en-US" w:eastAsia="zh-CN"/>
        </w:rPr>
        <w:t>在服务期内对涉及商品的包装应按照“财办库〔2020〕123号《关于印发《商品包装政府采购需求标准（试行）》、《快递包装政府采购需求标准（试行）》的通知》”执行。涉及设备运维参考《绿色数据中心政府采购需求标准（试行）》（财库〔2023〕7号文）执行。</w:t>
      </w:r>
    </w:p>
    <w:p w14:paraId="521F5BAF">
      <w:pPr>
        <w:keepNext w:val="0"/>
        <w:keepLines w:val="0"/>
        <w:pageBreakBefore/>
        <w:widowControl w:val="0"/>
        <w:ind w:right="0"/>
        <w:jc w:val="center"/>
        <w:outlineLvl w:val="0"/>
        <w:rPr>
          <w:rFonts w:hint="eastAsia" w:ascii="宋体" w:hAnsi="宋体" w:eastAsia="宋体" w:cs="宋体"/>
          <w:b/>
          <w:bCs/>
          <w:sz w:val="32"/>
          <w:szCs w:val="32"/>
          <w:highlight w:val="none"/>
          <w:lang w:val="en-US" w:eastAsia="zh-CN"/>
        </w:rPr>
      </w:pPr>
      <w:bookmarkStart w:id="49" w:name="_Toc114"/>
      <w:r>
        <w:rPr>
          <w:rFonts w:hint="eastAsia" w:ascii="宋体" w:hAnsi="宋体" w:eastAsia="宋体" w:cs="宋体"/>
          <w:b/>
          <w:bCs/>
          <w:sz w:val="36"/>
          <w:szCs w:val="36"/>
          <w:highlight w:val="none"/>
        </w:rPr>
        <w:t xml:space="preserve">第六章  </w:t>
      </w:r>
      <w:r>
        <w:rPr>
          <w:rFonts w:hint="eastAsia" w:ascii="宋体" w:hAnsi="宋体" w:eastAsia="宋体" w:cs="宋体"/>
          <w:b/>
          <w:bCs/>
          <w:sz w:val="36"/>
          <w:szCs w:val="36"/>
          <w:highlight w:val="none"/>
          <w:lang w:val="en-US" w:eastAsia="zh-CN"/>
        </w:rPr>
        <w:t>投标</w:t>
      </w:r>
      <w:r>
        <w:rPr>
          <w:rFonts w:hint="eastAsia" w:ascii="宋体" w:hAnsi="宋体" w:eastAsia="宋体" w:cs="宋体"/>
          <w:b/>
          <w:bCs/>
          <w:sz w:val="36"/>
          <w:szCs w:val="36"/>
          <w:highlight w:val="none"/>
        </w:rPr>
        <w:t>文件</w:t>
      </w:r>
      <w:r>
        <w:rPr>
          <w:rFonts w:hint="eastAsia" w:ascii="宋体" w:hAnsi="宋体" w:eastAsia="宋体" w:cs="宋体"/>
          <w:b/>
          <w:bCs/>
          <w:sz w:val="36"/>
          <w:szCs w:val="36"/>
          <w:highlight w:val="none"/>
          <w:lang w:val="en-US" w:eastAsia="zh-CN"/>
        </w:rPr>
        <w:t>格式</w:t>
      </w:r>
      <w:bookmarkEnd w:id="49"/>
    </w:p>
    <w:p w14:paraId="77D070B9">
      <w:pPr>
        <w:pStyle w:val="196"/>
        <w:keepNext w:val="0"/>
        <w:keepLines w:val="0"/>
        <w:ind w:right="0" w:firstLine="2640"/>
        <w:rPr>
          <w:rFonts w:hint="eastAsia" w:ascii="宋体" w:hAnsi="宋体" w:eastAsia="宋体" w:cs="宋体"/>
          <w:sz w:val="44"/>
          <w:szCs w:val="44"/>
          <w:highlight w:val="none"/>
        </w:rPr>
      </w:pPr>
    </w:p>
    <w:p w14:paraId="3EA727E7">
      <w:pPr>
        <w:pStyle w:val="196"/>
        <w:keepNext w:val="0"/>
        <w:keepLines w:val="0"/>
        <w:ind w:right="0"/>
        <w:jc w:val="center"/>
        <w:rPr>
          <w:rFonts w:hint="eastAsia" w:ascii="宋体" w:hAnsi="宋体" w:eastAsia="宋体" w:cs="宋体"/>
          <w:sz w:val="44"/>
          <w:szCs w:val="44"/>
          <w:highlight w:val="none"/>
        </w:rPr>
      </w:pPr>
      <w:r>
        <w:rPr>
          <w:rFonts w:hint="eastAsia" w:ascii="宋体" w:hAnsi="宋体" w:eastAsia="宋体" w:cs="宋体"/>
          <w:sz w:val="44"/>
          <w:szCs w:val="44"/>
          <w:highlight w:val="none"/>
          <w:lang w:val="en-US" w:eastAsia="zh-CN"/>
        </w:rPr>
        <w:t xml:space="preserve">投 </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标</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文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件 </w:t>
      </w:r>
    </w:p>
    <w:p w14:paraId="47A956FF">
      <w:pPr>
        <w:pStyle w:val="196"/>
        <w:keepNext w:val="0"/>
        <w:keepLines w:val="0"/>
        <w:ind w:right="0"/>
        <w:rPr>
          <w:rFonts w:hint="eastAsia" w:ascii="宋体" w:hAnsi="宋体" w:eastAsia="宋体" w:cs="宋体"/>
          <w:sz w:val="32"/>
          <w:highlight w:val="none"/>
        </w:rPr>
      </w:pPr>
    </w:p>
    <w:p w14:paraId="7DD1D797">
      <w:pPr>
        <w:pStyle w:val="196"/>
        <w:keepNext w:val="0"/>
        <w:keepLines w:val="0"/>
        <w:ind w:right="0"/>
        <w:rPr>
          <w:rFonts w:hint="eastAsia" w:ascii="宋体" w:hAnsi="宋体" w:eastAsia="宋体" w:cs="宋体"/>
          <w:sz w:val="32"/>
          <w:highlight w:val="none"/>
        </w:rPr>
      </w:pPr>
    </w:p>
    <w:p w14:paraId="0A8B3A11">
      <w:pPr>
        <w:keepNext w:val="0"/>
        <w:keepLines w:val="0"/>
        <w:spacing w:line="400" w:lineRule="exact"/>
        <w:ind w:right="0" w:firstLine="1446"/>
        <w:rPr>
          <w:rFonts w:hint="eastAsia" w:ascii="宋体" w:hAnsi="宋体" w:eastAsia="宋体" w:cs="宋体"/>
          <w:b/>
          <w:bCs/>
          <w:sz w:val="36"/>
          <w:highlight w:val="none"/>
        </w:rPr>
      </w:pPr>
      <w:r>
        <w:rPr>
          <w:rFonts w:hint="eastAsia" w:ascii="宋体" w:hAnsi="宋体" w:eastAsia="宋体" w:cs="宋体"/>
          <w:b/>
          <w:bCs/>
          <w:sz w:val="36"/>
          <w:highlight w:val="none"/>
        </w:rPr>
        <w:t>项目名称</w:t>
      </w:r>
      <w:r>
        <w:rPr>
          <w:rFonts w:hint="eastAsia" w:ascii="宋体" w:hAnsi="宋体" w:eastAsia="宋体" w:cs="宋体"/>
          <w:b/>
          <w:bCs/>
          <w:sz w:val="36"/>
          <w:highlight w:val="none"/>
          <w:lang w:eastAsia="zh-CN"/>
        </w:rPr>
        <w:t>：</w:t>
      </w:r>
    </w:p>
    <w:p w14:paraId="1C86C559">
      <w:pPr>
        <w:pStyle w:val="196"/>
        <w:keepNext w:val="0"/>
        <w:keepLines w:val="0"/>
        <w:ind w:right="0"/>
        <w:rPr>
          <w:rFonts w:hint="eastAsia" w:ascii="宋体" w:hAnsi="宋体" w:eastAsia="宋体" w:cs="宋体"/>
          <w:sz w:val="32"/>
          <w:highlight w:val="none"/>
        </w:rPr>
      </w:pPr>
    </w:p>
    <w:p w14:paraId="76BB74A2">
      <w:pPr>
        <w:pStyle w:val="196"/>
        <w:keepNext w:val="0"/>
        <w:keepLines w:val="0"/>
        <w:ind w:right="0" w:firstLine="1066"/>
        <w:rPr>
          <w:rFonts w:hint="eastAsia" w:ascii="宋体" w:hAnsi="宋体" w:eastAsia="宋体" w:cs="宋体"/>
          <w:b/>
          <w:sz w:val="36"/>
          <w:szCs w:val="24"/>
          <w:highlight w:val="none"/>
        </w:rPr>
      </w:pPr>
    </w:p>
    <w:p w14:paraId="43743B75">
      <w:pPr>
        <w:pStyle w:val="196"/>
        <w:keepNext w:val="0"/>
        <w:keepLines w:val="0"/>
        <w:ind w:right="0" w:firstLine="1428"/>
        <w:rPr>
          <w:rFonts w:hint="eastAsia" w:ascii="宋体" w:hAnsi="宋体" w:eastAsia="宋体" w:cs="宋体"/>
          <w:b/>
          <w:sz w:val="36"/>
          <w:szCs w:val="24"/>
          <w:highlight w:val="none"/>
        </w:rPr>
      </w:pPr>
      <w:r>
        <w:rPr>
          <w:rFonts w:hint="eastAsia" w:ascii="宋体" w:hAnsi="宋体" w:eastAsia="宋体" w:cs="宋体"/>
          <w:b/>
          <w:sz w:val="36"/>
          <w:szCs w:val="24"/>
          <w:highlight w:val="none"/>
        </w:rPr>
        <w:t>项目编号</w:t>
      </w:r>
      <w:r>
        <w:rPr>
          <w:rFonts w:hint="eastAsia" w:ascii="宋体" w:hAnsi="宋体" w:eastAsia="宋体" w:cs="宋体"/>
          <w:b/>
          <w:sz w:val="36"/>
          <w:szCs w:val="24"/>
          <w:highlight w:val="none"/>
          <w:lang w:eastAsia="zh-CN"/>
        </w:rPr>
        <w:t>：</w:t>
      </w:r>
    </w:p>
    <w:p w14:paraId="0FD210D5">
      <w:pPr>
        <w:keepNext w:val="0"/>
        <w:keepLines w:val="0"/>
        <w:spacing w:line="400" w:lineRule="exact"/>
        <w:ind w:right="0"/>
        <w:rPr>
          <w:rFonts w:hint="eastAsia" w:ascii="宋体" w:hAnsi="宋体" w:eastAsia="宋体" w:cs="宋体"/>
          <w:sz w:val="32"/>
          <w:szCs w:val="20"/>
          <w:highlight w:val="none"/>
        </w:rPr>
      </w:pPr>
    </w:p>
    <w:p w14:paraId="75AE8F80">
      <w:pPr>
        <w:keepNext w:val="0"/>
        <w:keepLines w:val="0"/>
        <w:spacing w:line="400" w:lineRule="exact"/>
        <w:ind w:right="0"/>
        <w:rPr>
          <w:rFonts w:hint="eastAsia" w:ascii="宋体" w:hAnsi="宋体" w:eastAsia="宋体" w:cs="宋体"/>
          <w:sz w:val="32"/>
          <w:szCs w:val="20"/>
          <w:highlight w:val="none"/>
        </w:rPr>
      </w:pPr>
    </w:p>
    <w:p w14:paraId="39E94F27">
      <w:pPr>
        <w:keepNext w:val="0"/>
        <w:keepLines w:val="0"/>
        <w:spacing w:line="400" w:lineRule="exact"/>
        <w:ind w:right="0"/>
        <w:rPr>
          <w:rFonts w:hint="eastAsia" w:ascii="宋体" w:hAnsi="宋体" w:eastAsia="宋体" w:cs="宋体"/>
          <w:sz w:val="32"/>
          <w:szCs w:val="20"/>
          <w:highlight w:val="none"/>
        </w:rPr>
      </w:pPr>
    </w:p>
    <w:p w14:paraId="1514AD7F">
      <w:pPr>
        <w:keepNext w:val="0"/>
        <w:keepLines w:val="0"/>
        <w:spacing w:line="400" w:lineRule="exact"/>
        <w:ind w:right="0"/>
        <w:rPr>
          <w:rFonts w:hint="eastAsia" w:ascii="宋体" w:hAnsi="宋体" w:eastAsia="宋体" w:cs="宋体"/>
          <w:sz w:val="32"/>
          <w:szCs w:val="20"/>
          <w:highlight w:val="none"/>
        </w:rPr>
      </w:pPr>
    </w:p>
    <w:p w14:paraId="518A53C7">
      <w:pPr>
        <w:keepNext w:val="0"/>
        <w:keepLines w:val="0"/>
        <w:spacing w:line="400" w:lineRule="exact"/>
        <w:ind w:right="0"/>
        <w:rPr>
          <w:rFonts w:hint="eastAsia" w:ascii="宋体" w:hAnsi="宋体" w:eastAsia="宋体" w:cs="宋体"/>
          <w:sz w:val="32"/>
          <w:szCs w:val="20"/>
          <w:highlight w:val="none"/>
        </w:rPr>
      </w:pPr>
    </w:p>
    <w:p w14:paraId="1549C8B5">
      <w:pPr>
        <w:keepNext w:val="0"/>
        <w:keepLines w:val="0"/>
        <w:spacing w:line="400" w:lineRule="exact"/>
        <w:ind w:right="0" w:firstLine="1428"/>
        <w:rPr>
          <w:rFonts w:hint="eastAsia" w:ascii="宋体" w:hAnsi="宋体" w:eastAsia="宋体" w:cs="宋体"/>
          <w:b/>
          <w:bCs/>
          <w:sz w:val="32"/>
          <w:highlight w:val="none"/>
        </w:rPr>
      </w:pPr>
      <w:r>
        <w:rPr>
          <w:rFonts w:hint="eastAsia" w:ascii="宋体" w:hAnsi="宋体" w:eastAsia="宋体" w:cs="宋体"/>
          <w:b/>
          <w:bCs/>
          <w:sz w:val="36"/>
          <w:highlight w:val="none"/>
          <w:lang w:eastAsia="zh-CN"/>
        </w:rPr>
        <w:t>投</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标</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人：</w:t>
      </w:r>
    </w:p>
    <w:p w14:paraId="5A6970AB">
      <w:pPr>
        <w:pStyle w:val="196"/>
        <w:keepNext w:val="0"/>
        <w:keepLines w:val="0"/>
        <w:ind w:right="0" w:firstLine="1904"/>
        <w:rPr>
          <w:rFonts w:hint="eastAsia" w:ascii="宋体" w:hAnsi="宋体" w:eastAsia="宋体" w:cs="宋体"/>
          <w:sz w:val="32"/>
          <w:highlight w:val="none"/>
        </w:rPr>
      </w:pPr>
    </w:p>
    <w:p w14:paraId="09C69794">
      <w:pPr>
        <w:pStyle w:val="196"/>
        <w:keepNext w:val="0"/>
        <w:keepLines w:val="0"/>
        <w:ind w:right="0" w:firstLine="1904"/>
        <w:rPr>
          <w:rFonts w:hint="eastAsia" w:ascii="宋体" w:hAnsi="宋体" w:eastAsia="宋体" w:cs="宋体"/>
          <w:sz w:val="32"/>
          <w:highlight w:val="none"/>
        </w:rPr>
      </w:pPr>
    </w:p>
    <w:p w14:paraId="325D7FEE">
      <w:pPr>
        <w:pStyle w:val="196"/>
        <w:keepNext w:val="0"/>
        <w:keepLines w:val="0"/>
        <w:ind w:right="0" w:firstLine="1904"/>
        <w:rPr>
          <w:rFonts w:hint="eastAsia" w:ascii="宋体" w:hAnsi="宋体" w:eastAsia="宋体" w:cs="宋体"/>
          <w:sz w:val="32"/>
          <w:highlight w:val="none"/>
        </w:rPr>
      </w:pPr>
    </w:p>
    <w:p w14:paraId="3879A914">
      <w:pPr>
        <w:pStyle w:val="196"/>
        <w:keepNext w:val="0"/>
        <w:keepLines w:val="0"/>
        <w:ind w:right="0" w:firstLine="1904"/>
        <w:rPr>
          <w:rFonts w:hint="eastAsia" w:ascii="宋体" w:hAnsi="宋体" w:eastAsia="宋体" w:cs="宋体"/>
          <w:sz w:val="32"/>
          <w:highlight w:val="none"/>
        </w:rPr>
      </w:pPr>
    </w:p>
    <w:p w14:paraId="4BB6EC4D">
      <w:pPr>
        <w:pStyle w:val="196"/>
        <w:keepNext w:val="0"/>
        <w:keepLines w:val="0"/>
        <w:ind w:right="0" w:firstLine="2645"/>
        <w:rPr>
          <w:rFonts w:hint="eastAsia" w:ascii="宋体" w:hAnsi="宋体" w:eastAsia="宋体" w:cs="宋体"/>
          <w:b/>
          <w:sz w:val="32"/>
          <w:highlight w:val="none"/>
        </w:rPr>
      </w:pPr>
      <w:r>
        <w:rPr>
          <w:rFonts w:hint="eastAsia" w:ascii="宋体" w:hAnsi="宋体" w:eastAsia="宋体" w:cs="宋体"/>
          <w:b/>
          <w:sz w:val="36"/>
          <w:szCs w:val="24"/>
          <w:highlight w:val="none"/>
        </w:rPr>
        <w:t>二</w:t>
      </w:r>
      <w:r>
        <w:rPr>
          <w:rFonts w:hint="eastAsia" w:ascii="宋体" w:hAnsi="宋体" w:eastAsia="宋体" w:cs="宋体"/>
          <w:b/>
          <w:sz w:val="36"/>
          <w:szCs w:val="24"/>
          <w:highlight w:val="none"/>
          <w:lang w:val="en-US" w:eastAsia="zh-CN"/>
        </w:rPr>
        <w:t>〇</w:t>
      </w:r>
      <w:r>
        <w:rPr>
          <w:rFonts w:hint="eastAsia" w:ascii="宋体" w:hAnsi="宋体" w:eastAsia="宋体" w:cs="宋体"/>
          <w:b/>
          <w:sz w:val="36"/>
          <w:szCs w:val="24"/>
          <w:highlight w:val="none"/>
        </w:rPr>
        <w:t>二</w:t>
      </w:r>
      <w:r>
        <w:rPr>
          <w:rFonts w:hint="eastAsia" w:hAnsi="宋体" w:eastAsia="宋体" w:cs="宋体"/>
          <w:b/>
          <w:sz w:val="36"/>
          <w:szCs w:val="24"/>
          <w:highlight w:val="none"/>
          <w:lang w:val="en-US" w:eastAsia="zh-CN"/>
        </w:rPr>
        <w:t>六</w:t>
      </w:r>
      <w:r>
        <w:rPr>
          <w:rFonts w:hint="eastAsia" w:ascii="宋体" w:hAnsi="宋体" w:eastAsia="宋体" w:cs="宋体"/>
          <w:b/>
          <w:sz w:val="36"/>
          <w:szCs w:val="24"/>
          <w:highlight w:val="none"/>
        </w:rPr>
        <w:t>年    月    日</w:t>
      </w:r>
    </w:p>
    <w:p w14:paraId="6DFB15D1">
      <w:pPr>
        <w:keepNext w:val="0"/>
        <w:keepLines w:val="0"/>
        <w:spacing w:line="640" w:lineRule="exact"/>
        <w:ind w:right="0"/>
        <w:rPr>
          <w:rFonts w:hint="eastAsia" w:ascii="宋体" w:hAnsi="宋体" w:eastAsia="宋体" w:cs="宋体"/>
          <w:sz w:val="28"/>
          <w:szCs w:val="28"/>
          <w:highlight w:val="none"/>
        </w:rPr>
      </w:pPr>
    </w:p>
    <w:p w14:paraId="34A3B711">
      <w:pPr>
        <w:keepNext w:val="0"/>
        <w:keepLines w:val="0"/>
        <w:spacing w:line="640" w:lineRule="exact"/>
        <w:ind w:right="0" w:firstLine="3521"/>
        <w:rPr>
          <w:rFonts w:hint="eastAsia" w:ascii="宋体" w:hAnsi="宋体" w:eastAsia="宋体" w:cs="宋体"/>
          <w:b/>
          <w:bCs/>
          <w:sz w:val="32"/>
          <w:szCs w:val="32"/>
          <w:highlight w:val="none"/>
        </w:rPr>
      </w:pPr>
    </w:p>
    <w:p w14:paraId="1A8A36F1">
      <w:pPr>
        <w:keepNext w:val="0"/>
        <w:keepLines w:val="0"/>
        <w:spacing w:line="640" w:lineRule="exact"/>
        <w:ind w:right="0" w:firstLine="3521"/>
        <w:rPr>
          <w:rFonts w:hint="eastAsia" w:ascii="宋体" w:hAnsi="宋体" w:eastAsia="宋体" w:cs="宋体"/>
          <w:b/>
          <w:bCs/>
          <w:sz w:val="32"/>
          <w:szCs w:val="32"/>
          <w:highlight w:val="none"/>
        </w:rPr>
      </w:pPr>
    </w:p>
    <w:p w14:paraId="06B09D25">
      <w:pPr>
        <w:pStyle w:val="208"/>
        <w:keepNext w:val="0"/>
        <w:keepLines w:val="0"/>
        <w:pageBreakBefore/>
        <w:widowControl w:val="0"/>
        <w:spacing w:after="0" w:line="440" w:lineRule="exact"/>
        <w:ind w:left="0" w:right="0" w:firstLine="0"/>
        <w:rPr>
          <w:rFonts w:hint="eastAsia" w:ascii="宋体" w:hAnsi="宋体" w:eastAsia="宋体" w:cs="宋体"/>
          <w:sz w:val="24"/>
          <w:highlight w:val="none"/>
        </w:rPr>
      </w:pPr>
      <w:r>
        <w:rPr>
          <w:rFonts w:hint="eastAsia" w:ascii="宋体" w:hAnsi="宋体" w:eastAsia="宋体" w:cs="宋体"/>
          <w:sz w:val="24"/>
          <w:highlight w:val="none"/>
        </w:rPr>
        <w:t>尊敬的</w:t>
      </w:r>
      <w:r>
        <w:rPr>
          <w:rFonts w:hint="eastAsia" w:ascii="宋体" w:hAnsi="宋体" w:eastAsia="宋体" w:cs="宋体"/>
          <w:sz w:val="24"/>
          <w:highlight w:val="none"/>
          <w:lang w:eastAsia="zh-CN"/>
        </w:rPr>
        <w:t>投标人：</w:t>
      </w:r>
    </w:p>
    <w:p w14:paraId="720A9426">
      <w:pPr>
        <w:keepNext w:val="0"/>
        <w:keepLines w:val="0"/>
        <w:widowControl w:val="0"/>
        <w:spacing w:line="440" w:lineRule="exact"/>
        <w:ind w:right="0" w:firstLine="480"/>
        <w:rPr>
          <w:rFonts w:hint="eastAsia" w:ascii="宋体" w:hAnsi="宋体" w:eastAsia="宋体" w:cs="宋体"/>
          <w:b/>
          <w:bCs/>
          <w:color w:val="000000"/>
          <w:sz w:val="24"/>
          <w:highlight w:val="none"/>
        </w:rPr>
      </w:pPr>
      <w:r>
        <w:rPr>
          <w:rFonts w:hint="eastAsia" w:ascii="宋体" w:hAnsi="宋体" w:eastAsia="宋体" w:cs="宋体"/>
          <w:sz w:val="24"/>
          <w:highlight w:val="none"/>
        </w:rPr>
        <w:t>请按照以下文件的格式要求、内容制作响应文件</w:t>
      </w:r>
      <w:r>
        <w:rPr>
          <w:rFonts w:hint="eastAsia" w:ascii="宋体" w:hAnsi="宋体" w:eastAsia="宋体" w:cs="宋体"/>
          <w:sz w:val="24"/>
          <w:highlight w:val="none"/>
          <w:lang w:eastAsia="zh-CN"/>
        </w:rPr>
        <w:t>，</w:t>
      </w:r>
      <w:r>
        <w:rPr>
          <w:rFonts w:hint="eastAsia" w:ascii="宋体" w:hAnsi="宋体" w:eastAsia="宋体" w:cs="宋体"/>
          <w:sz w:val="24"/>
          <w:highlight w:val="none"/>
        </w:rPr>
        <w:t>否则可能将影响对响应文件的评价。</w:t>
      </w:r>
      <w:r>
        <w:rPr>
          <w:rFonts w:hint="eastAsia" w:ascii="宋体" w:hAnsi="宋体" w:eastAsia="宋体" w:cs="宋体"/>
          <w:b/>
          <w:bCs/>
          <w:color w:val="000000"/>
          <w:sz w:val="24"/>
          <w:highlight w:val="none"/>
        </w:rPr>
        <w:t>电子投标文件格式中所有要求签字和盖章的部分</w:t>
      </w:r>
      <w:r>
        <w:rPr>
          <w:rFonts w:hint="eastAsia" w:ascii="宋体" w:hAnsi="宋体" w:eastAsia="宋体" w:cs="宋体"/>
          <w:b/>
          <w:bCs/>
          <w:color w:val="000000"/>
          <w:sz w:val="24"/>
          <w:highlight w:val="none"/>
          <w:lang w:eastAsia="zh-CN"/>
        </w:rPr>
        <w:t>只需</w:t>
      </w:r>
      <w:r>
        <w:rPr>
          <w:rFonts w:hint="eastAsia" w:ascii="宋体" w:hAnsi="宋体" w:eastAsia="宋体" w:cs="宋体"/>
          <w:b/>
          <w:bCs/>
          <w:color w:val="000000"/>
          <w:sz w:val="24"/>
          <w:highlight w:val="none"/>
        </w:rPr>
        <w:t>加盖电子签章。</w:t>
      </w:r>
    </w:p>
    <w:p w14:paraId="554FE89D">
      <w:pPr>
        <w:keepNext w:val="0"/>
        <w:keepLines w:val="0"/>
        <w:widowControl w:val="0"/>
        <w:spacing w:line="440" w:lineRule="exact"/>
        <w:ind w:right="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一、</w:t>
      </w:r>
      <w:r>
        <w:rPr>
          <w:rFonts w:hint="eastAsia" w:ascii="宋体" w:hAnsi="宋体" w:eastAsia="宋体" w:cs="宋体"/>
          <w:b/>
          <w:bCs/>
          <w:sz w:val="32"/>
          <w:szCs w:val="32"/>
          <w:highlight w:val="none"/>
          <w:lang w:eastAsia="zh-CN"/>
        </w:rPr>
        <w:t>投标</w:t>
      </w:r>
      <w:r>
        <w:rPr>
          <w:rFonts w:hint="eastAsia" w:ascii="宋体" w:hAnsi="宋体" w:eastAsia="宋体" w:cs="宋体"/>
          <w:b/>
          <w:bCs/>
          <w:sz w:val="32"/>
          <w:szCs w:val="32"/>
          <w:highlight w:val="none"/>
        </w:rPr>
        <w:t>函</w:t>
      </w:r>
    </w:p>
    <w:p w14:paraId="3F14DBF3">
      <w:pPr>
        <w:pStyle w:val="191"/>
        <w:keepNext w:val="0"/>
        <w:keepLines w:val="0"/>
        <w:pageBreakBefore w:val="0"/>
        <w:widowControl w:val="0"/>
        <w:tabs>
          <w:tab w:val="left" w:pos="2764"/>
        </w:tabs>
        <w:spacing w:line="380" w:lineRule="exact"/>
        <w:ind w:right="0"/>
        <w:jc w:val="left"/>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（采购人）</w:t>
      </w:r>
      <w:r>
        <w:rPr>
          <w:rFonts w:hint="eastAsia" w:ascii="宋体" w:hAnsi="宋体" w:eastAsia="宋体" w:cs="宋体"/>
          <w:sz w:val="24"/>
          <w:szCs w:val="24"/>
          <w:highlight w:val="none"/>
          <w:u w:val="single"/>
          <w:lang w:val="en-US" w:eastAsia="zh-CN"/>
        </w:rPr>
        <w:t xml:space="preserve"> </w:t>
      </w:r>
    </w:p>
    <w:p w14:paraId="7B17B138">
      <w:pPr>
        <w:pStyle w:val="250"/>
        <w:keepNext w:val="0"/>
        <w:keepLines w:val="0"/>
        <w:pageBreakBefore w:val="0"/>
        <w:widowControl w:val="0"/>
        <w:spacing w:before="0" w:after="0" w:line="38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采购项目（项目编号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文件（包括更正公告，如果有的话）收悉，我们经详细审阅和研究，现决定参加本项目</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单位名称），全权处理本次项目</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的有关事宜。</w:t>
      </w:r>
    </w:p>
    <w:p w14:paraId="1CA0AA65">
      <w:pPr>
        <w:keepNext w:val="0"/>
        <w:keepLines w:val="0"/>
        <w:pageBreakBefore w:val="0"/>
        <w:widowControl w:val="0"/>
        <w:spacing w:line="380" w:lineRule="exact"/>
        <w:ind w:right="0" w:firstLine="480"/>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color w:val="000000"/>
          <w:sz w:val="24"/>
          <w:szCs w:val="24"/>
          <w:highlight w:val="none"/>
        </w:rPr>
        <w:t>我公司没有为本项目提供整体设计、规范编制或者项目管理、监理、检测等服务。</w:t>
      </w:r>
    </w:p>
    <w:p w14:paraId="7EB361E0">
      <w:pPr>
        <w:keepNext w:val="0"/>
        <w:keepLines w:val="0"/>
        <w:pageBreakBefore w:val="0"/>
        <w:widowControl w:val="0"/>
        <w:spacing w:line="38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参加本次采购活动前，我方没有被“信用中国”网站、“中国政府采购网”列入失信被执行人名单、重大税收违法案件当事人名单、政府采购严重违法失信行为记录名单。</w:t>
      </w:r>
    </w:p>
    <w:p w14:paraId="7E5DD20E">
      <w:pPr>
        <w:keepNext w:val="0"/>
        <w:keepLines w:val="0"/>
        <w:pageBreakBefore w:val="0"/>
        <w:widowControl w:val="0"/>
        <w:spacing w:line="38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按照</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文件中规</w:t>
      </w:r>
      <w:r>
        <w:rPr>
          <w:rFonts w:hint="eastAsia" w:ascii="宋体" w:hAnsi="宋体" w:eastAsia="宋体" w:cs="宋体"/>
          <w:sz w:val="24"/>
          <w:szCs w:val="24"/>
          <w:highlight w:val="none"/>
          <w:lang w:eastAsia="zh-CN"/>
        </w:rPr>
        <w:t>定的</w:t>
      </w:r>
      <w:r>
        <w:rPr>
          <w:rFonts w:hint="eastAsia" w:ascii="宋体" w:hAnsi="宋体" w:eastAsia="宋体" w:cs="宋体"/>
          <w:sz w:val="24"/>
          <w:szCs w:val="24"/>
          <w:highlight w:val="none"/>
        </w:rPr>
        <w:t>各项要求，我方愿以（大写、人民币）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w:t>
      </w:r>
      <w:r>
        <w:rPr>
          <w:rFonts w:hint="eastAsia" w:ascii="宋体" w:hAnsi="宋体" w:eastAsia="宋体" w:cs="宋体"/>
          <w:sz w:val="24"/>
          <w:szCs w:val="24"/>
          <w:highlight w:val="none"/>
          <w:lang w:eastAsia="zh-CN"/>
        </w:rPr>
        <w:t>；</w:t>
      </w:r>
    </w:p>
    <w:p w14:paraId="13125FC2">
      <w:pPr>
        <w:keepNext w:val="0"/>
        <w:keepLines w:val="0"/>
        <w:pageBreakBefore w:val="0"/>
        <w:widowControl w:val="0"/>
        <w:spacing w:line="380" w:lineRule="exact"/>
        <w:ind w:right="0"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如果我们成交，我们将按</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文件的规定要求提供所需</w:t>
      </w:r>
      <w:r>
        <w:rPr>
          <w:rFonts w:hint="eastAsia" w:ascii="宋体" w:hAnsi="宋体" w:eastAsia="宋体" w:cs="宋体"/>
          <w:sz w:val="24"/>
          <w:szCs w:val="24"/>
          <w:highlight w:val="none"/>
          <w:lang w:val="en-US" w:eastAsia="zh-CN"/>
        </w:rPr>
        <w:t>货物和</w:t>
      </w:r>
      <w:r>
        <w:rPr>
          <w:rFonts w:hint="eastAsia" w:ascii="宋体" w:hAnsi="宋体" w:eastAsia="宋体" w:cs="宋体"/>
          <w:sz w:val="24"/>
          <w:szCs w:val="24"/>
          <w:highlight w:val="none"/>
        </w:rPr>
        <w:t>服务，</w:t>
      </w:r>
      <w:r>
        <w:rPr>
          <w:rFonts w:hint="eastAsia" w:ascii="宋体" w:hAnsi="宋体" w:eastAsia="宋体" w:cs="宋体"/>
          <w:sz w:val="24"/>
          <w:szCs w:val="24"/>
          <w:highlight w:val="none"/>
          <w:lang w:val="en-US" w:eastAsia="zh-CN"/>
        </w:rPr>
        <w:t>交货时间</w:t>
      </w:r>
      <w:r>
        <w:rPr>
          <w:rFonts w:hint="eastAsia" w:ascii="宋体" w:hAnsi="宋体" w:eastAsia="宋体" w:cs="宋体"/>
          <w:sz w:val="24"/>
          <w:szCs w:val="24"/>
          <w:highlight w:val="none"/>
          <w:lang w:eastAsia="zh-CN"/>
        </w:rPr>
        <w:t>：自合同签订之日起90天内完成。</w:t>
      </w:r>
    </w:p>
    <w:p w14:paraId="362A08AB">
      <w:pPr>
        <w:keepNext w:val="0"/>
        <w:keepLines w:val="0"/>
        <w:pageBreakBefore w:val="0"/>
        <w:widowControl w:val="0"/>
        <w:spacing w:line="38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我公司郑重承诺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我公司具备履行合同所必需的设备和专业技术能力。</w:t>
      </w:r>
    </w:p>
    <w:p w14:paraId="11FB590C">
      <w:pPr>
        <w:keepNext w:val="0"/>
        <w:keepLines w:val="0"/>
        <w:pageBreakBefore w:val="0"/>
        <w:widowControl w:val="0"/>
        <w:spacing w:line="38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我公司郑重承诺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我公司具备《中华人民共和国政府采购法》第二十二条第一款规定的六项条件。</w:t>
      </w:r>
    </w:p>
    <w:p w14:paraId="604A00D7">
      <w:pPr>
        <w:keepNext w:val="0"/>
        <w:keepLines w:val="0"/>
        <w:pageBreakBefore w:val="0"/>
        <w:widowControl w:val="0"/>
        <w:spacing w:line="38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我们接受招标文件的</w:t>
      </w:r>
      <w:r>
        <w:rPr>
          <w:rFonts w:hint="eastAsia" w:ascii="宋体" w:hAnsi="宋体" w:eastAsia="宋体" w:cs="宋体"/>
          <w:sz w:val="24"/>
          <w:szCs w:val="24"/>
          <w:highlight w:val="none"/>
          <w:lang w:eastAsia="zh-CN"/>
        </w:rPr>
        <w:t>所有</w:t>
      </w:r>
      <w:r>
        <w:rPr>
          <w:rFonts w:hint="eastAsia" w:ascii="宋体" w:hAnsi="宋体" w:eastAsia="宋体" w:cs="宋体"/>
          <w:sz w:val="24"/>
          <w:szCs w:val="24"/>
          <w:highlight w:val="none"/>
        </w:rPr>
        <w:t>条款和规定。</w:t>
      </w:r>
    </w:p>
    <w:p w14:paraId="6E2E5102">
      <w:pPr>
        <w:keepNext w:val="0"/>
        <w:keepLines w:val="0"/>
        <w:pageBreakBefore w:val="0"/>
        <w:widowControl w:val="0"/>
        <w:spacing w:line="38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我们同意按照招标文件第二章第14条的规定，本投标文件的有效期为从开标之</w:t>
      </w:r>
      <w:r>
        <w:rPr>
          <w:rFonts w:hint="eastAsia" w:ascii="宋体" w:hAnsi="宋体" w:eastAsia="宋体" w:cs="宋体"/>
          <w:sz w:val="24"/>
          <w:szCs w:val="24"/>
          <w:highlight w:val="none"/>
          <w:lang w:eastAsia="zh-CN"/>
        </w:rPr>
        <w:t>日</w:t>
      </w:r>
      <w:r>
        <w:rPr>
          <w:rFonts w:hint="eastAsia" w:ascii="宋体" w:hAnsi="宋体" w:eastAsia="宋体" w:cs="宋体"/>
          <w:sz w:val="24"/>
          <w:szCs w:val="24"/>
          <w:highlight w:val="none"/>
        </w:rPr>
        <w:t>起计算的九十天，在此期间，本投标文件将始终对我们具有约束力，并可随时被接受。如果我们中标，本投标文件在此期间之后将继续保持有效。</w:t>
      </w:r>
    </w:p>
    <w:p w14:paraId="52310E19">
      <w:pPr>
        <w:keepNext w:val="0"/>
        <w:keepLines w:val="0"/>
        <w:pageBreakBefore w:val="0"/>
        <w:widowControl w:val="0"/>
        <w:spacing w:line="38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我们理解，你们无义务必须接受投标价最低的投标。同时也理解你们不承担我们本次投标的费用。</w:t>
      </w:r>
    </w:p>
    <w:p w14:paraId="7CB82BB9">
      <w:pPr>
        <w:keepNext w:val="0"/>
        <w:keepLines w:val="0"/>
        <w:pageBreakBefore w:val="0"/>
        <w:widowControl w:val="0"/>
        <w:spacing w:line="38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我们同意向贵方提供贵方可能要求的与投标有关的任何证据或资料，并保证所提供的都是真实的、准确的。</w:t>
      </w:r>
    </w:p>
    <w:p w14:paraId="11B04422">
      <w:pPr>
        <w:keepNext w:val="0"/>
        <w:keepLines w:val="0"/>
        <w:pageBreakBefore w:val="0"/>
        <w:widowControl w:val="0"/>
        <w:spacing w:line="38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一旦我方中标，我方将根据招标文件的规定，严格履行合同的责任和义务，并保证</w:t>
      </w:r>
      <w:r>
        <w:rPr>
          <w:rFonts w:hint="eastAsia" w:ascii="宋体" w:hAnsi="宋体" w:eastAsia="宋体" w:cs="宋体"/>
          <w:sz w:val="24"/>
          <w:szCs w:val="24"/>
          <w:highlight w:val="none"/>
          <w:lang w:eastAsia="zh-CN"/>
        </w:rPr>
        <w:t>在</w:t>
      </w:r>
      <w:r>
        <w:rPr>
          <w:rFonts w:hint="eastAsia" w:ascii="宋体" w:hAnsi="宋体" w:eastAsia="宋体" w:cs="宋体"/>
          <w:sz w:val="24"/>
          <w:szCs w:val="24"/>
          <w:highlight w:val="none"/>
        </w:rPr>
        <w:t>招标文件中规定的时间内供货，并完成项目的施工、调试、交付买方验收、使用。否则我们的履约保证金将被贵方没收。</w:t>
      </w:r>
    </w:p>
    <w:p w14:paraId="405948DE">
      <w:pPr>
        <w:keepNext w:val="0"/>
        <w:keepLines w:val="0"/>
        <w:pageBreakBefore w:val="0"/>
        <w:widowControl w:val="0"/>
        <w:spacing w:line="38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我们没有为本项目提供整体设计、规范编制或者项目管理、监理、检测等服务。</w:t>
      </w:r>
    </w:p>
    <w:p w14:paraId="0C172A50">
      <w:pPr>
        <w:keepNext w:val="0"/>
        <w:keepLines w:val="0"/>
        <w:pageBreakBefore w:val="0"/>
        <w:widowControl w:val="0"/>
        <w:spacing w:line="380" w:lineRule="exact"/>
        <w:ind w:right="0" w:firstLine="567"/>
        <w:jc w:val="left"/>
        <w:rPr>
          <w:rFonts w:hint="eastAsia" w:ascii="宋体" w:hAnsi="宋体" w:eastAsia="宋体" w:cs="宋体"/>
          <w:sz w:val="24"/>
          <w:szCs w:val="24"/>
          <w:highlight w:val="none"/>
        </w:rPr>
      </w:pPr>
    </w:p>
    <w:p w14:paraId="681050EF">
      <w:pPr>
        <w:pStyle w:val="250"/>
        <w:keepNext w:val="0"/>
        <w:keepLines w:val="0"/>
        <w:pageBreakBefore w:val="0"/>
        <w:widowControl w:val="0"/>
        <w:spacing w:before="0" w:after="0" w:line="400" w:lineRule="exact"/>
        <w:ind w:right="0" w:firstLine="3840"/>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p>
    <w:p w14:paraId="40A1C82C">
      <w:pPr>
        <w:pStyle w:val="250"/>
        <w:keepNext w:val="0"/>
        <w:keepLines w:val="0"/>
        <w:pageBreakBefore w:val="0"/>
        <w:widowControl w:val="0"/>
        <w:spacing w:before="0" w:after="0" w:line="400" w:lineRule="exact"/>
        <w:ind w:right="0" w:firstLine="384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地址</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邮编</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u w:val="single"/>
        </w:rPr>
        <w:t xml:space="preserve">             </w:t>
      </w:r>
    </w:p>
    <w:p w14:paraId="4A4AB17F">
      <w:pPr>
        <w:keepNext w:val="0"/>
        <w:keepLines w:val="0"/>
        <w:pageBreakBefore w:val="0"/>
        <w:widowControl w:val="0"/>
        <w:spacing w:line="400" w:lineRule="exact"/>
        <w:ind w:right="0" w:firstLine="3840"/>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传真</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rPr>
        <w:t xml:space="preserve">             </w:t>
      </w:r>
    </w:p>
    <w:p w14:paraId="48FB3CD9">
      <w:pPr>
        <w:pStyle w:val="196"/>
        <w:keepNext w:val="0"/>
        <w:keepLines w:val="0"/>
        <w:pageBreakBefore w:val="0"/>
        <w:widowControl w:val="0"/>
        <w:spacing w:line="400" w:lineRule="exact"/>
        <w:ind w:right="0" w:firstLine="3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260F65AD">
      <w:pPr>
        <w:keepNext w:val="0"/>
        <w:keepLines w:val="0"/>
        <w:pageBreakBefore/>
        <w:widowControl w:val="0"/>
        <w:ind w:right="0" w:firstLine="3408"/>
        <w:outlineLvl w:val="9"/>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二、开标一览表</w:t>
      </w:r>
    </w:p>
    <w:tbl>
      <w:tblPr>
        <w:tblStyle w:val="28"/>
        <w:tblW w:w="0" w:type="auto"/>
        <w:tblInd w:w="2" w:type="dxa"/>
        <w:tblLayout w:type="fixed"/>
        <w:tblCellMar>
          <w:top w:w="0" w:type="dxa"/>
          <w:left w:w="108" w:type="dxa"/>
          <w:bottom w:w="0" w:type="dxa"/>
          <w:right w:w="108" w:type="dxa"/>
        </w:tblCellMar>
      </w:tblPr>
      <w:tblGrid>
        <w:gridCol w:w="1747"/>
        <w:gridCol w:w="7648"/>
      </w:tblGrid>
      <w:tr w14:paraId="755DBD97">
        <w:tblPrEx>
          <w:tblCellMar>
            <w:top w:w="0" w:type="dxa"/>
            <w:left w:w="108" w:type="dxa"/>
            <w:bottom w:w="0" w:type="dxa"/>
            <w:right w:w="108" w:type="dxa"/>
          </w:tblCellMar>
        </w:tblPrEx>
        <w:trPr>
          <w:trHeight w:val="1055" w:hRule="exact"/>
        </w:trPr>
        <w:tc>
          <w:tcPr>
            <w:tcW w:w="1747" w:type="dxa"/>
            <w:tcBorders>
              <w:top w:val="single" w:color="000000" w:sz="6" w:space="0"/>
              <w:left w:val="single" w:color="000000" w:sz="6" w:space="0"/>
              <w:bottom w:val="single" w:color="000000" w:sz="6" w:space="0"/>
              <w:right w:val="single" w:color="000000" w:sz="6" w:space="0"/>
            </w:tcBorders>
            <w:noWrap w:val="0"/>
            <w:vAlign w:val="center"/>
          </w:tcPr>
          <w:p w14:paraId="3BAF7D52">
            <w:pPr>
              <w:keepNext w:val="0"/>
              <w:keepLines w:val="0"/>
              <w:spacing w:line="360" w:lineRule="auto"/>
              <w:ind w:right="0"/>
              <w:jc w:val="center"/>
              <w:rPr>
                <w:rFonts w:hint="eastAsia" w:ascii="宋体" w:hAnsi="宋体" w:eastAsia="宋体" w:cs="宋体"/>
                <w:sz w:val="24"/>
                <w:highlight w:val="none"/>
                <w:lang w:val="zh-CN"/>
              </w:rPr>
            </w:pPr>
            <w:r>
              <w:rPr>
                <w:rFonts w:hint="eastAsia" w:ascii="宋体" w:hAnsi="宋体" w:eastAsia="宋体" w:cs="宋体"/>
                <w:sz w:val="24"/>
                <w:highlight w:val="none"/>
                <w:lang w:val="zh-CN"/>
              </w:rPr>
              <w:t>项目名称</w:t>
            </w:r>
          </w:p>
        </w:tc>
        <w:tc>
          <w:tcPr>
            <w:tcW w:w="7648" w:type="dxa"/>
            <w:tcBorders>
              <w:top w:val="single" w:color="000000" w:sz="6" w:space="0"/>
              <w:left w:val="single" w:color="000000" w:sz="6" w:space="0"/>
              <w:bottom w:val="single" w:color="000000" w:sz="6" w:space="0"/>
              <w:right w:val="single" w:color="000000" w:sz="6" w:space="0"/>
            </w:tcBorders>
            <w:noWrap w:val="0"/>
            <w:vAlign w:val="center"/>
          </w:tcPr>
          <w:p w14:paraId="1CAE2F08">
            <w:pPr>
              <w:keepNext w:val="0"/>
              <w:keepLines w:val="0"/>
              <w:tabs>
                <w:tab w:val="left" w:pos="900"/>
              </w:tabs>
              <w:spacing w:line="440" w:lineRule="exact"/>
              <w:ind w:right="0"/>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种业信息监管服务平台（三期）建设项目 </w:t>
            </w:r>
          </w:p>
        </w:tc>
      </w:tr>
      <w:tr w14:paraId="530B86BA">
        <w:tblPrEx>
          <w:tblCellMar>
            <w:top w:w="0" w:type="dxa"/>
            <w:left w:w="108" w:type="dxa"/>
            <w:bottom w:w="0" w:type="dxa"/>
            <w:right w:w="108" w:type="dxa"/>
          </w:tblCellMar>
        </w:tblPrEx>
        <w:trPr>
          <w:trHeight w:val="2155" w:hRule="atLeast"/>
        </w:trPr>
        <w:tc>
          <w:tcPr>
            <w:tcW w:w="1747" w:type="dxa"/>
            <w:tcBorders>
              <w:top w:val="single" w:color="000000" w:sz="6" w:space="0"/>
              <w:left w:val="single" w:color="000000" w:sz="6" w:space="0"/>
              <w:bottom w:val="single" w:color="000000" w:sz="6" w:space="0"/>
              <w:right w:val="single" w:color="000000" w:sz="6" w:space="0"/>
            </w:tcBorders>
            <w:noWrap w:val="0"/>
            <w:vAlign w:val="center"/>
          </w:tcPr>
          <w:p w14:paraId="4F2A0383">
            <w:pPr>
              <w:keepNext w:val="0"/>
              <w:keepLines w:val="0"/>
              <w:spacing w:line="360" w:lineRule="auto"/>
              <w:ind w:right="0"/>
              <w:jc w:val="center"/>
              <w:rPr>
                <w:rFonts w:hint="eastAsia" w:ascii="宋体" w:hAnsi="宋体" w:eastAsia="宋体" w:cs="宋体"/>
                <w:sz w:val="24"/>
                <w:highlight w:val="none"/>
                <w:lang w:val="zh-CN"/>
              </w:rPr>
            </w:pPr>
            <w:r>
              <w:rPr>
                <w:rFonts w:hint="eastAsia" w:ascii="宋体" w:hAnsi="宋体" w:eastAsia="宋体" w:cs="宋体"/>
                <w:sz w:val="24"/>
                <w:highlight w:val="none"/>
                <w:lang w:eastAsia="zh-CN"/>
              </w:rPr>
              <w:t>投标</w:t>
            </w:r>
            <w:r>
              <w:rPr>
                <w:rFonts w:hint="eastAsia" w:ascii="宋体" w:hAnsi="宋体" w:eastAsia="宋体" w:cs="宋体"/>
                <w:sz w:val="24"/>
                <w:highlight w:val="none"/>
                <w:lang w:val="zh-CN"/>
              </w:rPr>
              <w:t>报价总计</w:t>
            </w:r>
          </w:p>
        </w:tc>
        <w:tc>
          <w:tcPr>
            <w:tcW w:w="7648" w:type="dxa"/>
            <w:tcBorders>
              <w:top w:val="single" w:color="000000" w:sz="6" w:space="0"/>
              <w:left w:val="single" w:color="000000" w:sz="6" w:space="0"/>
              <w:bottom w:val="single" w:color="000000" w:sz="6" w:space="0"/>
              <w:right w:val="single" w:color="000000" w:sz="6" w:space="0"/>
            </w:tcBorders>
            <w:noWrap w:val="0"/>
            <w:vAlign w:val="center"/>
          </w:tcPr>
          <w:p w14:paraId="03999EC2">
            <w:pPr>
              <w:keepNext w:val="0"/>
              <w:keepLines w:val="0"/>
              <w:spacing w:line="360" w:lineRule="auto"/>
              <w:ind w:right="0"/>
              <w:rPr>
                <w:rFonts w:hint="eastAsia" w:ascii="宋体" w:hAnsi="宋体" w:cs="宋体"/>
                <w:sz w:val="24"/>
                <w:highlight w:val="none"/>
                <w:u w:val="single"/>
                <w:lang w:val="zh-CN"/>
              </w:rPr>
            </w:pPr>
            <w:r>
              <w:rPr>
                <w:rFonts w:hint="eastAsia" w:ascii="宋体" w:hAnsi="宋体" w:cs="宋体"/>
                <w:sz w:val="24"/>
                <w:highlight w:val="none"/>
                <w:lang w:val="zh-CN"/>
              </w:rPr>
              <w:t xml:space="preserve">（小写）¥： </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 元</w:t>
            </w:r>
          </w:p>
          <w:p w14:paraId="6B0948D2">
            <w:pPr>
              <w:keepNext w:val="0"/>
              <w:keepLines w:val="0"/>
              <w:spacing w:line="360" w:lineRule="auto"/>
              <w:ind w:right="0"/>
              <w:rPr>
                <w:rFonts w:hint="eastAsia" w:ascii="宋体" w:hAnsi="宋体" w:eastAsia="宋体" w:cs="宋体"/>
                <w:sz w:val="24"/>
                <w:highlight w:val="none"/>
                <w:lang w:val="zh-CN"/>
              </w:rPr>
            </w:pPr>
            <w:r>
              <w:rPr>
                <w:rFonts w:hint="eastAsia" w:ascii="宋体" w:hAnsi="宋体" w:cs="宋体"/>
                <w:sz w:val="24"/>
                <w:highlight w:val="none"/>
                <w:lang w:val="zh-CN"/>
              </w:rPr>
              <w:t>（大写）人民币：</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元</w:t>
            </w:r>
          </w:p>
        </w:tc>
      </w:tr>
    </w:tbl>
    <w:p w14:paraId="11495749">
      <w:pPr>
        <w:keepNext w:val="0"/>
        <w:keepLines w:val="0"/>
        <w:tabs>
          <w:tab w:val="left" w:pos="2119"/>
          <w:tab w:val="left" w:pos="4039"/>
        </w:tabs>
        <w:spacing w:line="640" w:lineRule="exact"/>
        <w:ind w:right="0"/>
        <w:rPr>
          <w:rFonts w:hint="eastAsia" w:ascii="宋体" w:hAnsi="宋体" w:eastAsia="宋体" w:cs="宋体"/>
          <w:sz w:val="24"/>
          <w:highlight w:val="none"/>
        </w:rPr>
      </w:pPr>
      <w:r>
        <w:rPr>
          <w:rFonts w:hint="eastAsia" w:ascii="宋体" w:hAnsi="宋体" w:eastAsia="宋体" w:cs="宋体"/>
          <w:sz w:val="24"/>
          <w:highlight w:val="none"/>
          <w:lang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电子签章</w:t>
      </w:r>
      <w:r>
        <w:rPr>
          <w:rFonts w:hint="eastAsia" w:ascii="宋体" w:hAnsi="宋体" w:eastAsia="宋体" w:cs="宋体"/>
          <w:sz w:val="24"/>
          <w:highlight w:val="none"/>
          <w:u w:val="single"/>
        </w:rPr>
        <w:t>）</w:t>
      </w:r>
    </w:p>
    <w:p w14:paraId="0EBC737D">
      <w:pPr>
        <w:keepNext w:val="0"/>
        <w:keepLines w:val="0"/>
        <w:tabs>
          <w:tab w:val="left" w:pos="5419"/>
        </w:tabs>
        <w:spacing w:line="640" w:lineRule="exact"/>
        <w:ind w:right="0"/>
        <w:rPr>
          <w:rFonts w:hint="eastAsia" w:ascii="宋体" w:hAnsi="宋体" w:eastAsia="宋体" w:cs="宋体"/>
          <w:sz w:val="24"/>
          <w:highlight w:val="none"/>
          <w:u w:val="single"/>
        </w:rPr>
      </w:pPr>
      <w:r>
        <w:rPr>
          <w:rFonts w:hint="eastAsia" w:ascii="宋体" w:hAnsi="宋体" w:eastAsia="宋体" w:cs="宋体"/>
          <w:sz w:val="24"/>
          <w:highlight w:val="none"/>
        </w:rPr>
        <w:t>法人或其委托受托人签字：</w:t>
      </w:r>
      <w:r>
        <w:rPr>
          <w:rFonts w:hint="eastAsia" w:ascii="宋体" w:hAnsi="宋体" w:eastAsia="宋体" w:cs="宋体"/>
          <w:sz w:val="24"/>
          <w:highlight w:val="none"/>
          <w:u w:val="single"/>
        </w:rPr>
        <w:t xml:space="preserve">                    </w:t>
      </w:r>
    </w:p>
    <w:p w14:paraId="28775AD7">
      <w:pPr>
        <w:pStyle w:val="201"/>
        <w:keepNext w:val="0"/>
        <w:keepLines w:val="0"/>
        <w:ind w:right="0"/>
        <w:rPr>
          <w:rFonts w:hint="eastAsia" w:ascii="宋体" w:hAnsi="宋体" w:eastAsia="宋体" w:cs="宋体"/>
          <w:highlight w:val="none"/>
        </w:rPr>
      </w:pPr>
    </w:p>
    <w:p w14:paraId="680665D9">
      <w:pPr>
        <w:keepNext w:val="0"/>
        <w:keepLines w:val="0"/>
        <w:spacing w:line="440" w:lineRule="exact"/>
        <w:ind w:right="0"/>
        <w:rPr>
          <w:rFonts w:hint="eastAsia" w:ascii="宋体" w:hAnsi="宋体" w:eastAsia="宋体" w:cs="宋体"/>
          <w:sz w:val="24"/>
          <w:highlight w:val="none"/>
        </w:rPr>
      </w:pPr>
      <w:r>
        <w:rPr>
          <w:rFonts w:hint="eastAsia" w:ascii="宋体" w:hAnsi="宋体" w:eastAsia="宋体" w:cs="宋体"/>
          <w:sz w:val="24"/>
          <w:highlight w:val="none"/>
        </w:rPr>
        <w:t>注：</w:t>
      </w:r>
    </w:p>
    <w:p w14:paraId="75C12ADF">
      <w:pPr>
        <w:keepNext w:val="0"/>
        <w:keepLines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eastAsia="zh-CN"/>
        </w:rPr>
        <w:t>投标</w:t>
      </w:r>
      <w:r>
        <w:rPr>
          <w:rFonts w:hint="eastAsia" w:ascii="宋体" w:hAnsi="宋体" w:eastAsia="宋体" w:cs="宋体"/>
          <w:sz w:val="24"/>
          <w:highlight w:val="none"/>
        </w:rPr>
        <w:t>报价总计应满足</w:t>
      </w:r>
      <w:r>
        <w:rPr>
          <w:rFonts w:hint="eastAsia" w:ascii="宋体" w:hAnsi="宋体" w:eastAsia="宋体" w:cs="宋体"/>
          <w:sz w:val="24"/>
          <w:highlight w:val="none"/>
          <w:lang w:eastAsia="zh-CN"/>
        </w:rPr>
        <w:t>投标</w:t>
      </w:r>
      <w:r>
        <w:rPr>
          <w:rFonts w:hint="eastAsia" w:ascii="宋体" w:hAnsi="宋体" w:eastAsia="宋体" w:cs="宋体"/>
          <w:sz w:val="24"/>
          <w:highlight w:val="none"/>
        </w:rPr>
        <w:t>文件中</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须知</w:t>
      </w:r>
      <w:r>
        <w:rPr>
          <w:rFonts w:hint="eastAsia" w:ascii="宋体" w:hAnsi="宋体" w:eastAsia="宋体" w:cs="宋体"/>
          <w:sz w:val="24"/>
          <w:highlight w:val="none"/>
          <w:lang w:eastAsia="zh-CN"/>
        </w:rPr>
        <w:t>投标</w:t>
      </w:r>
      <w:r>
        <w:rPr>
          <w:rFonts w:hint="eastAsia" w:ascii="宋体" w:hAnsi="宋体" w:eastAsia="宋体" w:cs="宋体"/>
          <w:sz w:val="24"/>
          <w:highlight w:val="none"/>
        </w:rPr>
        <w:t>报价所述内容。</w:t>
      </w:r>
    </w:p>
    <w:p w14:paraId="54BB1690">
      <w:pPr>
        <w:keepNext w:val="0"/>
        <w:keepLines w:val="0"/>
        <w:spacing w:line="4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（2）开标一览表格式不得自行改动。</w:t>
      </w:r>
      <w:bookmarkStart w:id="50" w:name="_Toc157775459"/>
      <w:bookmarkStart w:id="51" w:name="_Toc136924766"/>
    </w:p>
    <w:bookmarkEnd w:id="50"/>
    <w:bookmarkEnd w:id="51"/>
    <w:p w14:paraId="68225575">
      <w:pPr>
        <w:keepNext w:val="0"/>
        <w:keepLines w:val="0"/>
        <w:spacing w:line="440" w:lineRule="exact"/>
        <w:ind w:right="0" w:firstLine="3408"/>
        <w:rPr>
          <w:rFonts w:hint="eastAsia" w:ascii="宋体" w:hAnsi="宋体" w:eastAsia="宋体" w:cs="宋体"/>
          <w:b/>
          <w:bCs/>
          <w:spacing w:val="20"/>
          <w:sz w:val="32"/>
          <w:szCs w:val="32"/>
          <w:highlight w:val="none"/>
        </w:rPr>
      </w:pPr>
    </w:p>
    <w:p w14:paraId="64BD84E5">
      <w:pPr>
        <w:keepNext w:val="0"/>
        <w:keepLines w:val="0"/>
        <w:spacing w:line="440" w:lineRule="exact"/>
        <w:ind w:right="0"/>
        <w:rPr>
          <w:rFonts w:hint="eastAsia" w:ascii="宋体" w:hAnsi="宋体" w:eastAsia="宋体" w:cs="宋体"/>
          <w:sz w:val="28"/>
          <w:szCs w:val="28"/>
          <w:highlight w:val="none"/>
        </w:rPr>
      </w:pPr>
    </w:p>
    <w:p w14:paraId="7A9113CD">
      <w:pPr>
        <w:keepNext w:val="0"/>
        <w:keepLines w:val="0"/>
        <w:spacing w:line="440" w:lineRule="exact"/>
        <w:ind w:right="0"/>
        <w:rPr>
          <w:rFonts w:hint="eastAsia" w:ascii="宋体" w:hAnsi="宋体" w:eastAsia="宋体" w:cs="宋体"/>
          <w:sz w:val="28"/>
          <w:szCs w:val="28"/>
          <w:highlight w:val="none"/>
        </w:rPr>
      </w:pPr>
    </w:p>
    <w:p w14:paraId="34D54863">
      <w:pPr>
        <w:keepNext w:val="0"/>
        <w:keepLines w:val="0"/>
        <w:pageBreakBefore/>
        <w:widowControl w:val="0"/>
        <w:numPr>
          <w:ilvl w:val="0"/>
          <w:numId w:val="0"/>
        </w:numPr>
        <w:ind w:right="0"/>
        <w:jc w:val="center"/>
        <w:outlineLvl w:val="9"/>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lang w:val="en-US" w:eastAsia="zh-CN" w:bidi="ar-SA"/>
        </w:rPr>
        <w:t>三、</w:t>
      </w:r>
      <w:r>
        <w:rPr>
          <w:rFonts w:hint="eastAsia" w:ascii="宋体" w:hAnsi="宋体" w:eastAsia="宋体" w:cs="宋体"/>
          <w:b/>
          <w:bCs/>
          <w:spacing w:val="20"/>
          <w:sz w:val="32"/>
          <w:szCs w:val="32"/>
          <w:highlight w:val="none"/>
          <w:lang w:eastAsia="zh-CN"/>
        </w:rPr>
        <w:t>投标</w:t>
      </w:r>
      <w:r>
        <w:rPr>
          <w:rFonts w:hint="eastAsia" w:ascii="宋体" w:hAnsi="宋体" w:eastAsia="宋体" w:cs="宋体"/>
          <w:b/>
          <w:bCs/>
          <w:spacing w:val="20"/>
          <w:sz w:val="32"/>
          <w:szCs w:val="32"/>
          <w:highlight w:val="none"/>
        </w:rPr>
        <w:t>报价明细表</w:t>
      </w:r>
    </w:p>
    <w:p w14:paraId="56C706E6">
      <w:pPr>
        <w:pStyle w:val="196"/>
        <w:keepNext w:val="0"/>
        <w:keepLines w:val="0"/>
        <w:spacing w:line="340" w:lineRule="exact"/>
        <w:ind w:right="0"/>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项目名称：种业信息监管服务平台（三期）建设项目</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4"/>
        <w:gridCol w:w="1741"/>
        <w:gridCol w:w="1729"/>
        <w:gridCol w:w="1012"/>
        <w:gridCol w:w="825"/>
        <w:gridCol w:w="1175"/>
        <w:gridCol w:w="1207"/>
        <w:gridCol w:w="1458"/>
      </w:tblGrid>
      <w:tr w14:paraId="08034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3" w:hRule="atLeast"/>
        </w:trPr>
        <w:tc>
          <w:tcPr>
            <w:tcW w:w="724" w:type="dxa"/>
            <w:noWrap w:val="0"/>
            <w:vAlign w:val="center"/>
          </w:tcPr>
          <w:p w14:paraId="4F3DAC5F">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序号</w:t>
            </w:r>
          </w:p>
        </w:tc>
        <w:tc>
          <w:tcPr>
            <w:tcW w:w="1741" w:type="dxa"/>
            <w:noWrap w:val="0"/>
            <w:vAlign w:val="center"/>
          </w:tcPr>
          <w:p w14:paraId="55851A35">
            <w:pPr>
              <w:keepNext w:val="0"/>
              <w:keepLines w:val="0"/>
              <w:spacing w:line="400" w:lineRule="exact"/>
              <w:ind w:right="0"/>
              <w:jc w:val="center"/>
              <w:rPr>
                <w:rFonts w:hint="eastAsia" w:ascii="宋体" w:hAnsi="宋体" w:eastAsia="宋体" w:cs="宋体"/>
                <w:sz w:val="24"/>
                <w:highlight w:val="none"/>
                <w:lang w:val="en-US" w:eastAsia="zh-CN"/>
              </w:rPr>
            </w:pPr>
            <w:r>
              <w:rPr>
                <w:rFonts w:hint="eastAsia" w:ascii="宋体" w:hAnsi="宋体" w:cs="宋体"/>
                <w:sz w:val="24"/>
                <w:highlight w:val="none"/>
              </w:rPr>
              <w:t>服务</w:t>
            </w:r>
            <w:r>
              <w:rPr>
                <w:rFonts w:hint="eastAsia" w:ascii="宋体" w:hAnsi="宋体" w:cs="宋体"/>
                <w:sz w:val="24"/>
                <w:highlight w:val="none"/>
                <w:lang w:val="en-US" w:eastAsia="zh-CN"/>
              </w:rPr>
              <w:t>名称</w:t>
            </w:r>
          </w:p>
        </w:tc>
        <w:tc>
          <w:tcPr>
            <w:tcW w:w="1729" w:type="dxa"/>
            <w:noWrap w:val="0"/>
            <w:vAlign w:val="center"/>
          </w:tcPr>
          <w:p w14:paraId="1F5B8754">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是否完全响应磋商文件要求</w:t>
            </w:r>
          </w:p>
        </w:tc>
        <w:tc>
          <w:tcPr>
            <w:tcW w:w="1012" w:type="dxa"/>
            <w:noWrap w:val="0"/>
            <w:vAlign w:val="center"/>
          </w:tcPr>
          <w:p w14:paraId="38C210DC">
            <w:pPr>
              <w:keepNext w:val="0"/>
              <w:keepLines w:val="0"/>
              <w:spacing w:line="400" w:lineRule="exact"/>
              <w:ind w:right="0"/>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数量</w:t>
            </w:r>
          </w:p>
        </w:tc>
        <w:tc>
          <w:tcPr>
            <w:tcW w:w="825" w:type="dxa"/>
            <w:noWrap w:val="0"/>
            <w:vAlign w:val="center"/>
          </w:tcPr>
          <w:p w14:paraId="160F1540">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单位</w:t>
            </w:r>
          </w:p>
        </w:tc>
        <w:tc>
          <w:tcPr>
            <w:tcW w:w="1175" w:type="dxa"/>
            <w:noWrap w:val="0"/>
            <w:vAlign w:val="center"/>
          </w:tcPr>
          <w:p w14:paraId="33434D71">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单价（元/项）</w:t>
            </w:r>
          </w:p>
        </w:tc>
        <w:tc>
          <w:tcPr>
            <w:tcW w:w="1207" w:type="dxa"/>
            <w:noWrap w:val="0"/>
            <w:vAlign w:val="center"/>
          </w:tcPr>
          <w:p w14:paraId="781525E8">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lang w:val="en-US" w:eastAsia="zh-CN"/>
              </w:rPr>
              <w:t>合计</w:t>
            </w:r>
            <w:r>
              <w:rPr>
                <w:rFonts w:hint="eastAsia" w:ascii="宋体" w:hAnsi="宋体" w:cs="宋体"/>
                <w:sz w:val="24"/>
                <w:highlight w:val="none"/>
              </w:rPr>
              <w:t>（元）</w:t>
            </w:r>
          </w:p>
        </w:tc>
        <w:tc>
          <w:tcPr>
            <w:tcW w:w="1458" w:type="dxa"/>
            <w:noWrap w:val="0"/>
            <w:vAlign w:val="center"/>
          </w:tcPr>
          <w:p w14:paraId="22DBA60F">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备注</w:t>
            </w:r>
          </w:p>
        </w:tc>
      </w:tr>
      <w:tr w14:paraId="61F10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9871" w:type="dxa"/>
            <w:gridSpan w:val="8"/>
            <w:noWrap w:val="0"/>
            <w:vAlign w:val="center"/>
          </w:tcPr>
          <w:p w14:paraId="2893BE61">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软件部分</w:t>
            </w:r>
          </w:p>
        </w:tc>
      </w:tr>
      <w:tr w14:paraId="5086A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noWrap w:val="0"/>
            <w:vAlign w:val="center"/>
          </w:tcPr>
          <w:p w14:paraId="7FEA97E9">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1741" w:type="dxa"/>
            <w:noWrap w:val="0"/>
            <w:vAlign w:val="center"/>
          </w:tcPr>
          <w:p w14:paraId="08C79FC3">
            <w:pPr>
              <w:keepNext w:val="0"/>
              <w:keepLines w:val="0"/>
              <w:pageBreakBefore w:val="0"/>
              <w:widowControl w:val="0"/>
              <w:spacing w:line="400" w:lineRule="exact"/>
              <w:jc w:val="center"/>
              <w:rPr>
                <w:rFonts w:ascii="宋体" w:hAnsi="宋体" w:cs="宋体"/>
                <w:sz w:val="24"/>
                <w:highlight w:val="none"/>
                <w:lang w:val="en-US" w:eastAsia="zh-CN"/>
              </w:rPr>
            </w:pPr>
            <w:r>
              <w:rPr>
                <w:rFonts w:hint="eastAsia" w:ascii="宋体" w:hAnsi="宋体" w:eastAsia="宋体" w:cs="宋体"/>
                <w:sz w:val="24"/>
                <w:szCs w:val="24"/>
                <w:highlight w:val="none"/>
                <w:lang w:val="en-US" w:eastAsia="zh-CN"/>
              </w:rPr>
              <w:t>种业数智化决策中心</w:t>
            </w:r>
          </w:p>
        </w:tc>
        <w:tc>
          <w:tcPr>
            <w:tcW w:w="1729" w:type="dxa"/>
            <w:noWrap w:val="0"/>
            <w:vAlign w:val="center"/>
          </w:tcPr>
          <w:p w14:paraId="33347374">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788D7693">
            <w:pPr>
              <w:keepNext w:val="0"/>
              <w:keepLines w:val="0"/>
              <w:pageBreakBefore w:val="0"/>
              <w:widowControl w:val="0"/>
              <w:spacing w:line="400" w:lineRule="exact"/>
              <w:jc w:val="center"/>
              <w:rPr>
                <w:rFonts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1</w:t>
            </w:r>
          </w:p>
        </w:tc>
        <w:tc>
          <w:tcPr>
            <w:tcW w:w="825" w:type="dxa"/>
            <w:noWrap w:val="0"/>
            <w:vAlign w:val="center"/>
          </w:tcPr>
          <w:p w14:paraId="0ABFD814">
            <w:pPr>
              <w:keepNext w:val="0"/>
              <w:keepLines w:val="0"/>
              <w:pageBreakBefore w:val="0"/>
              <w:widowControl w:val="0"/>
              <w:spacing w:line="400" w:lineRule="exact"/>
              <w:jc w:val="center"/>
              <w:rPr>
                <w:rFonts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套</w:t>
            </w:r>
          </w:p>
        </w:tc>
        <w:tc>
          <w:tcPr>
            <w:tcW w:w="1175" w:type="dxa"/>
            <w:noWrap w:val="0"/>
            <w:vAlign w:val="center"/>
          </w:tcPr>
          <w:p w14:paraId="2266FAA4">
            <w:pPr>
              <w:keepNext w:val="0"/>
              <w:keepLines w:val="0"/>
              <w:pageBreakBefore w:val="0"/>
              <w:widowControl w:val="0"/>
              <w:spacing w:line="400" w:lineRule="exact"/>
              <w:jc w:val="center"/>
              <w:rPr>
                <w:rFonts w:hint="eastAsia" w:ascii="宋体" w:hAnsi="宋体" w:cs="宋体"/>
                <w:sz w:val="24"/>
                <w:highlight w:val="none"/>
              </w:rPr>
            </w:pPr>
          </w:p>
        </w:tc>
        <w:tc>
          <w:tcPr>
            <w:tcW w:w="1207" w:type="dxa"/>
            <w:noWrap w:val="0"/>
            <w:vAlign w:val="center"/>
          </w:tcPr>
          <w:p w14:paraId="19520AE4">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6C29DF52">
            <w:pPr>
              <w:keepNext w:val="0"/>
              <w:keepLines w:val="0"/>
              <w:spacing w:line="400" w:lineRule="exact"/>
              <w:ind w:right="0"/>
              <w:jc w:val="center"/>
              <w:rPr>
                <w:rFonts w:ascii="宋体" w:hAnsi="宋体" w:eastAsia="宋体" w:cs="宋体"/>
                <w:sz w:val="24"/>
                <w:highlight w:val="none"/>
                <w:lang w:val="en-US" w:eastAsia="zh-CN"/>
              </w:rPr>
            </w:pPr>
          </w:p>
        </w:tc>
      </w:tr>
      <w:tr w14:paraId="0F3DF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noWrap w:val="0"/>
            <w:vAlign w:val="center"/>
          </w:tcPr>
          <w:p w14:paraId="58CE3BC8">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1741" w:type="dxa"/>
            <w:noWrap w:val="0"/>
            <w:vAlign w:val="center"/>
          </w:tcPr>
          <w:p w14:paraId="4819F283">
            <w:pPr>
              <w:keepNext w:val="0"/>
              <w:keepLines w:val="0"/>
              <w:pageBreakBefore w:val="0"/>
              <w:widowControl w:val="0"/>
              <w:spacing w:line="400" w:lineRule="exact"/>
              <w:jc w:val="center"/>
              <w:rPr>
                <w:rFonts w:hint="eastAsia" w:ascii="宋体" w:hAnsi="宋体" w:cs="宋体"/>
                <w:sz w:val="24"/>
                <w:highlight w:val="none"/>
                <w:lang w:val="zh-CN"/>
              </w:rPr>
            </w:pPr>
            <w:r>
              <w:rPr>
                <w:rFonts w:hint="eastAsia" w:ascii="宋体" w:hAnsi="宋体" w:eastAsia="宋体" w:cs="宋体"/>
                <w:sz w:val="24"/>
                <w:szCs w:val="24"/>
                <w:highlight w:val="none"/>
                <w:lang w:val="en-US" w:eastAsia="zh-CN"/>
              </w:rPr>
              <w:t>制种生产全环节数智化监管平台</w:t>
            </w:r>
          </w:p>
        </w:tc>
        <w:tc>
          <w:tcPr>
            <w:tcW w:w="1729" w:type="dxa"/>
            <w:noWrap w:val="0"/>
            <w:vAlign w:val="center"/>
          </w:tcPr>
          <w:p w14:paraId="5EF791DD">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5A30B355">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1</w:t>
            </w:r>
          </w:p>
        </w:tc>
        <w:tc>
          <w:tcPr>
            <w:tcW w:w="825" w:type="dxa"/>
            <w:noWrap w:val="0"/>
            <w:vAlign w:val="center"/>
          </w:tcPr>
          <w:p w14:paraId="78F76E01">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套</w:t>
            </w:r>
          </w:p>
        </w:tc>
        <w:tc>
          <w:tcPr>
            <w:tcW w:w="1175" w:type="dxa"/>
            <w:noWrap w:val="0"/>
            <w:vAlign w:val="center"/>
          </w:tcPr>
          <w:p w14:paraId="0D697619">
            <w:pPr>
              <w:keepNext w:val="0"/>
              <w:keepLines w:val="0"/>
              <w:pageBreakBefore w:val="0"/>
              <w:widowControl w:val="0"/>
              <w:spacing w:line="400" w:lineRule="exact"/>
              <w:jc w:val="center"/>
              <w:rPr>
                <w:rFonts w:hint="eastAsia" w:ascii="宋体" w:hAnsi="宋体" w:cs="宋体"/>
                <w:sz w:val="24"/>
                <w:highlight w:val="none"/>
              </w:rPr>
            </w:pPr>
          </w:p>
        </w:tc>
        <w:tc>
          <w:tcPr>
            <w:tcW w:w="1207" w:type="dxa"/>
            <w:noWrap w:val="0"/>
            <w:vAlign w:val="center"/>
          </w:tcPr>
          <w:p w14:paraId="45B4D028">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26AE8B53">
            <w:pPr>
              <w:keepNext w:val="0"/>
              <w:keepLines w:val="0"/>
              <w:spacing w:line="400" w:lineRule="exact"/>
              <w:ind w:right="0"/>
              <w:jc w:val="center"/>
              <w:rPr>
                <w:rFonts w:ascii="宋体" w:hAnsi="宋体" w:eastAsia="宋体" w:cs="宋体"/>
                <w:sz w:val="24"/>
                <w:highlight w:val="none"/>
                <w:lang w:val="en-US" w:eastAsia="zh-CN"/>
              </w:rPr>
            </w:pPr>
          </w:p>
        </w:tc>
      </w:tr>
      <w:tr w14:paraId="56221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noWrap w:val="0"/>
            <w:vAlign w:val="center"/>
          </w:tcPr>
          <w:p w14:paraId="5E381E99">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c>
          <w:tcPr>
            <w:tcW w:w="1741" w:type="dxa"/>
            <w:noWrap w:val="0"/>
            <w:vAlign w:val="center"/>
          </w:tcPr>
          <w:p w14:paraId="7666C287">
            <w:pPr>
              <w:keepNext w:val="0"/>
              <w:keepLines w:val="0"/>
              <w:pageBreakBefore w:val="0"/>
              <w:widowControl w:val="0"/>
              <w:spacing w:line="400" w:lineRule="exact"/>
              <w:jc w:val="center"/>
              <w:rPr>
                <w:rFonts w:hint="eastAsia" w:ascii="宋体" w:hAnsi="宋体" w:cs="宋体"/>
                <w:sz w:val="24"/>
                <w:highlight w:val="none"/>
                <w:lang w:val="zh-CN"/>
              </w:rPr>
            </w:pPr>
            <w:r>
              <w:rPr>
                <w:rFonts w:hint="eastAsia" w:ascii="宋体" w:hAnsi="宋体" w:eastAsia="宋体" w:cs="宋体"/>
                <w:sz w:val="24"/>
                <w:szCs w:val="24"/>
                <w:highlight w:val="none"/>
                <w:lang w:val="en-US" w:eastAsia="zh-CN"/>
              </w:rPr>
              <w:t>种子质量可追溯监管平台</w:t>
            </w:r>
          </w:p>
        </w:tc>
        <w:tc>
          <w:tcPr>
            <w:tcW w:w="1729" w:type="dxa"/>
            <w:noWrap w:val="0"/>
            <w:vAlign w:val="center"/>
          </w:tcPr>
          <w:p w14:paraId="5243948C">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60F5991A">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1</w:t>
            </w:r>
          </w:p>
        </w:tc>
        <w:tc>
          <w:tcPr>
            <w:tcW w:w="825" w:type="dxa"/>
            <w:noWrap w:val="0"/>
            <w:vAlign w:val="center"/>
          </w:tcPr>
          <w:p w14:paraId="16770F3A">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套</w:t>
            </w:r>
          </w:p>
        </w:tc>
        <w:tc>
          <w:tcPr>
            <w:tcW w:w="1175" w:type="dxa"/>
            <w:noWrap w:val="0"/>
            <w:vAlign w:val="center"/>
          </w:tcPr>
          <w:p w14:paraId="37A52344">
            <w:pPr>
              <w:keepNext w:val="0"/>
              <w:keepLines w:val="0"/>
              <w:pageBreakBefore w:val="0"/>
              <w:widowControl w:val="0"/>
              <w:spacing w:line="400" w:lineRule="exact"/>
              <w:jc w:val="center"/>
              <w:rPr>
                <w:rFonts w:hint="eastAsia" w:ascii="宋体" w:hAnsi="宋体" w:cs="宋体"/>
                <w:sz w:val="24"/>
                <w:highlight w:val="none"/>
              </w:rPr>
            </w:pPr>
          </w:p>
        </w:tc>
        <w:tc>
          <w:tcPr>
            <w:tcW w:w="1207" w:type="dxa"/>
            <w:noWrap w:val="0"/>
            <w:vAlign w:val="center"/>
          </w:tcPr>
          <w:p w14:paraId="07B0C17A">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72F9B82E">
            <w:pPr>
              <w:keepNext w:val="0"/>
              <w:keepLines w:val="0"/>
              <w:spacing w:line="400" w:lineRule="exact"/>
              <w:ind w:right="0"/>
              <w:jc w:val="center"/>
              <w:rPr>
                <w:rFonts w:ascii="宋体" w:hAnsi="宋体" w:eastAsia="宋体" w:cs="宋体"/>
                <w:sz w:val="24"/>
                <w:highlight w:val="none"/>
                <w:lang w:val="en-US" w:eastAsia="zh-CN"/>
              </w:rPr>
            </w:pPr>
          </w:p>
        </w:tc>
      </w:tr>
      <w:tr w14:paraId="6F54F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noWrap w:val="0"/>
            <w:vAlign w:val="center"/>
          </w:tcPr>
          <w:p w14:paraId="027C120F">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c>
          <w:tcPr>
            <w:tcW w:w="1741" w:type="dxa"/>
            <w:noWrap w:val="0"/>
            <w:vAlign w:val="center"/>
          </w:tcPr>
          <w:p w14:paraId="38CE40A3">
            <w:pPr>
              <w:keepNext w:val="0"/>
              <w:keepLines w:val="0"/>
              <w:pageBreakBefore w:val="0"/>
              <w:widowControl w:val="0"/>
              <w:spacing w:line="400" w:lineRule="exact"/>
              <w:jc w:val="center"/>
              <w:rPr>
                <w:rFonts w:hint="eastAsia" w:ascii="宋体" w:hAnsi="宋体" w:cs="宋体"/>
                <w:sz w:val="24"/>
                <w:highlight w:val="none"/>
                <w:lang w:val="zh-CN"/>
              </w:rPr>
            </w:pPr>
            <w:r>
              <w:rPr>
                <w:rFonts w:hint="eastAsia" w:ascii="宋体" w:hAnsi="宋体" w:eastAsia="宋体" w:cs="宋体"/>
                <w:sz w:val="24"/>
                <w:szCs w:val="24"/>
                <w:highlight w:val="none"/>
                <w:lang w:val="en-US" w:eastAsia="zh-CN"/>
              </w:rPr>
              <w:t>制种数智化服务管理平台</w:t>
            </w:r>
          </w:p>
        </w:tc>
        <w:tc>
          <w:tcPr>
            <w:tcW w:w="1729" w:type="dxa"/>
            <w:noWrap w:val="0"/>
            <w:vAlign w:val="center"/>
          </w:tcPr>
          <w:p w14:paraId="26AE0A19">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78877CE4">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1</w:t>
            </w:r>
          </w:p>
        </w:tc>
        <w:tc>
          <w:tcPr>
            <w:tcW w:w="825" w:type="dxa"/>
            <w:noWrap w:val="0"/>
            <w:vAlign w:val="center"/>
          </w:tcPr>
          <w:p w14:paraId="2A6200F3">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套</w:t>
            </w:r>
          </w:p>
        </w:tc>
        <w:tc>
          <w:tcPr>
            <w:tcW w:w="1175" w:type="dxa"/>
            <w:noWrap w:val="0"/>
            <w:vAlign w:val="center"/>
          </w:tcPr>
          <w:p w14:paraId="1EADA67E">
            <w:pPr>
              <w:keepNext w:val="0"/>
              <w:keepLines w:val="0"/>
              <w:pageBreakBefore w:val="0"/>
              <w:widowControl w:val="0"/>
              <w:spacing w:line="400" w:lineRule="exact"/>
              <w:jc w:val="center"/>
              <w:rPr>
                <w:rFonts w:hint="eastAsia" w:ascii="宋体" w:hAnsi="宋体" w:cs="宋体"/>
                <w:sz w:val="24"/>
                <w:highlight w:val="none"/>
              </w:rPr>
            </w:pPr>
          </w:p>
        </w:tc>
        <w:tc>
          <w:tcPr>
            <w:tcW w:w="1207" w:type="dxa"/>
            <w:noWrap w:val="0"/>
            <w:vAlign w:val="center"/>
          </w:tcPr>
          <w:p w14:paraId="1F06830E">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788A5CE1">
            <w:pPr>
              <w:keepNext w:val="0"/>
              <w:keepLines w:val="0"/>
              <w:spacing w:line="400" w:lineRule="exact"/>
              <w:ind w:right="0"/>
              <w:jc w:val="center"/>
              <w:rPr>
                <w:rFonts w:ascii="宋体" w:hAnsi="宋体" w:eastAsia="宋体" w:cs="宋体"/>
                <w:sz w:val="24"/>
                <w:highlight w:val="none"/>
                <w:lang w:val="en-US" w:eastAsia="zh-CN"/>
              </w:rPr>
            </w:pPr>
          </w:p>
        </w:tc>
      </w:tr>
      <w:tr w14:paraId="4605B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noWrap w:val="0"/>
            <w:vAlign w:val="center"/>
          </w:tcPr>
          <w:p w14:paraId="5BE12EA2">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p>
        </w:tc>
        <w:tc>
          <w:tcPr>
            <w:tcW w:w="1741" w:type="dxa"/>
            <w:noWrap w:val="0"/>
            <w:vAlign w:val="center"/>
          </w:tcPr>
          <w:p w14:paraId="5FE19ABA">
            <w:pPr>
              <w:keepNext w:val="0"/>
              <w:keepLines w:val="0"/>
              <w:pageBreakBefore w:val="0"/>
              <w:widowControl w:val="0"/>
              <w:spacing w:line="400" w:lineRule="exact"/>
              <w:jc w:val="center"/>
              <w:rPr>
                <w:rFonts w:hint="eastAsia" w:ascii="宋体" w:hAnsi="宋体" w:cs="宋体"/>
                <w:sz w:val="24"/>
                <w:highlight w:val="none"/>
                <w:lang w:val="zh-CN"/>
              </w:rPr>
            </w:pPr>
            <w:r>
              <w:rPr>
                <w:rFonts w:hint="eastAsia" w:ascii="宋体" w:hAnsi="宋体" w:eastAsia="宋体" w:cs="宋体"/>
                <w:sz w:val="24"/>
                <w:szCs w:val="24"/>
                <w:highlight w:val="none"/>
                <w:lang w:val="en-US" w:eastAsia="zh-CN"/>
              </w:rPr>
              <w:t>种子市场数智化动态监管平台</w:t>
            </w:r>
          </w:p>
        </w:tc>
        <w:tc>
          <w:tcPr>
            <w:tcW w:w="1729" w:type="dxa"/>
            <w:noWrap w:val="0"/>
            <w:vAlign w:val="center"/>
          </w:tcPr>
          <w:p w14:paraId="20478DBE">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7CFEC901">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1</w:t>
            </w:r>
          </w:p>
        </w:tc>
        <w:tc>
          <w:tcPr>
            <w:tcW w:w="825" w:type="dxa"/>
            <w:noWrap w:val="0"/>
            <w:vAlign w:val="center"/>
          </w:tcPr>
          <w:p w14:paraId="36F0720D">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套</w:t>
            </w:r>
          </w:p>
        </w:tc>
        <w:tc>
          <w:tcPr>
            <w:tcW w:w="1175" w:type="dxa"/>
            <w:noWrap w:val="0"/>
            <w:vAlign w:val="center"/>
          </w:tcPr>
          <w:p w14:paraId="155EA316">
            <w:pPr>
              <w:keepNext w:val="0"/>
              <w:keepLines w:val="0"/>
              <w:pageBreakBefore w:val="0"/>
              <w:widowControl w:val="0"/>
              <w:spacing w:line="400" w:lineRule="exact"/>
              <w:jc w:val="center"/>
              <w:rPr>
                <w:rFonts w:hint="eastAsia" w:ascii="宋体" w:hAnsi="宋体" w:cs="宋体"/>
                <w:sz w:val="24"/>
                <w:highlight w:val="none"/>
              </w:rPr>
            </w:pPr>
          </w:p>
        </w:tc>
        <w:tc>
          <w:tcPr>
            <w:tcW w:w="1207" w:type="dxa"/>
            <w:noWrap w:val="0"/>
            <w:vAlign w:val="center"/>
          </w:tcPr>
          <w:p w14:paraId="48E41607">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2B9384FA">
            <w:pPr>
              <w:keepNext w:val="0"/>
              <w:keepLines w:val="0"/>
              <w:spacing w:line="400" w:lineRule="exact"/>
              <w:ind w:right="0"/>
              <w:jc w:val="center"/>
              <w:rPr>
                <w:rFonts w:ascii="宋体" w:hAnsi="宋体" w:eastAsia="宋体" w:cs="宋体"/>
                <w:sz w:val="24"/>
                <w:highlight w:val="none"/>
                <w:lang w:val="en-US" w:eastAsia="zh-CN"/>
              </w:rPr>
            </w:pPr>
          </w:p>
        </w:tc>
      </w:tr>
      <w:tr w14:paraId="0CB05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noWrap w:val="0"/>
            <w:vAlign w:val="center"/>
          </w:tcPr>
          <w:p w14:paraId="53CBDC26">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6</w:t>
            </w:r>
          </w:p>
        </w:tc>
        <w:tc>
          <w:tcPr>
            <w:tcW w:w="1741" w:type="dxa"/>
            <w:noWrap w:val="0"/>
            <w:vAlign w:val="center"/>
          </w:tcPr>
          <w:p w14:paraId="0823116C">
            <w:pPr>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highlight w:val="none"/>
                <w:u w:val="none"/>
                <w:lang w:val="en-US" w:eastAsia="zh-CN" w:bidi="ar"/>
              </w:rPr>
              <w:t>平台数据赋能与技术服务</w:t>
            </w:r>
          </w:p>
        </w:tc>
        <w:tc>
          <w:tcPr>
            <w:tcW w:w="1729" w:type="dxa"/>
            <w:noWrap w:val="0"/>
            <w:vAlign w:val="center"/>
          </w:tcPr>
          <w:p w14:paraId="366F62A9">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51868B63">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1</w:t>
            </w:r>
          </w:p>
        </w:tc>
        <w:tc>
          <w:tcPr>
            <w:tcW w:w="825" w:type="dxa"/>
            <w:noWrap w:val="0"/>
            <w:vAlign w:val="center"/>
          </w:tcPr>
          <w:p w14:paraId="72CCA347">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套</w:t>
            </w:r>
          </w:p>
        </w:tc>
        <w:tc>
          <w:tcPr>
            <w:tcW w:w="1175" w:type="dxa"/>
            <w:noWrap w:val="0"/>
            <w:vAlign w:val="center"/>
          </w:tcPr>
          <w:p w14:paraId="7DBB585E">
            <w:pPr>
              <w:keepNext w:val="0"/>
              <w:keepLines w:val="0"/>
              <w:pageBreakBefore w:val="0"/>
              <w:widowControl w:val="0"/>
              <w:spacing w:line="400" w:lineRule="exact"/>
              <w:jc w:val="center"/>
              <w:rPr>
                <w:rFonts w:hint="eastAsia" w:ascii="宋体" w:hAnsi="宋体" w:cs="宋体"/>
                <w:sz w:val="24"/>
                <w:highlight w:val="none"/>
              </w:rPr>
            </w:pPr>
          </w:p>
        </w:tc>
        <w:tc>
          <w:tcPr>
            <w:tcW w:w="1207" w:type="dxa"/>
            <w:noWrap w:val="0"/>
            <w:vAlign w:val="center"/>
          </w:tcPr>
          <w:p w14:paraId="0CD030A4">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550C825C">
            <w:pPr>
              <w:keepNext w:val="0"/>
              <w:keepLines w:val="0"/>
              <w:spacing w:line="400" w:lineRule="exact"/>
              <w:ind w:right="0"/>
              <w:jc w:val="center"/>
              <w:rPr>
                <w:rFonts w:ascii="宋体" w:hAnsi="宋体" w:eastAsia="宋体" w:cs="宋体"/>
                <w:sz w:val="24"/>
                <w:highlight w:val="none"/>
                <w:lang w:val="en-US" w:eastAsia="zh-CN"/>
              </w:rPr>
            </w:pPr>
          </w:p>
        </w:tc>
      </w:tr>
      <w:tr w14:paraId="54A81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9871" w:type="dxa"/>
            <w:gridSpan w:val="8"/>
            <w:noWrap w:val="0"/>
            <w:vAlign w:val="center"/>
          </w:tcPr>
          <w:p w14:paraId="47F0693A">
            <w:pPr>
              <w:keepNext w:val="0"/>
              <w:keepLines w:val="0"/>
              <w:spacing w:line="400" w:lineRule="exact"/>
              <w:ind w:right="0"/>
              <w:jc w:val="left"/>
              <w:rPr>
                <w:rFonts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软件部分合计：</w:t>
            </w:r>
            <w:r>
              <w:rPr>
                <w:rFonts w:hint="eastAsia" w:ascii="宋体" w:hAnsi="宋体" w:eastAsia="宋体" w:cs="宋体"/>
                <w:sz w:val="24"/>
                <w:highlight w:val="none"/>
                <w:lang w:val="en-US" w:eastAsia="zh-CN"/>
              </w:rPr>
              <w:t>（大写）：                     小写：</w:t>
            </w:r>
          </w:p>
        </w:tc>
      </w:tr>
      <w:tr w14:paraId="7C08E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9871" w:type="dxa"/>
            <w:gridSpan w:val="8"/>
            <w:noWrap w:val="0"/>
            <w:vAlign w:val="center"/>
          </w:tcPr>
          <w:p w14:paraId="50D9F54D">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硬件部分</w:t>
            </w:r>
          </w:p>
        </w:tc>
      </w:tr>
      <w:tr w14:paraId="28AD2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noWrap w:val="0"/>
            <w:vAlign w:val="center"/>
          </w:tcPr>
          <w:p w14:paraId="63D490B2">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7</w:t>
            </w:r>
          </w:p>
        </w:tc>
        <w:tc>
          <w:tcPr>
            <w:tcW w:w="1741" w:type="dxa"/>
            <w:noWrap w:val="0"/>
            <w:vAlign w:val="center"/>
          </w:tcPr>
          <w:p w14:paraId="136FFF8F">
            <w:pPr>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苗情监测设备</w:t>
            </w:r>
          </w:p>
        </w:tc>
        <w:tc>
          <w:tcPr>
            <w:tcW w:w="1729" w:type="dxa"/>
            <w:noWrap w:val="0"/>
            <w:vAlign w:val="center"/>
          </w:tcPr>
          <w:p w14:paraId="72D7B06E">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3F5F3D56">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20</w:t>
            </w:r>
          </w:p>
        </w:tc>
        <w:tc>
          <w:tcPr>
            <w:tcW w:w="825" w:type="dxa"/>
            <w:noWrap w:val="0"/>
            <w:vAlign w:val="center"/>
          </w:tcPr>
          <w:p w14:paraId="01C3815A">
            <w:pPr>
              <w:keepNext w:val="0"/>
              <w:keepLines w:val="0"/>
              <w:spacing w:line="400" w:lineRule="exact"/>
              <w:ind w:right="0"/>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套</w:t>
            </w:r>
          </w:p>
        </w:tc>
        <w:tc>
          <w:tcPr>
            <w:tcW w:w="1175" w:type="dxa"/>
            <w:noWrap w:val="0"/>
            <w:vAlign w:val="center"/>
          </w:tcPr>
          <w:p w14:paraId="47AD0649">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4331A6D1">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331F9679">
            <w:pPr>
              <w:keepNext w:val="0"/>
              <w:keepLines w:val="0"/>
              <w:spacing w:line="400" w:lineRule="exact"/>
              <w:ind w:right="0"/>
              <w:jc w:val="center"/>
              <w:rPr>
                <w:rFonts w:ascii="宋体" w:hAnsi="宋体" w:eastAsia="宋体" w:cs="宋体"/>
                <w:sz w:val="24"/>
                <w:highlight w:val="none"/>
                <w:lang w:val="en-US" w:eastAsia="zh-CN"/>
              </w:rPr>
            </w:pPr>
          </w:p>
        </w:tc>
      </w:tr>
      <w:tr w14:paraId="36E21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noWrap w:val="0"/>
            <w:vAlign w:val="center"/>
          </w:tcPr>
          <w:p w14:paraId="4AD4CF24">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8</w:t>
            </w:r>
          </w:p>
        </w:tc>
        <w:tc>
          <w:tcPr>
            <w:tcW w:w="1741" w:type="dxa"/>
            <w:noWrap w:val="0"/>
            <w:vAlign w:val="center"/>
          </w:tcPr>
          <w:p w14:paraId="14036583">
            <w:pPr>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病情监测设备</w:t>
            </w:r>
          </w:p>
        </w:tc>
        <w:tc>
          <w:tcPr>
            <w:tcW w:w="1729" w:type="dxa"/>
            <w:noWrap w:val="0"/>
            <w:vAlign w:val="center"/>
          </w:tcPr>
          <w:p w14:paraId="21F5FF06">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48D3A14B">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825" w:type="dxa"/>
            <w:noWrap w:val="0"/>
            <w:vAlign w:val="center"/>
          </w:tcPr>
          <w:p w14:paraId="19738336">
            <w:pPr>
              <w:keepNext w:val="0"/>
              <w:keepLines w:val="0"/>
              <w:spacing w:line="400" w:lineRule="exact"/>
              <w:ind w:right="0"/>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套</w:t>
            </w:r>
          </w:p>
        </w:tc>
        <w:tc>
          <w:tcPr>
            <w:tcW w:w="1175" w:type="dxa"/>
            <w:noWrap w:val="0"/>
            <w:vAlign w:val="center"/>
          </w:tcPr>
          <w:p w14:paraId="0D3087F5">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19A3A3DF">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0233A417">
            <w:pPr>
              <w:keepNext w:val="0"/>
              <w:keepLines w:val="0"/>
              <w:spacing w:line="400" w:lineRule="exact"/>
              <w:ind w:right="0"/>
              <w:jc w:val="center"/>
              <w:rPr>
                <w:rFonts w:ascii="宋体" w:hAnsi="宋体" w:eastAsia="宋体" w:cs="宋体"/>
                <w:sz w:val="24"/>
                <w:highlight w:val="none"/>
                <w:lang w:val="en-US" w:eastAsia="zh-CN"/>
              </w:rPr>
            </w:pPr>
          </w:p>
        </w:tc>
      </w:tr>
      <w:tr w14:paraId="7717B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noWrap w:val="0"/>
            <w:vAlign w:val="center"/>
          </w:tcPr>
          <w:p w14:paraId="6B66E055">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9</w:t>
            </w:r>
          </w:p>
        </w:tc>
        <w:tc>
          <w:tcPr>
            <w:tcW w:w="1741" w:type="dxa"/>
            <w:noWrap w:val="0"/>
            <w:vAlign w:val="center"/>
          </w:tcPr>
          <w:p w14:paraId="1DB79E1A">
            <w:pPr>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虫情监测设备</w:t>
            </w:r>
          </w:p>
        </w:tc>
        <w:tc>
          <w:tcPr>
            <w:tcW w:w="1729" w:type="dxa"/>
            <w:noWrap w:val="0"/>
            <w:vAlign w:val="center"/>
          </w:tcPr>
          <w:p w14:paraId="74DD8CC0">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7FD7612F">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825" w:type="dxa"/>
            <w:noWrap w:val="0"/>
            <w:vAlign w:val="center"/>
          </w:tcPr>
          <w:p w14:paraId="41BEB020">
            <w:pPr>
              <w:keepNext w:val="0"/>
              <w:keepLines w:val="0"/>
              <w:spacing w:line="400" w:lineRule="exact"/>
              <w:ind w:right="0"/>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套</w:t>
            </w:r>
          </w:p>
        </w:tc>
        <w:tc>
          <w:tcPr>
            <w:tcW w:w="1175" w:type="dxa"/>
            <w:noWrap w:val="0"/>
            <w:vAlign w:val="center"/>
          </w:tcPr>
          <w:p w14:paraId="66F3B45B">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5DAD8FF1">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731395FA">
            <w:pPr>
              <w:keepNext w:val="0"/>
              <w:keepLines w:val="0"/>
              <w:spacing w:line="400" w:lineRule="exact"/>
              <w:ind w:right="0"/>
              <w:jc w:val="center"/>
              <w:rPr>
                <w:rFonts w:ascii="宋体" w:hAnsi="宋体" w:eastAsia="宋体" w:cs="宋体"/>
                <w:sz w:val="24"/>
                <w:highlight w:val="none"/>
                <w:lang w:val="en-US" w:eastAsia="zh-CN"/>
              </w:rPr>
            </w:pPr>
          </w:p>
        </w:tc>
      </w:tr>
      <w:tr w14:paraId="32FFA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noWrap w:val="0"/>
            <w:vAlign w:val="center"/>
          </w:tcPr>
          <w:p w14:paraId="64C7B2F4">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10</w:t>
            </w:r>
          </w:p>
        </w:tc>
        <w:tc>
          <w:tcPr>
            <w:tcW w:w="1741" w:type="dxa"/>
            <w:noWrap w:val="0"/>
            <w:vAlign w:val="center"/>
          </w:tcPr>
          <w:p w14:paraId="6F897DCA">
            <w:pPr>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种情移动监测装备</w:t>
            </w:r>
          </w:p>
        </w:tc>
        <w:tc>
          <w:tcPr>
            <w:tcW w:w="1729" w:type="dxa"/>
            <w:noWrap w:val="0"/>
            <w:vAlign w:val="center"/>
          </w:tcPr>
          <w:p w14:paraId="4E91CA4E">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07FFB4D4">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825" w:type="dxa"/>
            <w:noWrap w:val="0"/>
            <w:vAlign w:val="center"/>
          </w:tcPr>
          <w:p w14:paraId="62596C14">
            <w:pPr>
              <w:keepNext w:val="0"/>
              <w:keepLines w:val="0"/>
              <w:spacing w:line="400" w:lineRule="exact"/>
              <w:ind w:right="0"/>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套</w:t>
            </w:r>
          </w:p>
        </w:tc>
        <w:tc>
          <w:tcPr>
            <w:tcW w:w="1175" w:type="dxa"/>
            <w:noWrap w:val="0"/>
            <w:vAlign w:val="center"/>
          </w:tcPr>
          <w:p w14:paraId="7C90EC05">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6E76D486">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0AB19463">
            <w:pPr>
              <w:keepNext w:val="0"/>
              <w:keepLines w:val="0"/>
              <w:spacing w:line="400" w:lineRule="exact"/>
              <w:ind w:right="0"/>
              <w:jc w:val="center"/>
              <w:rPr>
                <w:rFonts w:ascii="宋体" w:hAnsi="宋体" w:eastAsia="宋体" w:cs="宋体"/>
                <w:sz w:val="24"/>
                <w:highlight w:val="none"/>
                <w:lang w:val="en-US" w:eastAsia="zh-CN"/>
              </w:rPr>
            </w:pPr>
          </w:p>
        </w:tc>
      </w:tr>
      <w:tr w14:paraId="7C664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noWrap w:val="0"/>
            <w:vAlign w:val="center"/>
          </w:tcPr>
          <w:p w14:paraId="47803571">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11</w:t>
            </w:r>
          </w:p>
        </w:tc>
        <w:tc>
          <w:tcPr>
            <w:tcW w:w="1741" w:type="dxa"/>
            <w:noWrap w:val="0"/>
            <w:vAlign w:val="center"/>
          </w:tcPr>
          <w:p w14:paraId="772A0C26">
            <w:pPr>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土壤墒情监测设备</w:t>
            </w:r>
          </w:p>
        </w:tc>
        <w:tc>
          <w:tcPr>
            <w:tcW w:w="1729" w:type="dxa"/>
            <w:noWrap w:val="0"/>
            <w:vAlign w:val="center"/>
          </w:tcPr>
          <w:p w14:paraId="4ABC8AB6">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290752BE">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c>
          <w:tcPr>
            <w:tcW w:w="825" w:type="dxa"/>
            <w:noWrap w:val="0"/>
            <w:vAlign w:val="center"/>
          </w:tcPr>
          <w:p w14:paraId="0A24A7C4">
            <w:pPr>
              <w:keepNext w:val="0"/>
              <w:keepLines w:val="0"/>
              <w:spacing w:line="400" w:lineRule="exact"/>
              <w:ind w:right="0"/>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套</w:t>
            </w:r>
          </w:p>
        </w:tc>
        <w:tc>
          <w:tcPr>
            <w:tcW w:w="1175" w:type="dxa"/>
            <w:noWrap w:val="0"/>
            <w:vAlign w:val="center"/>
          </w:tcPr>
          <w:p w14:paraId="1F9390BC">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47808DB2">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67E9E48B">
            <w:pPr>
              <w:keepNext w:val="0"/>
              <w:keepLines w:val="0"/>
              <w:spacing w:line="400" w:lineRule="exact"/>
              <w:ind w:right="0"/>
              <w:jc w:val="center"/>
              <w:rPr>
                <w:rFonts w:ascii="宋体" w:hAnsi="宋体" w:eastAsia="宋体" w:cs="宋体"/>
                <w:sz w:val="24"/>
                <w:highlight w:val="none"/>
                <w:lang w:val="en-US" w:eastAsia="zh-CN"/>
              </w:rPr>
            </w:pPr>
          </w:p>
        </w:tc>
      </w:tr>
      <w:tr w14:paraId="3244B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noWrap w:val="0"/>
            <w:vAlign w:val="center"/>
          </w:tcPr>
          <w:p w14:paraId="635D0B52">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12</w:t>
            </w:r>
          </w:p>
        </w:tc>
        <w:tc>
          <w:tcPr>
            <w:tcW w:w="1741" w:type="dxa"/>
            <w:noWrap w:val="0"/>
            <w:vAlign w:val="center"/>
          </w:tcPr>
          <w:p w14:paraId="5A3E115E">
            <w:pPr>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农田气象监测设备</w:t>
            </w:r>
          </w:p>
        </w:tc>
        <w:tc>
          <w:tcPr>
            <w:tcW w:w="1729" w:type="dxa"/>
            <w:noWrap w:val="0"/>
            <w:vAlign w:val="center"/>
          </w:tcPr>
          <w:p w14:paraId="21BE3444">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64DEA34B">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p>
        </w:tc>
        <w:tc>
          <w:tcPr>
            <w:tcW w:w="825" w:type="dxa"/>
            <w:noWrap w:val="0"/>
            <w:vAlign w:val="center"/>
          </w:tcPr>
          <w:p w14:paraId="7C5747FF">
            <w:pPr>
              <w:keepNext w:val="0"/>
              <w:keepLines w:val="0"/>
              <w:spacing w:line="400" w:lineRule="exact"/>
              <w:ind w:right="0"/>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套</w:t>
            </w:r>
          </w:p>
        </w:tc>
        <w:tc>
          <w:tcPr>
            <w:tcW w:w="1175" w:type="dxa"/>
            <w:noWrap w:val="0"/>
            <w:vAlign w:val="center"/>
          </w:tcPr>
          <w:p w14:paraId="6A87CFE1">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3044D0B0">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705B24E3">
            <w:pPr>
              <w:keepNext w:val="0"/>
              <w:keepLines w:val="0"/>
              <w:spacing w:line="400" w:lineRule="exact"/>
              <w:ind w:right="0"/>
              <w:jc w:val="center"/>
              <w:rPr>
                <w:rFonts w:ascii="宋体" w:hAnsi="宋体" w:eastAsia="宋体" w:cs="宋体"/>
                <w:sz w:val="24"/>
                <w:highlight w:val="none"/>
                <w:lang w:val="en-US" w:eastAsia="zh-CN"/>
              </w:rPr>
            </w:pPr>
          </w:p>
        </w:tc>
      </w:tr>
      <w:tr w14:paraId="0449B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vMerge w:val="restart"/>
            <w:noWrap w:val="0"/>
            <w:vAlign w:val="center"/>
          </w:tcPr>
          <w:p w14:paraId="245877FE">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13</w:t>
            </w:r>
          </w:p>
        </w:tc>
        <w:tc>
          <w:tcPr>
            <w:tcW w:w="1741" w:type="dxa"/>
            <w:vMerge w:val="restart"/>
            <w:noWrap w:val="0"/>
            <w:vAlign w:val="center"/>
          </w:tcPr>
          <w:p w14:paraId="40E328A6">
            <w:pPr>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u w:val="none"/>
                <w:lang w:val="en-US" w:eastAsia="zh-CN" w:bidi="ar"/>
              </w:rPr>
              <w:t>田间巡航设备</w:t>
            </w:r>
          </w:p>
        </w:tc>
        <w:tc>
          <w:tcPr>
            <w:tcW w:w="1729" w:type="dxa"/>
            <w:vMerge w:val="restart"/>
            <w:noWrap w:val="0"/>
            <w:vAlign w:val="center"/>
          </w:tcPr>
          <w:p w14:paraId="0EE56113">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565C335F">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825" w:type="dxa"/>
            <w:noWrap w:val="0"/>
            <w:vAlign w:val="center"/>
          </w:tcPr>
          <w:p w14:paraId="0D302A3D">
            <w:pPr>
              <w:keepNext w:val="0"/>
              <w:keepLines w:val="0"/>
              <w:spacing w:line="400" w:lineRule="exact"/>
              <w:ind w:right="0"/>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套</w:t>
            </w:r>
          </w:p>
        </w:tc>
        <w:tc>
          <w:tcPr>
            <w:tcW w:w="1175" w:type="dxa"/>
            <w:noWrap w:val="0"/>
            <w:vAlign w:val="center"/>
          </w:tcPr>
          <w:p w14:paraId="2B4426D7">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69E66AD8">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0DAC4EE8">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机场设备</w:t>
            </w:r>
          </w:p>
        </w:tc>
      </w:tr>
      <w:tr w14:paraId="75E18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vMerge w:val="continue"/>
            <w:noWrap w:val="0"/>
            <w:vAlign w:val="center"/>
          </w:tcPr>
          <w:p w14:paraId="17DA2D19">
            <w:pPr>
              <w:keepNext w:val="0"/>
              <w:keepLines w:val="0"/>
              <w:spacing w:line="400" w:lineRule="exact"/>
              <w:ind w:right="0"/>
              <w:jc w:val="center"/>
              <w:rPr>
                <w:rFonts w:hint="eastAsia" w:ascii="宋体" w:hAnsi="宋体" w:eastAsia="宋体" w:cs="宋体"/>
                <w:sz w:val="24"/>
                <w:highlight w:val="none"/>
                <w:lang w:val="en-US" w:eastAsia="zh-CN"/>
              </w:rPr>
            </w:pPr>
          </w:p>
        </w:tc>
        <w:tc>
          <w:tcPr>
            <w:tcW w:w="1741" w:type="dxa"/>
            <w:vMerge w:val="continue"/>
            <w:noWrap w:val="0"/>
            <w:vAlign w:val="center"/>
          </w:tcPr>
          <w:p w14:paraId="02367C89">
            <w:pPr>
              <w:jc w:val="center"/>
              <w:rPr>
                <w:rFonts w:hint="eastAsia" w:ascii="宋体" w:hAnsi="宋体" w:eastAsia="宋体" w:cs="宋体"/>
                <w:i w:val="0"/>
                <w:iCs w:val="0"/>
                <w:color w:val="000000"/>
                <w:sz w:val="24"/>
                <w:szCs w:val="24"/>
                <w:u w:val="none"/>
                <w:lang w:val="en-US" w:eastAsia="zh-CN" w:bidi="ar"/>
              </w:rPr>
            </w:pPr>
          </w:p>
        </w:tc>
        <w:tc>
          <w:tcPr>
            <w:tcW w:w="1729" w:type="dxa"/>
            <w:vMerge w:val="continue"/>
            <w:noWrap w:val="0"/>
            <w:vAlign w:val="center"/>
          </w:tcPr>
          <w:p w14:paraId="1DBB517B">
            <w:pPr>
              <w:keepNext w:val="0"/>
              <w:keepLines w:val="0"/>
              <w:spacing w:line="400" w:lineRule="exact"/>
              <w:ind w:right="0"/>
              <w:jc w:val="center"/>
              <w:rPr>
                <w:rFonts w:hint="eastAsia" w:ascii="宋体" w:hAnsi="宋体" w:cs="宋体"/>
                <w:sz w:val="24"/>
                <w:highlight w:val="none"/>
              </w:rPr>
            </w:pPr>
          </w:p>
        </w:tc>
        <w:tc>
          <w:tcPr>
            <w:tcW w:w="1012" w:type="dxa"/>
            <w:noWrap w:val="0"/>
            <w:vAlign w:val="center"/>
          </w:tcPr>
          <w:p w14:paraId="0D15480B">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825" w:type="dxa"/>
            <w:noWrap w:val="0"/>
            <w:vAlign w:val="center"/>
          </w:tcPr>
          <w:p w14:paraId="43F3DBB3">
            <w:pPr>
              <w:keepNext w:val="0"/>
              <w:keepLines w:val="0"/>
              <w:spacing w:line="400" w:lineRule="exact"/>
              <w:ind w:right="0"/>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套</w:t>
            </w:r>
          </w:p>
        </w:tc>
        <w:tc>
          <w:tcPr>
            <w:tcW w:w="1175" w:type="dxa"/>
            <w:noWrap w:val="0"/>
            <w:vAlign w:val="center"/>
          </w:tcPr>
          <w:p w14:paraId="55E2FB43">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504132E7">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7A2810DB">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配套无人机</w:t>
            </w:r>
          </w:p>
        </w:tc>
      </w:tr>
      <w:tr w14:paraId="34016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vMerge w:val="continue"/>
            <w:noWrap w:val="0"/>
            <w:vAlign w:val="center"/>
          </w:tcPr>
          <w:p w14:paraId="314E1F93">
            <w:pPr>
              <w:keepNext w:val="0"/>
              <w:keepLines w:val="0"/>
              <w:spacing w:line="400" w:lineRule="exact"/>
              <w:ind w:right="0"/>
              <w:jc w:val="center"/>
              <w:rPr>
                <w:rFonts w:hint="eastAsia" w:ascii="宋体" w:hAnsi="宋体" w:eastAsia="宋体" w:cs="宋体"/>
                <w:sz w:val="24"/>
                <w:highlight w:val="none"/>
                <w:lang w:val="en-US" w:eastAsia="zh-CN"/>
              </w:rPr>
            </w:pPr>
          </w:p>
        </w:tc>
        <w:tc>
          <w:tcPr>
            <w:tcW w:w="1741" w:type="dxa"/>
            <w:vMerge w:val="continue"/>
            <w:noWrap w:val="0"/>
            <w:vAlign w:val="center"/>
          </w:tcPr>
          <w:p w14:paraId="1E53AC9C">
            <w:pPr>
              <w:jc w:val="center"/>
              <w:rPr>
                <w:rFonts w:hint="eastAsia" w:ascii="宋体" w:hAnsi="宋体" w:eastAsia="宋体" w:cs="宋体"/>
                <w:i w:val="0"/>
                <w:iCs w:val="0"/>
                <w:color w:val="000000"/>
                <w:sz w:val="24"/>
                <w:szCs w:val="24"/>
                <w:u w:val="none"/>
                <w:lang w:val="en-US" w:eastAsia="zh-CN" w:bidi="ar"/>
              </w:rPr>
            </w:pPr>
          </w:p>
        </w:tc>
        <w:tc>
          <w:tcPr>
            <w:tcW w:w="1729" w:type="dxa"/>
            <w:vMerge w:val="continue"/>
            <w:noWrap w:val="0"/>
            <w:vAlign w:val="center"/>
          </w:tcPr>
          <w:p w14:paraId="7F96E5DE">
            <w:pPr>
              <w:keepNext w:val="0"/>
              <w:keepLines w:val="0"/>
              <w:spacing w:line="400" w:lineRule="exact"/>
              <w:ind w:right="0"/>
              <w:jc w:val="center"/>
              <w:rPr>
                <w:rFonts w:hint="eastAsia" w:ascii="宋体" w:hAnsi="宋体" w:cs="宋体"/>
                <w:sz w:val="24"/>
                <w:highlight w:val="none"/>
              </w:rPr>
            </w:pPr>
          </w:p>
        </w:tc>
        <w:tc>
          <w:tcPr>
            <w:tcW w:w="1012" w:type="dxa"/>
            <w:noWrap w:val="0"/>
            <w:vAlign w:val="center"/>
          </w:tcPr>
          <w:p w14:paraId="3B513D24">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825" w:type="dxa"/>
            <w:noWrap w:val="0"/>
            <w:vAlign w:val="center"/>
          </w:tcPr>
          <w:p w14:paraId="6EA9CDFB">
            <w:pPr>
              <w:keepNext w:val="0"/>
              <w:keepLines w:val="0"/>
              <w:spacing w:line="400" w:lineRule="exact"/>
              <w:ind w:right="0"/>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套</w:t>
            </w:r>
          </w:p>
        </w:tc>
        <w:tc>
          <w:tcPr>
            <w:tcW w:w="1175" w:type="dxa"/>
            <w:noWrap w:val="0"/>
            <w:vAlign w:val="center"/>
          </w:tcPr>
          <w:p w14:paraId="6795138B">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2FE4D9F2">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76C49116">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遥控器</w:t>
            </w:r>
          </w:p>
        </w:tc>
      </w:tr>
      <w:tr w14:paraId="1D804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vMerge w:val="restart"/>
            <w:noWrap w:val="0"/>
            <w:vAlign w:val="center"/>
          </w:tcPr>
          <w:p w14:paraId="325BEF3E">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14</w:t>
            </w:r>
          </w:p>
        </w:tc>
        <w:tc>
          <w:tcPr>
            <w:tcW w:w="1741" w:type="dxa"/>
            <w:vMerge w:val="restart"/>
            <w:noWrap w:val="0"/>
            <w:vAlign w:val="center"/>
          </w:tcPr>
          <w:p w14:paraId="5CCB4883">
            <w:pPr>
              <w:jc w:val="center"/>
              <w:rPr>
                <w:rFonts w:hint="eastAsia" w:ascii="宋体" w:hAnsi="宋体" w:cs="宋体"/>
                <w:sz w:val="24"/>
                <w:highlight w:val="none"/>
                <w:lang w:val="zh-CN"/>
              </w:rPr>
            </w:pPr>
            <w:r>
              <w:rPr>
                <w:rFonts w:hint="eastAsia" w:ascii="宋体" w:hAnsi="宋体" w:eastAsia="宋体" w:cs="宋体"/>
                <w:i w:val="0"/>
                <w:iCs w:val="0"/>
                <w:color w:val="000000"/>
                <w:sz w:val="24"/>
                <w:szCs w:val="24"/>
                <w:highlight w:val="none"/>
                <w:u w:val="none"/>
                <w:lang w:val="en-US" w:eastAsia="zh-CN" w:bidi="ar"/>
              </w:rPr>
              <w:t>农田网络通讯提升（含五年维护）</w:t>
            </w:r>
          </w:p>
        </w:tc>
        <w:tc>
          <w:tcPr>
            <w:tcW w:w="1729" w:type="dxa"/>
            <w:vMerge w:val="restart"/>
            <w:noWrap w:val="0"/>
            <w:vAlign w:val="center"/>
          </w:tcPr>
          <w:p w14:paraId="249065E5">
            <w:pPr>
              <w:keepNext w:val="0"/>
              <w:keepLines w:val="0"/>
              <w:spacing w:line="400" w:lineRule="exact"/>
              <w:ind w:right="0"/>
              <w:jc w:val="center"/>
              <w:rPr>
                <w:rFonts w:hint="eastAsia" w:ascii="宋体" w:hAnsi="宋体" w:cs="宋体"/>
                <w:sz w:val="24"/>
                <w:highlight w:val="none"/>
              </w:rPr>
            </w:pPr>
            <w:r>
              <w:rPr>
                <w:rFonts w:hint="eastAsia" w:ascii="宋体" w:hAnsi="宋体" w:cs="宋体"/>
                <w:sz w:val="24"/>
                <w:highlight w:val="none"/>
              </w:rPr>
              <w:t>是</w:t>
            </w:r>
          </w:p>
        </w:tc>
        <w:tc>
          <w:tcPr>
            <w:tcW w:w="1012" w:type="dxa"/>
            <w:noWrap w:val="0"/>
            <w:vAlign w:val="center"/>
          </w:tcPr>
          <w:p w14:paraId="6179F129">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2</w:t>
            </w:r>
          </w:p>
        </w:tc>
        <w:tc>
          <w:tcPr>
            <w:tcW w:w="825" w:type="dxa"/>
            <w:noWrap w:val="0"/>
            <w:vAlign w:val="center"/>
          </w:tcPr>
          <w:p w14:paraId="1A846818">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套</w:t>
            </w:r>
          </w:p>
        </w:tc>
        <w:tc>
          <w:tcPr>
            <w:tcW w:w="1175" w:type="dxa"/>
            <w:noWrap w:val="0"/>
            <w:vAlign w:val="center"/>
          </w:tcPr>
          <w:p w14:paraId="213382CB">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0276C05B">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3CDD12D5">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太阳能监控系统</w:t>
            </w:r>
          </w:p>
        </w:tc>
      </w:tr>
      <w:tr w14:paraId="6ECA5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vMerge w:val="continue"/>
            <w:noWrap w:val="0"/>
            <w:vAlign w:val="center"/>
          </w:tcPr>
          <w:p w14:paraId="3C762FE7">
            <w:pPr>
              <w:keepNext w:val="0"/>
              <w:keepLines w:val="0"/>
              <w:spacing w:line="400" w:lineRule="exact"/>
              <w:ind w:right="0"/>
              <w:jc w:val="center"/>
              <w:rPr>
                <w:rFonts w:hint="eastAsia" w:ascii="宋体" w:hAnsi="宋体" w:eastAsia="宋体" w:cs="宋体"/>
                <w:sz w:val="24"/>
                <w:highlight w:val="none"/>
                <w:lang w:val="en-US" w:eastAsia="zh-CN"/>
              </w:rPr>
            </w:pPr>
          </w:p>
        </w:tc>
        <w:tc>
          <w:tcPr>
            <w:tcW w:w="1741" w:type="dxa"/>
            <w:vMerge w:val="continue"/>
            <w:noWrap w:val="0"/>
            <w:vAlign w:val="center"/>
          </w:tcPr>
          <w:p w14:paraId="0B3658B0">
            <w:pPr>
              <w:jc w:val="center"/>
              <w:rPr>
                <w:rFonts w:hint="eastAsia" w:ascii="宋体" w:hAnsi="宋体" w:eastAsia="宋体" w:cs="宋体"/>
                <w:i w:val="0"/>
                <w:iCs w:val="0"/>
                <w:color w:val="000000"/>
                <w:sz w:val="24"/>
                <w:szCs w:val="24"/>
                <w:highlight w:val="none"/>
                <w:u w:val="none"/>
                <w:lang w:val="en-US" w:eastAsia="zh-CN" w:bidi="ar"/>
              </w:rPr>
            </w:pPr>
          </w:p>
        </w:tc>
        <w:tc>
          <w:tcPr>
            <w:tcW w:w="1729" w:type="dxa"/>
            <w:vMerge w:val="continue"/>
            <w:noWrap w:val="0"/>
            <w:vAlign w:val="center"/>
          </w:tcPr>
          <w:p w14:paraId="6B9839A6">
            <w:pPr>
              <w:keepNext w:val="0"/>
              <w:keepLines w:val="0"/>
              <w:spacing w:line="400" w:lineRule="exact"/>
              <w:ind w:right="0"/>
              <w:jc w:val="center"/>
              <w:rPr>
                <w:rFonts w:hint="eastAsia" w:ascii="宋体" w:hAnsi="宋体" w:cs="宋体"/>
                <w:sz w:val="24"/>
                <w:highlight w:val="none"/>
              </w:rPr>
            </w:pPr>
          </w:p>
        </w:tc>
        <w:tc>
          <w:tcPr>
            <w:tcW w:w="1012" w:type="dxa"/>
            <w:noWrap w:val="0"/>
            <w:vAlign w:val="center"/>
          </w:tcPr>
          <w:p w14:paraId="209787B3">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18</w:t>
            </w:r>
          </w:p>
        </w:tc>
        <w:tc>
          <w:tcPr>
            <w:tcW w:w="825" w:type="dxa"/>
            <w:noWrap w:val="0"/>
            <w:vAlign w:val="center"/>
          </w:tcPr>
          <w:p w14:paraId="2661C8BD">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条</w:t>
            </w:r>
          </w:p>
        </w:tc>
        <w:tc>
          <w:tcPr>
            <w:tcW w:w="1175" w:type="dxa"/>
            <w:noWrap w:val="0"/>
            <w:vAlign w:val="center"/>
          </w:tcPr>
          <w:p w14:paraId="64F3FE30">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06506752">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3FB5F9DB">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专线1</w:t>
            </w:r>
          </w:p>
        </w:tc>
      </w:tr>
      <w:tr w14:paraId="0D75F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vMerge w:val="continue"/>
            <w:noWrap w:val="0"/>
            <w:vAlign w:val="center"/>
          </w:tcPr>
          <w:p w14:paraId="01B7E2BB">
            <w:pPr>
              <w:keepNext w:val="0"/>
              <w:keepLines w:val="0"/>
              <w:spacing w:line="400" w:lineRule="exact"/>
              <w:ind w:right="0"/>
              <w:jc w:val="center"/>
              <w:rPr>
                <w:rFonts w:hint="eastAsia" w:ascii="宋体" w:hAnsi="宋体" w:eastAsia="宋体" w:cs="宋体"/>
                <w:sz w:val="24"/>
                <w:highlight w:val="none"/>
                <w:lang w:val="en-US" w:eastAsia="zh-CN"/>
              </w:rPr>
            </w:pPr>
          </w:p>
        </w:tc>
        <w:tc>
          <w:tcPr>
            <w:tcW w:w="1741" w:type="dxa"/>
            <w:vMerge w:val="continue"/>
            <w:noWrap w:val="0"/>
            <w:vAlign w:val="center"/>
          </w:tcPr>
          <w:p w14:paraId="5ED068A8">
            <w:pPr>
              <w:jc w:val="center"/>
              <w:rPr>
                <w:rFonts w:hint="eastAsia" w:ascii="宋体" w:hAnsi="宋体" w:eastAsia="宋体" w:cs="宋体"/>
                <w:i w:val="0"/>
                <w:iCs w:val="0"/>
                <w:color w:val="000000"/>
                <w:sz w:val="24"/>
                <w:szCs w:val="24"/>
                <w:highlight w:val="none"/>
                <w:u w:val="none"/>
                <w:lang w:val="en-US" w:eastAsia="zh-CN" w:bidi="ar"/>
              </w:rPr>
            </w:pPr>
          </w:p>
        </w:tc>
        <w:tc>
          <w:tcPr>
            <w:tcW w:w="1729" w:type="dxa"/>
            <w:vMerge w:val="continue"/>
            <w:noWrap w:val="0"/>
            <w:vAlign w:val="center"/>
          </w:tcPr>
          <w:p w14:paraId="38AF322B">
            <w:pPr>
              <w:keepNext w:val="0"/>
              <w:keepLines w:val="0"/>
              <w:spacing w:line="400" w:lineRule="exact"/>
              <w:ind w:right="0"/>
              <w:jc w:val="center"/>
              <w:rPr>
                <w:rFonts w:hint="eastAsia" w:ascii="宋体" w:hAnsi="宋体" w:cs="宋体"/>
                <w:sz w:val="24"/>
                <w:highlight w:val="none"/>
              </w:rPr>
            </w:pPr>
          </w:p>
        </w:tc>
        <w:tc>
          <w:tcPr>
            <w:tcW w:w="1012" w:type="dxa"/>
            <w:noWrap w:val="0"/>
            <w:vAlign w:val="center"/>
          </w:tcPr>
          <w:p w14:paraId="2AFB54D9">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1</w:t>
            </w:r>
          </w:p>
        </w:tc>
        <w:tc>
          <w:tcPr>
            <w:tcW w:w="825" w:type="dxa"/>
            <w:noWrap w:val="0"/>
            <w:vAlign w:val="center"/>
          </w:tcPr>
          <w:p w14:paraId="70BD3B76">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条</w:t>
            </w:r>
          </w:p>
        </w:tc>
        <w:tc>
          <w:tcPr>
            <w:tcW w:w="1175" w:type="dxa"/>
            <w:noWrap w:val="0"/>
            <w:vAlign w:val="center"/>
          </w:tcPr>
          <w:p w14:paraId="080CA0EE">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6A94B001">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20E4F2B0">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专线2</w:t>
            </w:r>
          </w:p>
        </w:tc>
      </w:tr>
      <w:tr w14:paraId="54F9A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724" w:type="dxa"/>
            <w:vMerge w:val="continue"/>
            <w:noWrap w:val="0"/>
            <w:vAlign w:val="center"/>
          </w:tcPr>
          <w:p w14:paraId="5A8E4AAF">
            <w:pPr>
              <w:keepNext w:val="0"/>
              <w:keepLines w:val="0"/>
              <w:spacing w:line="400" w:lineRule="exact"/>
              <w:ind w:right="0"/>
              <w:jc w:val="center"/>
              <w:rPr>
                <w:rFonts w:hint="eastAsia" w:ascii="宋体" w:hAnsi="宋体" w:eastAsia="宋体" w:cs="宋体"/>
                <w:sz w:val="24"/>
                <w:highlight w:val="none"/>
                <w:lang w:val="en-US" w:eastAsia="zh-CN"/>
              </w:rPr>
            </w:pPr>
          </w:p>
        </w:tc>
        <w:tc>
          <w:tcPr>
            <w:tcW w:w="1741" w:type="dxa"/>
            <w:vMerge w:val="continue"/>
            <w:noWrap w:val="0"/>
            <w:vAlign w:val="center"/>
          </w:tcPr>
          <w:p w14:paraId="2249FA3B">
            <w:pPr>
              <w:jc w:val="center"/>
              <w:rPr>
                <w:rFonts w:hint="eastAsia" w:ascii="宋体" w:hAnsi="宋体" w:eastAsia="宋体" w:cs="宋体"/>
                <w:i w:val="0"/>
                <w:iCs w:val="0"/>
                <w:color w:val="000000"/>
                <w:sz w:val="24"/>
                <w:szCs w:val="24"/>
                <w:highlight w:val="none"/>
                <w:u w:val="none"/>
                <w:lang w:val="en-US" w:eastAsia="zh-CN" w:bidi="ar"/>
              </w:rPr>
            </w:pPr>
          </w:p>
        </w:tc>
        <w:tc>
          <w:tcPr>
            <w:tcW w:w="1729" w:type="dxa"/>
            <w:vMerge w:val="continue"/>
            <w:noWrap w:val="0"/>
            <w:vAlign w:val="center"/>
          </w:tcPr>
          <w:p w14:paraId="416071FD">
            <w:pPr>
              <w:keepNext w:val="0"/>
              <w:keepLines w:val="0"/>
              <w:spacing w:line="400" w:lineRule="exact"/>
              <w:ind w:right="0"/>
              <w:jc w:val="center"/>
              <w:rPr>
                <w:rFonts w:hint="eastAsia" w:ascii="宋体" w:hAnsi="宋体" w:cs="宋体"/>
                <w:sz w:val="24"/>
                <w:highlight w:val="none"/>
              </w:rPr>
            </w:pPr>
          </w:p>
        </w:tc>
        <w:tc>
          <w:tcPr>
            <w:tcW w:w="1012" w:type="dxa"/>
            <w:noWrap w:val="0"/>
            <w:vAlign w:val="center"/>
          </w:tcPr>
          <w:p w14:paraId="5B02F40C">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18</w:t>
            </w:r>
          </w:p>
        </w:tc>
        <w:tc>
          <w:tcPr>
            <w:tcW w:w="825" w:type="dxa"/>
            <w:noWrap w:val="0"/>
            <w:vAlign w:val="center"/>
          </w:tcPr>
          <w:p w14:paraId="5C363E21">
            <w:pPr>
              <w:keepNext w:val="0"/>
              <w:keepLines w:val="0"/>
              <w:pageBreakBefore w:val="0"/>
              <w:widowControl w:val="0"/>
              <w:spacing w:line="400" w:lineRule="exact"/>
              <w:jc w:val="center"/>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台</w:t>
            </w:r>
          </w:p>
        </w:tc>
        <w:tc>
          <w:tcPr>
            <w:tcW w:w="1175" w:type="dxa"/>
            <w:noWrap w:val="0"/>
            <w:vAlign w:val="center"/>
          </w:tcPr>
          <w:p w14:paraId="407A9AAF">
            <w:pPr>
              <w:keepNext w:val="0"/>
              <w:keepLines w:val="0"/>
              <w:spacing w:line="400" w:lineRule="exact"/>
              <w:ind w:right="0"/>
              <w:jc w:val="center"/>
              <w:rPr>
                <w:rFonts w:hint="eastAsia" w:ascii="宋体" w:hAnsi="宋体" w:cs="宋体"/>
                <w:sz w:val="24"/>
                <w:highlight w:val="none"/>
              </w:rPr>
            </w:pPr>
          </w:p>
        </w:tc>
        <w:tc>
          <w:tcPr>
            <w:tcW w:w="1207" w:type="dxa"/>
            <w:noWrap w:val="0"/>
            <w:vAlign w:val="center"/>
          </w:tcPr>
          <w:p w14:paraId="35A1B2A7">
            <w:pPr>
              <w:keepNext w:val="0"/>
              <w:keepLines w:val="0"/>
              <w:spacing w:line="400" w:lineRule="exact"/>
              <w:ind w:right="0"/>
              <w:jc w:val="center"/>
              <w:rPr>
                <w:rFonts w:ascii="宋体" w:hAnsi="宋体" w:eastAsia="宋体" w:cs="宋体"/>
                <w:sz w:val="24"/>
                <w:highlight w:val="none"/>
                <w:lang w:val="en-US" w:eastAsia="zh-CN"/>
              </w:rPr>
            </w:pPr>
          </w:p>
        </w:tc>
        <w:tc>
          <w:tcPr>
            <w:tcW w:w="1458" w:type="dxa"/>
            <w:noWrap w:val="0"/>
            <w:vAlign w:val="center"/>
          </w:tcPr>
          <w:p w14:paraId="3C2CA039">
            <w:pPr>
              <w:keepNext w:val="0"/>
              <w:keepLines w:val="0"/>
              <w:spacing w:line="400" w:lineRule="exact"/>
              <w:ind w:right="0"/>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高清摄像头</w:t>
            </w:r>
          </w:p>
        </w:tc>
      </w:tr>
      <w:tr w14:paraId="5BB78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9871" w:type="dxa"/>
            <w:gridSpan w:val="8"/>
            <w:noWrap w:val="0"/>
            <w:vAlign w:val="center"/>
          </w:tcPr>
          <w:p w14:paraId="157B30DB">
            <w:pPr>
              <w:keepNext w:val="0"/>
              <w:keepLines w:val="0"/>
              <w:spacing w:line="400" w:lineRule="exact"/>
              <w:ind w:right="0"/>
              <w:jc w:val="left"/>
              <w:rPr>
                <w:rFonts w:ascii="宋体" w:hAnsi="宋体" w:eastAsia="宋体" w:cs="宋体"/>
                <w:strike/>
                <w:sz w:val="24"/>
                <w:highlight w:val="none"/>
                <w:lang w:val="en-US" w:eastAsia="zh-CN"/>
              </w:rPr>
            </w:pPr>
            <w:r>
              <w:rPr>
                <w:rFonts w:hint="eastAsia" w:ascii="宋体" w:hAnsi="宋体" w:eastAsia="宋体" w:cs="宋体"/>
                <w:b/>
                <w:bCs/>
                <w:sz w:val="24"/>
                <w:highlight w:val="none"/>
                <w:lang w:val="en-US" w:eastAsia="zh-CN"/>
              </w:rPr>
              <w:t>本采购包中提供的符合本国产品标准的产品成本之和占该采购包提供的全部产品成本之和的比例为</w:t>
            </w:r>
            <w:r>
              <w:rPr>
                <w:rFonts w:hint="eastAsia" w:ascii="宋体" w:hAnsi="宋体" w:eastAsia="宋体" w:cs="宋体"/>
                <w:b/>
                <w:bCs/>
                <w:sz w:val="24"/>
                <w:highlight w:val="none"/>
                <w:u w:val="single"/>
                <w:lang w:val="en-US" w:eastAsia="zh-CN"/>
              </w:rPr>
              <w:t xml:space="preserve">    </w:t>
            </w:r>
            <w:r>
              <w:rPr>
                <w:rFonts w:hint="eastAsia" w:ascii="宋体" w:hAnsi="宋体" w:eastAsia="宋体" w:cs="宋体"/>
                <w:b/>
                <w:bCs/>
                <w:sz w:val="24"/>
                <w:highlight w:val="none"/>
                <w:lang w:val="en-US" w:eastAsia="zh-CN"/>
              </w:rPr>
              <w:t>%。</w:t>
            </w:r>
          </w:p>
        </w:tc>
      </w:tr>
      <w:tr w14:paraId="07EBF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 w:hRule="atLeast"/>
        </w:trPr>
        <w:tc>
          <w:tcPr>
            <w:tcW w:w="9871" w:type="dxa"/>
            <w:gridSpan w:val="8"/>
            <w:noWrap w:val="0"/>
            <w:vAlign w:val="center"/>
          </w:tcPr>
          <w:p w14:paraId="57A9DCAE">
            <w:pPr>
              <w:keepNext w:val="0"/>
              <w:keepLines w:val="0"/>
              <w:spacing w:line="400" w:lineRule="exact"/>
              <w:ind w:right="0"/>
              <w:jc w:val="left"/>
              <w:rPr>
                <w:rFonts w:hint="eastAsia" w:ascii="宋体" w:hAnsi="宋体" w:eastAsia="宋体" w:cs="宋体"/>
                <w:sz w:val="24"/>
                <w:highlight w:val="yellow"/>
                <w:lang w:val="en-US" w:eastAsia="zh-CN"/>
              </w:rPr>
            </w:pPr>
            <w:r>
              <w:rPr>
                <w:rFonts w:hint="eastAsia" w:ascii="宋体" w:hAnsi="宋体" w:eastAsia="宋体" w:cs="宋体"/>
                <w:b/>
                <w:bCs/>
                <w:sz w:val="24"/>
                <w:highlight w:val="none"/>
                <w:lang w:val="en-US" w:eastAsia="zh-CN"/>
              </w:rPr>
              <w:t>硬件部分合计：</w:t>
            </w:r>
            <w:r>
              <w:rPr>
                <w:rFonts w:hint="eastAsia" w:ascii="宋体" w:hAnsi="宋体" w:eastAsia="宋体" w:cs="宋体"/>
                <w:sz w:val="24"/>
                <w:highlight w:val="none"/>
                <w:lang w:val="en-US" w:eastAsia="zh-CN"/>
              </w:rPr>
              <w:t>（大写）：                     小写：</w:t>
            </w:r>
          </w:p>
        </w:tc>
      </w:tr>
      <w:tr w14:paraId="29E74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2" w:hRule="atLeast"/>
        </w:trPr>
        <w:tc>
          <w:tcPr>
            <w:tcW w:w="9871" w:type="dxa"/>
            <w:gridSpan w:val="8"/>
            <w:noWrap w:val="0"/>
            <w:vAlign w:val="center"/>
          </w:tcPr>
          <w:p w14:paraId="3FEEAAD6">
            <w:pPr>
              <w:keepNext w:val="0"/>
              <w:keepLines w:val="0"/>
              <w:spacing w:line="400" w:lineRule="exact"/>
              <w:ind w:right="0"/>
              <w:jc w:val="both"/>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投标总报价：（大写）：                     小写：</w:t>
            </w:r>
          </w:p>
        </w:tc>
      </w:tr>
    </w:tbl>
    <w:p w14:paraId="5BAA4B96">
      <w:pPr>
        <w:pStyle w:val="191"/>
        <w:rPr>
          <w:rFonts w:hint="eastAsia" w:ascii="宋体" w:hAnsi="宋体" w:eastAsia="宋体" w:cs="宋体"/>
        </w:rPr>
      </w:pPr>
    </w:p>
    <w:p w14:paraId="77281C6F">
      <w:pPr>
        <w:keepNext w:val="0"/>
        <w:keepLines w:val="0"/>
        <w:pageBreakBefore w:val="0"/>
        <w:widowControl w:val="0"/>
        <w:spacing w:line="800" w:lineRule="exact"/>
        <w:ind w:right="0"/>
        <w:jc w:val="lef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电子签章</w:t>
      </w:r>
      <w:r>
        <w:rPr>
          <w:rFonts w:hint="eastAsia" w:ascii="宋体" w:hAnsi="宋体" w:eastAsia="宋体" w:cs="宋体"/>
          <w:sz w:val="24"/>
          <w:highlight w:val="none"/>
          <w:u w:val="single"/>
        </w:rPr>
        <w:t xml:space="preserve">）    </w:t>
      </w:r>
    </w:p>
    <w:p w14:paraId="19538B8A">
      <w:pPr>
        <w:keepNext w:val="0"/>
        <w:keepLines w:val="0"/>
        <w:pageBreakBefore w:val="0"/>
        <w:widowControl w:val="0"/>
        <w:spacing w:line="800" w:lineRule="exact"/>
        <w:ind w:right="0"/>
        <w:jc w:val="left"/>
        <w:rPr>
          <w:rFonts w:hint="eastAsia" w:ascii="宋体" w:hAnsi="宋体" w:eastAsia="宋体" w:cs="宋体"/>
          <w:sz w:val="24"/>
          <w:highlight w:val="none"/>
          <w:u w:val="single"/>
        </w:rPr>
      </w:pPr>
      <w:r>
        <w:rPr>
          <w:rFonts w:hint="eastAsia" w:ascii="宋体" w:hAnsi="宋体" w:eastAsia="宋体" w:cs="宋体"/>
          <w:sz w:val="24"/>
          <w:highlight w:val="none"/>
        </w:rPr>
        <w:t>法定代表人或其委托受托人签字：</w:t>
      </w:r>
      <w:r>
        <w:rPr>
          <w:rFonts w:hint="eastAsia" w:ascii="宋体" w:hAnsi="宋体" w:eastAsia="宋体" w:cs="宋体"/>
          <w:sz w:val="24"/>
          <w:highlight w:val="none"/>
          <w:u w:val="single"/>
        </w:rPr>
        <w:t xml:space="preserve">                 </w:t>
      </w:r>
    </w:p>
    <w:p w14:paraId="18158ECE">
      <w:pPr>
        <w:pStyle w:val="196"/>
        <w:keepNext w:val="0"/>
        <w:keepLines w:val="0"/>
        <w:spacing w:line="340" w:lineRule="exact"/>
        <w:ind w:right="0"/>
        <w:rPr>
          <w:rFonts w:hint="eastAsia" w:ascii="宋体" w:hAnsi="宋体" w:eastAsia="宋体" w:cs="宋体"/>
          <w:b/>
          <w:bCs/>
          <w:sz w:val="24"/>
          <w:szCs w:val="24"/>
          <w:highlight w:val="none"/>
        </w:rPr>
      </w:pPr>
    </w:p>
    <w:p w14:paraId="0129E4F7">
      <w:pPr>
        <w:pStyle w:val="196"/>
        <w:keepNext w:val="0"/>
        <w:keepLines w:val="0"/>
        <w:spacing w:line="340" w:lineRule="exact"/>
        <w:ind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w:t>
      </w:r>
    </w:p>
    <w:p w14:paraId="0BF15984">
      <w:pPr>
        <w:pStyle w:val="196"/>
        <w:keepNext w:val="0"/>
        <w:keepLines w:val="0"/>
        <w:pageBreakBefore w:val="0"/>
        <w:widowControl w:val="0"/>
        <w:spacing w:line="40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（1）所有价格系人民币表示。</w:t>
      </w:r>
    </w:p>
    <w:p w14:paraId="7D4AF681">
      <w:pPr>
        <w:pStyle w:val="196"/>
        <w:keepNext w:val="0"/>
        <w:keepLines w:val="0"/>
        <w:pageBreakBefore w:val="0"/>
        <w:widowControl w:val="0"/>
        <w:spacing w:line="40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highlight w:val="none"/>
          <w:lang w:val="en-US" w:eastAsia="zh-CN"/>
        </w:rPr>
        <w:t>投标总报价应包括软件费用、硬件费用、</w:t>
      </w:r>
      <w:r>
        <w:rPr>
          <w:rFonts w:hint="eastAsia" w:hAnsi="宋体" w:eastAsia="宋体" w:cs="宋体"/>
          <w:sz w:val="24"/>
          <w:szCs w:val="24"/>
          <w:highlight w:val="none"/>
          <w:lang w:val="en-US" w:eastAsia="zh-CN"/>
        </w:rPr>
        <w:t>软硬件安装费用、必要的辅材费等为完成本项目所需的一切</w:t>
      </w:r>
      <w:r>
        <w:rPr>
          <w:rFonts w:hint="eastAsia" w:ascii="宋体" w:hAnsi="宋体" w:eastAsia="宋体" w:cs="宋体"/>
          <w:sz w:val="24"/>
          <w:szCs w:val="24"/>
          <w:highlight w:val="none"/>
        </w:rPr>
        <w:t>费用，</w:t>
      </w:r>
      <w:r>
        <w:rPr>
          <w:rFonts w:hint="eastAsia" w:hAnsi="宋体" w:eastAsia="宋体" w:cs="宋体"/>
          <w:sz w:val="24"/>
          <w:szCs w:val="24"/>
          <w:highlight w:val="none"/>
          <w:lang w:eastAsia="zh-CN"/>
        </w:rPr>
        <w:t>投标人</w:t>
      </w:r>
      <w:r>
        <w:rPr>
          <w:rFonts w:hint="eastAsia" w:ascii="宋体" w:hAnsi="宋体" w:eastAsia="宋体" w:cs="宋体"/>
          <w:sz w:val="24"/>
          <w:szCs w:val="24"/>
          <w:highlight w:val="none"/>
        </w:rPr>
        <w:t>不得再以其他任何理由要求采购人支付其他任何费用。</w:t>
      </w:r>
    </w:p>
    <w:p w14:paraId="0E4C3042">
      <w:pPr>
        <w:pStyle w:val="196"/>
        <w:keepNext w:val="0"/>
        <w:keepLines w:val="0"/>
        <w:pageBreakBefore w:val="0"/>
        <w:widowControl w:val="0"/>
        <w:spacing w:line="400" w:lineRule="exact"/>
        <w:ind w:righ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（3）如果单价和总价不符时，以单价为准。</w:t>
      </w:r>
    </w:p>
    <w:p w14:paraId="44F1672B">
      <w:pPr>
        <w:pStyle w:val="196"/>
        <w:keepNext w:val="0"/>
        <w:keepLines w:val="0"/>
        <w:pageBreakBefore w:val="0"/>
        <w:widowControl w:val="0"/>
        <w:spacing w:line="400" w:lineRule="exact"/>
        <w:ind w:right="0"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）本采购包中含有多种产品时，投标人未填写本采购包中提供的符合本国产品标准的产品成本之和占该采购包提供的全部产品成本之和的比例数值的，或比例数值未达到80%的，将不享受本国产品价格评审优惠。</w:t>
      </w:r>
    </w:p>
    <w:p w14:paraId="64D60D21">
      <w:pPr>
        <w:keepNext w:val="0"/>
        <w:keepLines w:val="0"/>
        <w:spacing w:line="560" w:lineRule="exact"/>
        <w:ind w:right="0"/>
        <w:jc w:val="left"/>
        <w:rPr>
          <w:rFonts w:hint="eastAsia" w:ascii="宋体" w:hAnsi="宋体" w:eastAsia="宋体" w:cs="宋体"/>
          <w:sz w:val="24"/>
          <w:highlight w:val="none"/>
          <w:lang w:eastAsia="zh-CN"/>
        </w:rPr>
      </w:pPr>
    </w:p>
    <w:p w14:paraId="2C4D7549">
      <w:pPr>
        <w:keepNext w:val="0"/>
        <w:keepLines w:val="0"/>
        <w:pageBreakBefore/>
        <w:spacing w:line="520" w:lineRule="exact"/>
        <w:ind w:right="0"/>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lang w:val="en-US" w:eastAsia="zh-CN"/>
        </w:rPr>
        <w:t>四</w:t>
      </w:r>
      <w:r>
        <w:rPr>
          <w:rFonts w:hint="eastAsia" w:ascii="宋体" w:hAnsi="宋体" w:eastAsia="宋体" w:cs="宋体"/>
          <w:b/>
          <w:sz w:val="32"/>
          <w:szCs w:val="32"/>
          <w:highlight w:val="none"/>
        </w:rPr>
        <w:t>、服务承诺</w:t>
      </w:r>
    </w:p>
    <w:p w14:paraId="47C8F137">
      <w:pPr>
        <w:pStyle w:val="298"/>
        <w:keepNext w:val="0"/>
        <w:keepLines w:val="0"/>
        <w:spacing w:line="440" w:lineRule="exact"/>
        <w:ind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（格式由</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自定、加盖</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公章）</w:t>
      </w:r>
    </w:p>
    <w:p w14:paraId="4B5F89D7">
      <w:pPr>
        <w:keepNext w:val="0"/>
        <w:keepLines w:val="0"/>
        <w:spacing w:line="520" w:lineRule="exact"/>
        <w:ind w:right="0"/>
        <w:jc w:val="center"/>
        <w:outlineLvl w:val="9"/>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val="en-US" w:eastAsia="zh-CN"/>
        </w:rPr>
        <w:t>五</w:t>
      </w:r>
      <w:r>
        <w:rPr>
          <w:rFonts w:hint="eastAsia" w:ascii="宋体" w:hAnsi="宋体" w:eastAsia="宋体" w:cs="宋体"/>
          <w:b/>
          <w:sz w:val="32"/>
          <w:szCs w:val="32"/>
          <w:highlight w:val="none"/>
        </w:rPr>
        <w:t>、人员配备表</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0"/>
        <w:gridCol w:w="1165"/>
        <w:gridCol w:w="999"/>
        <w:gridCol w:w="1125"/>
        <w:gridCol w:w="1125"/>
        <w:gridCol w:w="1039"/>
        <w:gridCol w:w="1385"/>
        <w:gridCol w:w="1514"/>
      </w:tblGrid>
      <w:tr w14:paraId="3E45F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990" w:type="dxa"/>
            <w:noWrap w:val="0"/>
            <w:vAlign w:val="center"/>
          </w:tcPr>
          <w:p w14:paraId="78716420">
            <w:pPr>
              <w:keepNext w:val="0"/>
              <w:keepLines w:val="0"/>
              <w:spacing w:line="480" w:lineRule="exact"/>
              <w:ind w:right="0"/>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165" w:type="dxa"/>
            <w:noWrap w:val="0"/>
            <w:vAlign w:val="center"/>
          </w:tcPr>
          <w:p w14:paraId="4391B736">
            <w:pPr>
              <w:keepNext w:val="0"/>
              <w:keepLines w:val="0"/>
              <w:spacing w:line="480" w:lineRule="exact"/>
              <w:ind w:right="0"/>
              <w:jc w:val="center"/>
              <w:rPr>
                <w:rFonts w:hint="eastAsia" w:ascii="宋体" w:hAnsi="宋体" w:eastAsia="宋体" w:cs="宋体"/>
                <w:sz w:val="24"/>
                <w:highlight w:val="none"/>
              </w:rPr>
            </w:pPr>
            <w:r>
              <w:rPr>
                <w:rFonts w:hint="eastAsia" w:ascii="宋体" w:hAnsi="宋体" w:eastAsia="宋体" w:cs="宋体"/>
                <w:sz w:val="24"/>
                <w:highlight w:val="none"/>
              </w:rPr>
              <w:t>姓名</w:t>
            </w:r>
          </w:p>
        </w:tc>
        <w:tc>
          <w:tcPr>
            <w:tcW w:w="999" w:type="dxa"/>
            <w:noWrap w:val="0"/>
            <w:vAlign w:val="center"/>
          </w:tcPr>
          <w:p w14:paraId="6F6ABEB4">
            <w:pPr>
              <w:keepNext w:val="0"/>
              <w:keepLines w:val="0"/>
              <w:spacing w:line="480" w:lineRule="exact"/>
              <w:ind w:right="0"/>
              <w:jc w:val="center"/>
              <w:rPr>
                <w:rFonts w:hint="eastAsia" w:ascii="宋体" w:hAnsi="宋体" w:eastAsia="宋体" w:cs="宋体"/>
                <w:sz w:val="24"/>
                <w:highlight w:val="none"/>
              </w:rPr>
            </w:pPr>
            <w:r>
              <w:rPr>
                <w:rFonts w:hint="eastAsia" w:ascii="宋体" w:hAnsi="宋体" w:eastAsia="宋体" w:cs="宋体"/>
                <w:sz w:val="24"/>
                <w:highlight w:val="none"/>
              </w:rPr>
              <w:t>年龄</w:t>
            </w:r>
          </w:p>
        </w:tc>
        <w:tc>
          <w:tcPr>
            <w:tcW w:w="1125" w:type="dxa"/>
            <w:noWrap w:val="0"/>
            <w:vAlign w:val="center"/>
          </w:tcPr>
          <w:p w14:paraId="30687225">
            <w:pPr>
              <w:keepNext w:val="0"/>
              <w:keepLines w:val="0"/>
              <w:spacing w:line="480" w:lineRule="exact"/>
              <w:ind w:right="0"/>
              <w:jc w:val="center"/>
              <w:rPr>
                <w:rFonts w:hint="eastAsia" w:ascii="宋体" w:hAnsi="宋体" w:eastAsia="宋体" w:cs="宋体"/>
                <w:sz w:val="24"/>
                <w:highlight w:val="none"/>
              </w:rPr>
            </w:pPr>
            <w:r>
              <w:rPr>
                <w:rFonts w:hint="eastAsia" w:ascii="宋体" w:hAnsi="宋体" w:eastAsia="宋体" w:cs="宋体"/>
                <w:sz w:val="24"/>
                <w:highlight w:val="none"/>
              </w:rPr>
              <w:t>学历</w:t>
            </w:r>
          </w:p>
        </w:tc>
        <w:tc>
          <w:tcPr>
            <w:tcW w:w="1125" w:type="dxa"/>
            <w:noWrap w:val="0"/>
            <w:vAlign w:val="center"/>
          </w:tcPr>
          <w:p w14:paraId="45C73871">
            <w:pPr>
              <w:keepNext w:val="0"/>
              <w:keepLines w:val="0"/>
              <w:spacing w:line="480" w:lineRule="exact"/>
              <w:ind w:right="0"/>
              <w:jc w:val="center"/>
              <w:rPr>
                <w:rFonts w:hint="eastAsia" w:ascii="宋体" w:hAnsi="宋体" w:eastAsia="宋体" w:cs="宋体"/>
                <w:sz w:val="24"/>
                <w:highlight w:val="none"/>
              </w:rPr>
            </w:pPr>
            <w:r>
              <w:rPr>
                <w:rFonts w:hint="eastAsia" w:ascii="宋体" w:hAnsi="宋体" w:eastAsia="宋体" w:cs="宋体"/>
                <w:sz w:val="24"/>
                <w:highlight w:val="none"/>
              </w:rPr>
              <w:t>专业</w:t>
            </w:r>
          </w:p>
        </w:tc>
        <w:tc>
          <w:tcPr>
            <w:tcW w:w="1039" w:type="dxa"/>
            <w:noWrap w:val="0"/>
            <w:vAlign w:val="center"/>
          </w:tcPr>
          <w:p w14:paraId="5C63FEB5">
            <w:pPr>
              <w:keepNext w:val="0"/>
              <w:keepLines w:val="0"/>
              <w:spacing w:line="480" w:lineRule="exact"/>
              <w:ind w:right="0"/>
              <w:jc w:val="center"/>
              <w:rPr>
                <w:rFonts w:hint="eastAsia" w:ascii="宋体" w:hAnsi="宋体" w:eastAsia="宋体" w:cs="宋体"/>
                <w:sz w:val="24"/>
                <w:highlight w:val="none"/>
              </w:rPr>
            </w:pPr>
            <w:r>
              <w:rPr>
                <w:rFonts w:hint="eastAsia" w:ascii="宋体" w:hAnsi="宋体" w:eastAsia="宋体" w:cs="宋体"/>
                <w:sz w:val="24"/>
                <w:highlight w:val="none"/>
              </w:rPr>
              <w:t>职称</w:t>
            </w:r>
          </w:p>
        </w:tc>
        <w:tc>
          <w:tcPr>
            <w:tcW w:w="1385" w:type="dxa"/>
            <w:noWrap w:val="0"/>
            <w:vAlign w:val="center"/>
          </w:tcPr>
          <w:p w14:paraId="664118EE">
            <w:pPr>
              <w:keepNext w:val="0"/>
              <w:keepLines w:val="0"/>
              <w:spacing w:line="480" w:lineRule="exact"/>
              <w:ind w:right="0"/>
              <w:jc w:val="center"/>
              <w:rPr>
                <w:rFonts w:hint="eastAsia" w:ascii="宋体" w:hAnsi="宋体" w:eastAsia="宋体" w:cs="宋体"/>
                <w:sz w:val="24"/>
                <w:highlight w:val="none"/>
              </w:rPr>
            </w:pPr>
            <w:r>
              <w:rPr>
                <w:rFonts w:hint="eastAsia" w:ascii="宋体" w:hAnsi="宋体" w:eastAsia="宋体" w:cs="宋体"/>
                <w:sz w:val="24"/>
                <w:highlight w:val="none"/>
              </w:rPr>
              <w:t>相关证书</w:t>
            </w:r>
          </w:p>
        </w:tc>
        <w:tc>
          <w:tcPr>
            <w:tcW w:w="1514" w:type="dxa"/>
            <w:noWrap w:val="0"/>
            <w:vAlign w:val="center"/>
          </w:tcPr>
          <w:p w14:paraId="5067CB8D">
            <w:pPr>
              <w:keepNext w:val="0"/>
              <w:keepLines w:val="0"/>
              <w:spacing w:line="480" w:lineRule="exact"/>
              <w:ind w:right="0"/>
              <w:jc w:val="center"/>
              <w:rPr>
                <w:rFonts w:hint="eastAsia" w:ascii="宋体" w:hAnsi="宋体" w:eastAsia="宋体" w:cs="宋体"/>
                <w:sz w:val="24"/>
                <w:highlight w:val="none"/>
              </w:rPr>
            </w:pPr>
            <w:r>
              <w:rPr>
                <w:rFonts w:hint="eastAsia" w:ascii="宋体" w:hAnsi="宋体" w:eastAsia="宋体" w:cs="宋体"/>
                <w:sz w:val="24"/>
                <w:highlight w:val="none"/>
              </w:rPr>
              <w:t>拟任职务</w:t>
            </w:r>
          </w:p>
        </w:tc>
      </w:tr>
      <w:tr w14:paraId="6F32D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noWrap w:val="0"/>
            <w:vAlign w:val="top"/>
          </w:tcPr>
          <w:p w14:paraId="37C3D526">
            <w:pPr>
              <w:keepNext w:val="0"/>
              <w:keepLines w:val="0"/>
              <w:spacing w:line="800" w:lineRule="exact"/>
              <w:ind w:right="0"/>
              <w:rPr>
                <w:rFonts w:hint="eastAsia" w:ascii="宋体" w:hAnsi="宋体" w:eastAsia="宋体" w:cs="宋体"/>
                <w:sz w:val="28"/>
                <w:highlight w:val="none"/>
              </w:rPr>
            </w:pPr>
          </w:p>
        </w:tc>
        <w:tc>
          <w:tcPr>
            <w:tcW w:w="1165" w:type="dxa"/>
            <w:noWrap w:val="0"/>
            <w:vAlign w:val="top"/>
          </w:tcPr>
          <w:p w14:paraId="5EA30046">
            <w:pPr>
              <w:keepNext w:val="0"/>
              <w:keepLines w:val="0"/>
              <w:spacing w:line="800" w:lineRule="exact"/>
              <w:ind w:right="0"/>
              <w:rPr>
                <w:rFonts w:hint="eastAsia" w:ascii="宋体" w:hAnsi="宋体" w:eastAsia="宋体" w:cs="宋体"/>
                <w:sz w:val="28"/>
                <w:highlight w:val="none"/>
              </w:rPr>
            </w:pPr>
          </w:p>
        </w:tc>
        <w:tc>
          <w:tcPr>
            <w:tcW w:w="999" w:type="dxa"/>
            <w:noWrap w:val="0"/>
            <w:vAlign w:val="top"/>
          </w:tcPr>
          <w:p w14:paraId="3588E6DF">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313ADCE7">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58310E31">
            <w:pPr>
              <w:keepNext w:val="0"/>
              <w:keepLines w:val="0"/>
              <w:spacing w:line="800" w:lineRule="exact"/>
              <w:ind w:right="0"/>
              <w:rPr>
                <w:rFonts w:hint="eastAsia" w:ascii="宋体" w:hAnsi="宋体" w:eastAsia="宋体" w:cs="宋体"/>
                <w:sz w:val="28"/>
                <w:highlight w:val="none"/>
              </w:rPr>
            </w:pPr>
          </w:p>
        </w:tc>
        <w:tc>
          <w:tcPr>
            <w:tcW w:w="1039" w:type="dxa"/>
            <w:noWrap w:val="0"/>
            <w:vAlign w:val="top"/>
          </w:tcPr>
          <w:p w14:paraId="244775A2">
            <w:pPr>
              <w:keepNext w:val="0"/>
              <w:keepLines w:val="0"/>
              <w:spacing w:line="800" w:lineRule="exact"/>
              <w:ind w:right="0"/>
              <w:rPr>
                <w:rFonts w:hint="eastAsia" w:ascii="宋体" w:hAnsi="宋体" w:eastAsia="宋体" w:cs="宋体"/>
                <w:sz w:val="28"/>
                <w:highlight w:val="none"/>
              </w:rPr>
            </w:pPr>
          </w:p>
        </w:tc>
        <w:tc>
          <w:tcPr>
            <w:tcW w:w="1385" w:type="dxa"/>
            <w:noWrap w:val="0"/>
            <w:vAlign w:val="top"/>
          </w:tcPr>
          <w:p w14:paraId="544286F4">
            <w:pPr>
              <w:keepNext w:val="0"/>
              <w:keepLines w:val="0"/>
              <w:spacing w:line="800" w:lineRule="exact"/>
              <w:ind w:right="0"/>
              <w:rPr>
                <w:rFonts w:hint="eastAsia" w:ascii="宋体" w:hAnsi="宋体" w:eastAsia="宋体" w:cs="宋体"/>
                <w:sz w:val="28"/>
                <w:highlight w:val="none"/>
              </w:rPr>
            </w:pPr>
          </w:p>
        </w:tc>
        <w:tc>
          <w:tcPr>
            <w:tcW w:w="1514" w:type="dxa"/>
            <w:noWrap w:val="0"/>
            <w:vAlign w:val="top"/>
          </w:tcPr>
          <w:p w14:paraId="579F2560">
            <w:pPr>
              <w:keepNext w:val="0"/>
              <w:keepLines w:val="0"/>
              <w:spacing w:line="800" w:lineRule="exact"/>
              <w:ind w:right="0"/>
              <w:rPr>
                <w:rFonts w:hint="eastAsia" w:ascii="宋体" w:hAnsi="宋体" w:eastAsia="宋体" w:cs="宋体"/>
                <w:sz w:val="28"/>
                <w:highlight w:val="none"/>
              </w:rPr>
            </w:pPr>
          </w:p>
        </w:tc>
      </w:tr>
      <w:tr w14:paraId="2E8B7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noWrap w:val="0"/>
            <w:vAlign w:val="top"/>
          </w:tcPr>
          <w:p w14:paraId="376E4136">
            <w:pPr>
              <w:keepNext w:val="0"/>
              <w:keepLines w:val="0"/>
              <w:spacing w:line="800" w:lineRule="exact"/>
              <w:ind w:right="0"/>
              <w:rPr>
                <w:rFonts w:hint="eastAsia" w:ascii="宋体" w:hAnsi="宋体" w:eastAsia="宋体" w:cs="宋体"/>
                <w:sz w:val="28"/>
                <w:highlight w:val="none"/>
              </w:rPr>
            </w:pPr>
          </w:p>
        </w:tc>
        <w:tc>
          <w:tcPr>
            <w:tcW w:w="1165" w:type="dxa"/>
            <w:noWrap w:val="0"/>
            <w:vAlign w:val="top"/>
          </w:tcPr>
          <w:p w14:paraId="7B440B3F">
            <w:pPr>
              <w:keepNext w:val="0"/>
              <w:keepLines w:val="0"/>
              <w:spacing w:line="800" w:lineRule="exact"/>
              <w:ind w:right="0"/>
              <w:rPr>
                <w:rFonts w:hint="eastAsia" w:ascii="宋体" w:hAnsi="宋体" w:eastAsia="宋体" w:cs="宋体"/>
                <w:sz w:val="28"/>
                <w:highlight w:val="none"/>
              </w:rPr>
            </w:pPr>
          </w:p>
        </w:tc>
        <w:tc>
          <w:tcPr>
            <w:tcW w:w="999" w:type="dxa"/>
            <w:noWrap w:val="0"/>
            <w:vAlign w:val="top"/>
          </w:tcPr>
          <w:p w14:paraId="66CD9325">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00618E17">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3852E854">
            <w:pPr>
              <w:keepNext w:val="0"/>
              <w:keepLines w:val="0"/>
              <w:spacing w:line="800" w:lineRule="exact"/>
              <w:ind w:right="0"/>
              <w:rPr>
                <w:rFonts w:hint="eastAsia" w:ascii="宋体" w:hAnsi="宋体" w:eastAsia="宋体" w:cs="宋体"/>
                <w:sz w:val="28"/>
                <w:highlight w:val="none"/>
              </w:rPr>
            </w:pPr>
          </w:p>
        </w:tc>
        <w:tc>
          <w:tcPr>
            <w:tcW w:w="1039" w:type="dxa"/>
            <w:noWrap w:val="0"/>
            <w:vAlign w:val="top"/>
          </w:tcPr>
          <w:p w14:paraId="12F9E9D3">
            <w:pPr>
              <w:keepNext w:val="0"/>
              <w:keepLines w:val="0"/>
              <w:spacing w:line="800" w:lineRule="exact"/>
              <w:ind w:right="0"/>
              <w:rPr>
                <w:rFonts w:hint="eastAsia" w:ascii="宋体" w:hAnsi="宋体" w:eastAsia="宋体" w:cs="宋体"/>
                <w:sz w:val="28"/>
                <w:highlight w:val="none"/>
              </w:rPr>
            </w:pPr>
          </w:p>
        </w:tc>
        <w:tc>
          <w:tcPr>
            <w:tcW w:w="1385" w:type="dxa"/>
            <w:noWrap w:val="0"/>
            <w:vAlign w:val="top"/>
          </w:tcPr>
          <w:p w14:paraId="54E6C658">
            <w:pPr>
              <w:keepNext w:val="0"/>
              <w:keepLines w:val="0"/>
              <w:spacing w:line="800" w:lineRule="exact"/>
              <w:ind w:right="0"/>
              <w:rPr>
                <w:rFonts w:hint="eastAsia" w:ascii="宋体" w:hAnsi="宋体" w:eastAsia="宋体" w:cs="宋体"/>
                <w:sz w:val="28"/>
                <w:highlight w:val="none"/>
              </w:rPr>
            </w:pPr>
          </w:p>
        </w:tc>
        <w:tc>
          <w:tcPr>
            <w:tcW w:w="1514" w:type="dxa"/>
            <w:noWrap w:val="0"/>
            <w:vAlign w:val="top"/>
          </w:tcPr>
          <w:p w14:paraId="4F571BD4">
            <w:pPr>
              <w:keepNext w:val="0"/>
              <w:keepLines w:val="0"/>
              <w:spacing w:line="800" w:lineRule="exact"/>
              <w:ind w:right="0"/>
              <w:rPr>
                <w:rFonts w:hint="eastAsia" w:ascii="宋体" w:hAnsi="宋体" w:eastAsia="宋体" w:cs="宋体"/>
                <w:sz w:val="28"/>
                <w:highlight w:val="none"/>
              </w:rPr>
            </w:pPr>
          </w:p>
        </w:tc>
      </w:tr>
      <w:tr w14:paraId="5E55F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noWrap w:val="0"/>
            <w:vAlign w:val="top"/>
          </w:tcPr>
          <w:p w14:paraId="40B8047B">
            <w:pPr>
              <w:keepNext w:val="0"/>
              <w:keepLines w:val="0"/>
              <w:spacing w:line="800" w:lineRule="exact"/>
              <w:ind w:right="0"/>
              <w:rPr>
                <w:rFonts w:hint="eastAsia" w:ascii="宋体" w:hAnsi="宋体" w:eastAsia="宋体" w:cs="宋体"/>
                <w:sz w:val="28"/>
                <w:highlight w:val="none"/>
              </w:rPr>
            </w:pPr>
          </w:p>
        </w:tc>
        <w:tc>
          <w:tcPr>
            <w:tcW w:w="1165" w:type="dxa"/>
            <w:noWrap w:val="0"/>
            <w:vAlign w:val="top"/>
          </w:tcPr>
          <w:p w14:paraId="42411C56">
            <w:pPr>
              <w:keepNext w:val="0"/>
              <w:keepLines w:val="0"/>
              <w:spacing w:line="800" w:lineRule="exact"/>
              <w:ind w:right="0"/>
              <w:rPr>
                <w:rFonts w:hint="eastAsia" w:ascii="宋体" w:hAnsi="宋体" w:eastAsia="宋体" w:cs="宋体"/>
                <w:sz w:val="28"/>
                <w:highlight w:val="none"/>
              </w:rPr>
            </w:pPr>
          </w:p>
        </w:tc>
        <w:tc>
          <w:tcPr>
            <w:tcW w:w="999" w:type="dxa"/>
            <w:noWrap w:val="0"/>
            <w:vAlign w:val="top"/>
          </w:tcPr>
          <w:p w14:paraId="010AEB99">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751A7037">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4D82D4BA">
            <w:pPr>
              <w:keepNext w:val="0"/>
              <w:keepLines w:val="0"/>
              <w:spacing w:line="800" w:lineRule="exact"/>
              <w:ind w:right="0"/>
              <w:rPr>
                <w:rFonts w:hint="eastAsia" w:ascii="宋体" w:hAnsi="宋体" w:eastAsia="宋体" w:cs="宋体"/>
                <w:sz w:val="28"/>
                <w:highlight w:val="none"/>
              </w:rPr>
            </w:pPr>
          </w:p>
        </w:tc>
        <w:tc>
          <w:tcPr>
            <w:tcW w:w="1039" w:type="dxa"/>
            <w:noWrap w:val="0"/>
            <w:vAlign w:val="top"/>
          </w:tcPr>
          <w:p w14:paraId="67F30A00">
            <w:pPr>
              <w:keepNext w:val="0"/>
              <w:keepLines w:val="0"/>
              <w:spacing w:line="800" w:lineRule="exact"/>
              <w:ind w:right="0"/>
              <w:rPr>
                <w:rFonts w:hint="eastAsia" w:ascii="宋体" w:hAnsi="宋体" w:eastAsia="宋体" w:cs="宋体"/>
                <w:sz w:val="28"/>
                <w:highlight w:val="none"/>
              </w:rPr>
            </w:pPr>
          </w:p>
        </w:tc>
        <w:tc>
          <w:tcPr>
            <w:tcW w:w="1385" w:type="dxa"/>
            <w:noWrap w:val="0"/>
            <w:vAlign w:val="top"/>
          </w:tcPr>
          <w:p w14:paraId="76C4EC84">
            <w:pPr>
              <w:keepNext w:val="0"/>
              <w:keepLines w:val="0"/>
              <w:spacing w:line="800" w:lineRule="exact"/>
              <w:ind w:right="0"/>
              <w:rPr>
                <w:rFonts w:hint="eastAsia" w:ascii="宋体" w:hAnsi="宋体" w:eastAsia="宋体" w:cs="宋体"/>
                <w:sz w:val="28"/>
                <w:highlight w:val="none"/>
              </w:rPr>
            </w:pPr>
          </w:p>
        </w:tc>
        <w:tc>
          <w:tcPr>
            <w:tcW w:w="1514" w:type="dxa"/>
            <w:noWrap w:val="0"/>
            <w:vAlign w:val="top"/>
          </w:tcPr>
          <w:p w14:paraId="56527734">
            <w:pPr>
              <w:keepNext w:val="0"/>
              <w:keepLines w:val="0"/>
              <w:spacing w:line="800" w:lineRule="exact"/>
              <w:ind w:right="0"/>
              <w:rPr>
                <w:rFonts w:hint="eastAsia" w:ascii="宋体" w:hAnsi="宋体" w:eastAsia="宋体" w:cs="宋体"/>
                <w:sz w:val="28"/>
                <w:highlight w:val="none"/>
              </w:rPr>
            </w:pPr>
          </w:p>
        </w:tc>
      </w:tr>
      <w:tr w14:paraId="21F8A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noWrap w:val="0"/>
            <w:vAlign w:val="top"/>
          </w:tcPr>
          <w:p w14:paraId="064AA456">
            <w:pPr>
              <w:keepNext w:val="0"/>
              <w:keepLines w:val="0"/>
              <w:spacing w:line="800" w:lineRule="exact"/>
              <w:ind w:right="0"/>
              <w:rPr>
                <w:rFonts w:hint="eastAsia" w:ascii="宋体" w:hAnsi="宋体" w:eastAsia="宋体" w:cs="宋体"/>
                <w:sz w:val="28"/>
                <w:highlight w:val="none"/>
              </w:rPr>
            </w:pPr>
          </w:p>
        </w:tc>
        <w:tc>
          <w:tcPr>
            <w:tcW w:w="1165" w:type="dxa"/>
            <w:noWrap w:val="0"/>
            <w:vAlign w:val="top"/>
          </w:tcPr>
          <w:p w14:paraId="46F331F6">
            <w:pPr>
              <w:keepNext w:val="0"/>
              <w:keepLines w:val="0"/>
              <w:spacing w:line="800" w:lineRule="exact"/>
              <w:ind w:right="0"/>
              <w:rPr>
                <w:rFonts w:hint="eastAsia" w:ascii="宋体" w:hAnsi="宋体" w:eastAsia="宋体" w:cs="宋体"/>
                <w:sz w:val="28"/>
                <w:highlight w:val="none"/>
              </w:rPr>
            </w:pPr>
          </w:p>
        </w:tc>
        <w:tc>
          <w:tcPr>
            <w:tcW w:w="999" w:type="dxa"/>
            <w:noWrap w:val="0"/>
            <w:vAlign w:val="top"/>
          </w:tcPr>
          <w:p w14:paraId="602E083F">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3AD93454">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75D4CDE3">
            <w:pPr>
              <w:keepNext w:val="0"/>
              <w:keepLines w:val="0"/>
              <w:spacing w:line="800" w:lineRule="exact"/>
              <w:ind w:right="0"/>
              <w:rPr>
                <w:rFonts w:hint="eastAsia" w:ascii="宋体" w:hAnsi="宋体" w:eastAsia="宋体" w:cs="宋体"/>
                <w:sz w:val="28"/>
                <w:highlight w:val="none"/>
              </w:rPr>
            </w:pPr>
          </w:p>
        </w:tc>
        <w:tc>
          <w:tcPr>
            <w:tcW w:w="1039" w:type="dxa"/>
            <w:noWrap w:val="0"/>
            <w:vAlign w:val="top"/>
          </w:tcPr>
          <w:p w14:paraId="6E079ADD">
            <w:pPr>
              <w:keepNext w:val="0"/>
              <w:keepLines w:val="0"/>
              <w:spacing w:line="800" w:lineRule="exact"/>
              <w:ind w:right="0"/>
              <w:rPr>
                <w:rFonts w:hint="eastAsia" w:ascii="宋体" w:hAnsi="宋体" w:eastAsia="宋体" w:cs="宋体"/>
                <w:sz w:val="28"/>
                <w:highlight w:val="none"/>
              </w:rPr>
            </w:pPr>
          </w:p>
        </w:tc>
        <w:tc>
          <w:tcPr>
            <w:tcW w:w="1385" w:type="dxa"/>
            <w:noWrap w:val="0"/>
            <w:vAlign w:val="top"/>
          </w:tcPr>
          <w:p w14:paraId="628942CA">
            <w:pPr>
              <w:keepNext w:val="0"/>
              <w:keepLines w:val="0"/>
              <w:spacing w:line="800" w:lineRule="exact"/>
              <w:ind w:right="0"/>
              <w:rPr>
                <w:rFonts w:hint="eastAsia" w:ascii="宋体" w:hAnsi="宋体" w:eastAsia="宋体" w:cs="宋体"/>
                <w:sz w:val="28"/>
                <w:highlight w:val="none"/>
              </w:rPr>
            </w:pPr>
          </w:p>
        </w:tc>
        <w:tc>
          <w:tcPr>
            <w:tcW w:w="1514" w:type="dxa"/>
            <w:noWrap w:val="0"/>
            <w:vAlign w:val="top"/>
          </w:tcPr>
          <w:p w14:paraId="45372382">
            <w:pPr>
              <w:keepNext w:val="0"/>
              <w:keepLines w:val="0"/>
              <w:spacing w:line="800" w:lineRule="exact"/>
              <w:ind w:right="0"/>
              <w:rPr>
                <w:rFonts w:hint="eastAsia" w:ascii="宋体" w:hAnsi="宋体" w:eastAsia="宋体" w:cs="宋体"/>
                <w:sz w:val="28"/>
                <w:highlight w:val="none"/>
              </w:rPr>
            </w:pPr>
          </w:p>
        </w:tc>
      </w:tr>
      <w:tr w14:paraId="494E0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noWrap w:val="0"/>
            <w:vAlign w:val="top"/>
          </w:tcPr>
          <w:p w14:paraId="0021F10B">
            <w:pPr>
              <w:keepNext w:val="0"/>
              <w:keepLines w:val="0"/>
              <w:spacing w:line="800" w:lineRule="exact"/>
              <w:ind w:right="0"/>
              <w:rPr>
                <w:rFonts w:hint="eastAsia" w:ascii="宋体" w:hAnsi="宋体" w:eastAsia="宋体" w:cs="宋体"/>
                <w:sz w:val="28"/>
                <w:highlight w:val="none"/>
              </w:rPr>
            </w:pPr>
          </w:p>
        </w:tc>
        <w:tc>
          <w:tcPr>
            <w:tcW w:w="1165" w:type="dxa"/>
            <w:noWrap w:val="0"/>
            <w:vAlign w:val="top"/>
          </w:tcPr>
          <w:p w14:paraId="18062179">
            <w:pPr>
              <w:keepNext w:val="0"/>
              <w:keepLines w:val="0"/>
              <w:spacing w:line="800" w:lineRule="exact"/>
              <w:ind w:right="0"/>
              <w:rPr>
                <w:rFonts w:hint="eastAsia" w:ascii="宋体" w:hAnsi="宋体" w:eastAsia="宋体" w:cs="宋体"/>
                <w:sz w:val="28"/>
                <w:highlight w:val="none"/>
              </w:rPr>
            </w:pPr>
          </w:p>
        </w:tc>
        <w:tc>
          <w:tcPr>
            <w:tcW w:w="999" w:type="dxa"/>
            <w:noWrap w:val="0"/>
            <w:vAlign w:val="top"/>
          </w:tcPr>
          <w:p w14:paraId="6A50F224">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385E666A">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3F7A2E5C">
            <w:pPr>
              <w:keepNext w:val="0"/>
              <w:keepLines w:val="0"/>
              <w:spacing w:line="800" w:lineRule="exact"/>
              <w:ind w:right="0"/>
              <w:rPr>
                <w:rFonts w:hint="eastAsia" w:ascii="宋体" w:hAnsi="宋体" w:eastAsia="宋体" w:cs="宋体"/>
                <w:sz w:val="28"/>
                <w:highlight w:val="none"/>
              </w:rPr>
            </w:pPr>
          </w:p>
        </w:tc>
        <w:tc>
          <w:tcPr>
            <w:tcW w:w="1039" w:type="dxa"/>
            <w:noWrap w:val="0"/>
            <w:vAlign w:val="top"/>
          </w:tcPr>
          <w:p w14:paraId="0CC64042">
            <w:pPr>
              <w:keepNext w:val="0"/>
              <w:keepLines w:val="0"/>
              <w:spacing w:line="800" w:lineRule="exact"/>
              <w:ind w:right="0"/>
              <w:rPr>
                <w:rFonts w:hint="eastAsia" w:ascii="宋体" w:hAnsi="宋体" w:eastAsia="宋体" w:cs="宋体"/>
                <w:sz w:val="28"/>
                <w:highlight w:val="none"/>
              </w:rPr>
            </w:pPr>
          </w:p>
        </w:tc>
        <w:tc>
          <w:tcPr>
            <w:tcW w:w="1385" w:type="dxa"/>
            <w:noWrap w:val="0"/>
            <w:vAlign w:val="top"/>
          </w:tcPr>
          <w:p w14:paraId="5A52628A">
            <w:pPr>
              <w:keepNext w:val="0"/>
              <w:keepLines w:val="0"/>
              <w:spacing w:line="800" w:lineRule="exact"/>
              <w:ind w:right="0"/>
              <w:rPr>
                <w:rFonts w:hint="eastAsia" w:ascii="宋体" w:hAnsi="宋体" w:eastAsia="宋体" w:cs="宋体"/>
                <w:sz w:val="28"/>
                <w:highlight w:val="none"/>
              </w:rPr>
            </w:pPr>
          </w:p>
        </w:tc>
        <w:tc>
          <w:tcPr>
            <w:tcW w:w="1514" w:type="dxa"/>
            <w:noWrap w:val="0"/>
            <w:vAlign w:val="top"/>
          </w:tcPr>
          <w:p w14:paraId="280AF03E">
            <w:pPr>
              <w:keepNext w:val="0"/>
              <w:keepLines w:val="0"/>
              <w:spacing w:line="800" w:lineRule="exact"/>
              <w:ind w:right="0"/>
              <w:rPr>
                <w:rFonts w:hint="eastAsia" w:ascii="宋体" w:hAnsi="宋体" w:eastAsia="宋体" w:cs="宋体"/>
                <w:sz w:val="28"/>
                <w:highlight w:val="none"/>
              </w:rPr>
            </w:pPr>
          </w:p>
        </w:tc>
      </w:tr>
      <w:tr w14:paraId="46202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noWrap w:val="0"/>
            <w:vAlign w:val="top"/>
          </w:tcPr>
          <w:p w14:paraId="4DBFBAAF">
            <w:pPr>
              <w:keepNext w:val="0"/>
              <w:keepLines w:val="0"/>
              <w:spacing w:line="800" w:lineRule="exact"/>
              <w:ind w:right="0"/>
              <w:rPr>
                <w:rFonts w:hint="eastAsia" w:ascii="宋体" w:hAnsi="宋体" w:eastAsia="宋体" w:cs="宋体"/>
                <w:sz w:val="28"/>
                <w:highlight w:val="none"/>
              </w:rPr>
            </w:pPr>
          </w:p>
        </w:tc>
        <w:tc>
          <w:tcPr>
            <w:tcW w:w="1165" w:type="dxa"/>
            <w:noWrap w:val="0"/>
            <w:vAlign w:val="top"/>
          </w:tcPr>
          <w:p w14:paraId="4C080938">
            <w:pPr>
              <w:keepNext w:val="0"/>
              <w:keepLines w:val="0"/>
              <w:spacing w:line="800" w:lineRule="exact"/>
              <w:ind w:right="0"/>
              <w:rPr>
                <w:rFonts w:hint="eastAsia" w:ascii="宋体" w:hAnsi="宋体" w:eastAsia="宋体" w:cs="宋体"/>
                <w:sz w:val="28"/>
                <w:highlight w:val="none"/>
              </w:rPr>
            </w:pPr>
          </w:p>
        </w:tc>
        <w:tc>
          <w:tcPr>
            <w:tcW w:w="999" w:type="dxa"/>
            <w:noWrap w:val="0"/>
            <w:vAlign w:val="top"/>
          </w:tcPr>
          <w:p w14:paraId="04DCBAFF">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184B723F">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380F0EEC">
            <w:pPr>
              <w:keepNext w:val="0"/>
              <w:keepLines w:val="0"/>
              <w:spacing w:line="800" w:lineRule="exact"/>
              <w:ind w:right="0"/>
              <w:rPr>
                <w:rFonts w:hint="eastAsia" w:ascii="宋体" w:hAnsi="宋体" w:eastAsia="宋体" w:cs="宋体"/>
                <w:sz w:val="28"/>
                <w:highlight w:val="none"/>
              </w:rPr>
            </w:pPr>
          </w:p>
        </w:tc>
        <w:tc>
          <w:tcPr>
            <w:tcW w:w="1039" w:type="dxa"/>
            <w:noWrap w:val="0"/>
            <w:vAlign w:val="top"/>
          </w:tcPr>
          <w:p w14:paraId="22C35725">
            <w:pPr>
              <w:keepNext w:val="0"/>
              <w:keepLines w:val="0"/>
              <w:spacing w:line="800" w:lineRule="exact"/>
              <w:ind w:right="0"/>
              <w:rPr>
                <w:rFonts w:hint="eastAsia" w:ascii="宋体" w:hAnsi="宋体" w:eastAsia="宋体" w:cs="宋体"/>
                <w:sz w:val="28"/>
                <w:highlight w:val="none"/>
              </w:rPr>
            </w:pPr>
          </w:p>
        </w:tc>
        <w:tc>
          <w:tcPr>
            <w:tcW w:w="1385" w:type="dxa"/>
            <w:noWrap w:val="0"/>
            <w:vAlign w:val="top"/>
          </w:tcPr>
          <w:p w14:paraId="39E1E815">
            <w:pPr>
              <w:keepNext w:val="0"/>
              <w:keepLines w:val="0"/>
              <w:spacing w:line="800" w:lineRule="exact"/>
              <w:ind w:right="0"/>
              <w:rPr>
                <w:rFonts w:hint="eastAsia" w:ascii="宋体" w:hAnsi="宋体" w:eastAsia="宋体" w:cs="宋体"/>
                <w:sz w:val="28"/>
                <w:highlight w:val="none"/>
              </w:rPr>
            </w:pPr>
          </w:p>
        </w:tc>
        <w:tc>
          <w:tcPr>
            <w:tcW w:w="1514" w:type="dxa"/>
            <w:noWrap w:val="0"/>
            <w:vAlign w:val="top"/>
          </w:tcPr>
          <w:p w14:paraId="3717A7D1">
            <w:pPr>
              <w:keepNext w:val="0"/>
              <w:keepLines w:val="0"/>
              <w:spacing w:line="800" w:lineRule="exact"/>
              <w:ind w:right="0"/>
              <w:rPr>
                <w:rFonts w:hint="eastAsia" w:ascii="宋体" w:hAnsi="宋体" w:eastAsia="宋体" w:cs="宋体"/>
                <w:sz w:val="28"/>
                <w:highlight w:val="none"/>
              </w:rPr>
            </w:pPr>
          </w:p>
        </w:tc>
      </w:tr>
      <w:tr w14:paraId="5325D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noWrap w:val="0"/>
            <w:vAlign w:val="top"/>
          </w:tcPr>
          <w:p w14:paraId="381C2C54">
            <w:pPr>
              <w:keepNext w:val="0"/>
              <w:keepLines w:val="0"/>
              <w:spacing w:line="800" w:lineRule="exact"/>
              <w:ind w:right="0"/>
              <w:rPr>
                <w:rFonts w:hint="eastAsia" w:ascii="宋体" w:hAnsi="宋体" w:eastAsia="宋体" w:cs="宋体"/>
                <w:sz w:val="28"/>
                <w:highlight w:val="none"/>
              </w:rPr>
            </w:pPr>
          </w:p>
        </w:tc>
        <w:tc>
          <w:tcPr>
            <w:tcW w:w="1165" w:type="dxa"/>
            <w:noWrap w:val="0"/>
            <w:vAlign w:val="top"/>
          </w:tcPr>
          <w:p w14:paraId="06EE5EF3">
            <w:pPr>
              <w:keepNext w:val="0"/>
              <w:keepLines w:val="0"/>
              <w:spacing w:line="800" w:lineRule="exact"/>
              <w:ind w:right="0"/>
              <w:rPr>
                <w:rFonts w:hint="eastAsia" w:ascii="宋体" w:hAnsi="宋体" w:eastAsia="宋体" w:cs="宋体"/>
                <w:sz w:val="28"/>
                <w:highlight w:val="none"/>
              </w:rPr>
            </w:pPr>
          </w:p>
        </w:tc>
        <w:tc>
          <w:tcPr>
            <w:tcW w:w="999" w:type="dxa"/>
            <w:noWrap w:val="0"/>
            <w:vAlign w:val="top"/>
          </w:tcPr>
          <w:p w14:paraId="1DC510FC">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785D8E60">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5DE97993">
            <w:pPr>
              <w:keepNext w:val="0"/>
              <w:keepLines w:val="0"/>
              <w:spacing w:line="800" w:lineRule="exact"/>
              <w:ind w:right="0"/>
              <w:rPr>
                <w:rFonts w:hint="eastAsia" w:ascii="宋体" w:hAnsi="宋体" w:eastAsia="宋体" w:cs="宋体"/>
                <w:sz w:val="28"/>
                <w:highlight w:val="none"/>
              </w:rPr>
            </w:pPr>
          </w:p>
        </w:tc>
        <w:tc>
          <w:tcPr>
            <w:tcW w:w="1039" w:type="dxa"/>
            <w:noWrap w:val="0"/>
            <w:vAlign w:val="top"/>
          </w:tcPr>
          <w:p w14:paraId="5BF9AF9D">
            <w:pPr>
              <w:keepNext w:val="0"/>
              <w:keepLines w:val="0"/>
              <w:spacing w:line="800" w:lineRule="exact"/>
              <w:ind w:right="0"/>
              <w:rPr>
                <w:rFonts w:hint="eastAsia" w:ascii="宋体" w:hAnsi="宋体" w:eastAsia="宋体" w:cs="宋体"/>
                <w:sz w:val="28"/>
                <w:highlight w:val="none"/>
              </w:rPr>
            </w:pPr>
          </w:p>
        </w:tc>
        <w:tc>
          <w:tcPr>
            <w:tcW w:w="1385" w:type="dxa"/>
            <w:noWrap w:val="0"/>
            <w:vAlign w:val="top"/>
          </w:tcPr>
          <w:p w14:paraId="636EB679">
            <w:pPr>
              <w:keepNext w:val="0"/>
              <w:keepLines w:val="0"/>
              <w:spacing w:line="800" w:lineRule="exact"/>
              <w:ind w:right="0"/>
              <w:rPr>
                <w:rFonts w:hint="eastAsia" w:ascii="宋体" w:hAnsi="宋体" w:eastAsia="宋体" w:cs="宋体"/>
                <w:sz w:val="28"/>
                <w:highlight w:val="none"/>
              </w:rPr>
            </w:pPr>
          </w:p>
        </w:tc>
        <w:tc>
          <w:tcPr>
            <w:tcW w:w="1514" w:type="dxa"/>
            <w:noWrap w:val="0"/>
            <w:vAlign w:val="top"/>
          </w:tcPr>
          <w:p w14:paraId="2582EED5">
            <w:pPr>
              <w:keepNext w:val="0"/>
              <w:keepLines w:val="0"/>
              <w:spacing w:line="800" w:lineRule="exact"/>
              <w:ind w:right="0"/>
              <w:rPr>
                <w:rFonts w:hint="eastAsia" w:ascii="宋体" w:hAnsi="宋体" w:eastAsia="宋体" w:cs="宋体"/>
                <w:sz w:val="28"/>
                <w:highlight w:val="none"/>
              </w:rPr>
            </w:pPr>
          </w:p>
        </w:tc>
      </w:tr>
      <w:tr w14:paraId="6448D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noWrap w:val="0"/>
            <w:vAlign w:val="top"/>
          </w:tcPr>
          <w:p w14:paraId="03F441EC">
            <w:pPr>
              <w:keepNext w:val="0"/>
              <w:keepLines w:val="0"/>
              <w:spacing w:line="800" w:lineRule="exact"/>
              <w:ind w:right="0"/>
              <w:rPr>
                <w:rFonts w:hint="eastAsia" w:ascii="宋体" w:hAnsi="宋体" w:eastAsia="宋体" w:cs="宋体"/>
                <w:sz w:val="28"/>
                <w:highlight w:val="none"/>
              </w:rPr>
            </w:pPr>
          </w:p>
        </w:tc>
        <w:tc>
          <w:tcPr>
            <w:tcW w:w="1165" w:type="dxa"/>
            <w:noWrap w:val="0"/>
            <w:vAlign w:val="top"/>
          </w:tcPr>
          <w:p w14:paraId="194BF315">
            <w:pPr>
              <w:keepNext w:val="0"/>
              <w:keepLines w:val="0"/>
              <w:spacing w:line="800" w:lineRule="exact"/>
              <w:ind w:right="0"/>
              <w:rPr>
                <w:rFonts w:hint="eastAsia" w:ascii="宋体" w:hAnsi="宋体" w:eastAsia="宋体" w:cs="宋体"/>
                <w:sz w:val="28"/>
                <w:highlight w:val="none"/>
              </w:rPr>
            </w:pPr>
          </w:p>
        </w:tc>
        <w:tc>
          <w:tcPr>
            <w:tcW w:w="999" w:type="dxa"/>
            <w:noWrap w:val="0"/>
            <w:vAlign w:val="top"/>
          </w:tcPr>
          <w:p w14:paraId="06FCBB9C">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61868CAB">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2C6DD3FE">
            <w:pPr>
              <w:keepNext w:val="0"/>
              <w:keepLines w:val="0"/>
              <w:spacing w:line="800" w:lineRule="exact"/>
              <w:ind w:right="0"/>
              <w:rPr>
                <w:rFonts w:hint="eastAsia" w:ascii="宋体" w:hAnsi="宋体" w:eastAsia="宋体" w:cs="宋体"/>
                <w:sz w:val="28"/>
                <w:highlight w:val="none"/>
              </w:rPr>
            </w:pPr>
          </w:p>
        </w:tc>
        <w:tc>
          <w:tcPr>
            <w:tcW w:w="1039" w:type="dxa"/>
            <w:noWrap w:val="0"/>
            <w:vAlign w:val="top"/>
          </w:tcPr>
          <w:p w14:paraId="4FF9FEBA">
            <w:pPr>
              <w:keepNext w:val="0"/>
              <w:keepLines w:val="0"/>
              <w:spacing w:line="800" w:lineRule="exact"/>
              <w:ind w:right="0"/>
              <w:rPr>
                <w:rFonts w:hint="eastAsia" w:ascii="宋体" w:hAnsi="宋体" w:eastAsia="宋体" w:cs="宋体"/>
                <w:sz w:val="28"/>
                <w:highlight w:val="none"/>
              </w:rPr>
            </w:pPr>
          </w:p>
        </w:tc>
        <w:tc>
          <w:tcPr>
            <w:tcW w:w="1385" w:type="dxa"/>
            <w:noWrap w:val="0"/>
            <w:vAlign w:val="top"/>
          </w:tcPr>
          <w:p w14:paraId="2028EA5C">
            <w:pPr>
              <w:keepNext w:val="0"/>
              <w:keepLines w:val="0"/>
              <w:spacing w:line="800" w:lineRule="exact"/>
              <w:ind w:right="0"/>
              <w:rPr>
                <w:rFonts w:hint="eastAsia" w:ascii="宋体" w:hAnsi="宋体" w:eastAsia="宋体" w:cs="宋体"/>
                <w:sz w:val="28"/>
                <w:highlight w:val="none"/>
              </w:rPr>
            </w:pPr>
          </w:p>
        </w:tc>
        <w:tc>
          <w:tcPr>
            <w:tcW w:w="1514" w:type="dxa"/>
            <w:noWrap w:val="0"/>
            <w:vAlign w:val="top"/>
          </w:tcPr>
          <w:p w14:paraId="25E8A6AE">
            <w:pPr>
              <w:keepNext w:val="0"/>
              <w:keepLines w:val="0"/>
              <w:spacing w:line="800" w:lineRule="exact"/>
              <w:ind w:right="0"/>
              <w:rPr>
                <w:rFonts w:hint="eastAsia" w:ascii="宋体" w:hAnsi="宋体" w:eastAsia="宋体" w:cs="宋体"/>
                <w:sz w:val="28"/>
                <w:highlight w:val="none"/>
              </w:rPr>
            </w:pPr>
          </w:p>
        </w:tc>
      </w:tr>
      <w:tr w14:paraId="35099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noWrap w:val="0"/>
            <w:vAlign w:val="top"/>
          </w:tcPr>
          <w:p w14:paraId="7E39B765">
            <w:pPr>
              <w:keepNext w:val="0"/>
              <w:keepLines w:val="0"/>
              <w:spacing w:line="800" w:lineRule="exact"/>
              <w:ind w:right="0"/>
              <w:rPr>
                <w:rFonts w:hint="eastAsia" w:ascii="宋体" w:hAnsi="宋体" w:eastAsia="宋体" w:cs="宋体"/>
                <w:sz w:val="28"/>
                <w:highlight w:val="none"/>
              </w:rPr>
            </w:pPr>
          </w:p>
        </w:tc>
        <w:tc>
          <w:tcPr>
            <w:tcW w:w="1165" w:type="dxa"/>
            <w:noWrap w:val="0"/>
            <w:vAlign w:val="top"/>
          </w:tcPr>
          <w:p w14:paraId="36D89B43">
            <w:pPr>
              <w:keepNext w:val="0"/>
              <w:keepLines w:val="0"/>
              <w:spacing w:line="800" w:lineRule="exact"/>
              <w:ind w:right="0"/>
              <w:rPr>
                <w:rFonts w:hint="eastAsia" w:ascii="宋体" w:hAnsi="宋体" w:eastAsia="宋体" w:cs="宋体"/>
                <w:sz w:val="28"/>
                <w:highlight w:val="none"/>
              </w:rPr>
            </w:pPr>
          </w:p>
        </w:tc>
        <w:tc>
          <w:tcPr>
            <w:tcW w:w="999" w:type="dxa"/>
            <w:noWrap w:val="0"/>
            <w:vAlign w:val="top"/>
          </w:tcPr>
          <w:p w14:paraId="1D1BAF3D">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3156747A">
            <w:pPr>
              <w:keepNext w:val="0"/>
              <w:keepLines w:val="0"/>
              <w:spacing w:line="800" w:lineRule="exact"/>
              <w:ind w:right="0"/>
              <w:rPr>
                <w:rFonts w:hint="eastAsia" w:ascii="宋体" w:hAnsi="宋体" w:eastAsia="宋体" w:cs="宋体"/>
                <w:sz w:val="28"/>
                <w:highlight w:val="none"/>
              </w:rPr>
            </w:pPr>
          </w:p>
        </w:tc>
        <w:tc>
          <w:tcPr>
            <w:tcW w:w="1125" w:type="dxa"/>
            <w:noWrap w:val="0"/>
            <w:vAlign w:val="top"/>
          </w:tcPr>
          <w:p w14:paraId="36379677">
            <w:pPr>
              <w:keepNext w:val="0"/>
              <w:keepLines w:val="0"/>
              <w:spacing w:line="800" w:lineRule="exact"/>
              <w:ind w:right="0"/>
              <w:rPr>
                <w:rFonts w:hint="eastAsia" w:ascii="宋体" w:hAnsi="宋体" w:eastAsia="宋体" w:cs="宋体"/>
                <w:sz w:val="28"/>
                <w:highlight w:val="none"/>
              </w:rPr>
            </w:pPr>
          </w:p>
        </w:tc>
        <w:tc>
          <w:tcPr>
            <w:tcW w:w="1039" w:type="dxa"/>
            <w:noWrap w:val="0"/>
            <w:vAlign w:val="top"/>
          </w:tcPr>
          <w:p w14:paraId="5AD7000A">
            <w:pPr>
              <w:keepNext w:val="0"/>
              <w:keepLines w:val="0"/>
              <w:spacing w:line="800" w:lineRule="exact"/>
              <w:ind w:right="0"/>
              <w:rPr>
                <w:rFonts w:hint="eastAsia" w:ascii="宋体" w:hAnsi="宋体" w:eastAsia="宋体" w:cs="宋体"/>
                <w:sz w:val="28"/>
                <w:highlight w:val="none"/>
              </w:rPr>
            </w:pPr>
          </w:p>
        </w:tc>
        <w:tc>
          <w:tcPr>
            <w:tcW w:w="1385" w:type="dxa"/>
            <w:noWrap w:val="0"/>
            <w:vAlign w:val="top"/>
          </w:tcPr>
          <w:p w14:paraId="0177935C">
            <w:pPr>
              <w:keepNext w:val="0"/>
              <w:keepLines w:val="0"/>
              <w:spacing w:line="800" w:lineRule="exact"/>
              <w:ind w:right="0"/>
              <w:rPr>
                <w:rFonts w:hint="eastAsia" w:ascii="宋体" w:hAnsi="宋体" w:eastAsia="宋体" w:cs="宋体"/>
                <w:sz w:val="28"/>
                <w:highlight w:val="none"/>
              </w:rPr>
            </w:pPr>
          </w:p>
        </w:tc>
        <w:tc>
          <w:tcPr>
            <w:tcW w:w="1514" w:type="dxa"/>
            <w:noWrap w:val="0"/>
            <w:vAlign w:val="top"/>
          </w:tcPr>
          <w:p w14:paraId="7FF4FE9D">
            <w:pPr>
              <w:keepNext w:val="0"/>
              <w:keepLines w:val="0"/>
              <w:spacing w:line="800" w:lineRule="exact"/>
              <w:ind w:right="0"/>
              <w:rPr>
                <w:rFonts w:hint="eastAsia" w:ascii="宋体" w:hAnsi="宋体" w:eastAsia="宋体" w:cs="宋体"/>
                <w:sz w:val="28"/>
                <w:highlight w:val="none"/>
              </w:rPr>
            </w:pPr>
          </w:p>
        </w:tc>
      </w:tr>
    </w:tbl>
    <w:p w14:paraId="44B5E59C">
      <w:pPr>
        <w:pStyle w:val="196"/>
        <w:keepNext w:val="0"/>
        <w:keepLines w:val="0"/>
        <w:spacing w:line="640" w:lineRule="exact"/>
        <w:ind w:right="0"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zh-CN"/>
        </w:rPr>
        <w:t>电子签章</w:t>
      </w:r>
      <w:r>
        <w:rPr>
          <w:rFonts w:hint="eastAsia" w:ascii="宋体" w:hAnsi="宋体" w:eastAsia="宋体" w:cs="宋体"/>
          <w:sz w:val="24"/>
          <w:szCs w:val="24"/>
          <w:highlight w:val="none"/>
          <w:u w:val="single"/>
        </w:rPr>
        <w:t xml:space="preserve">）     </w:t>
      </w:r>
    </w:p>
    <w:p w14:paraId="180A58A6">
      <w:pPr>
        <w:pStyle w:val="196"/>
        <w:keepNext w:val="0"/>
        <w:keepLines w:val="0"/>
        <w:spacing w:line="640" w:lineRule="exact"/>
        <w:ind w:right="0"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法定代表人或其委托受托人签字：</w:t>
      </w:r>
      <w:r>
        <w:rPr>
          <w:rFonts w:hint="eastAsia" w:ascii="宋体" w:hAnsi="宋体" w:eastAsia="宋体" w:cs="宋体"/>
          <w:sz w:val="24"/>
          <w:szCs w:val="24"/>
          <w:highlight w:val="none"/>
          <w:u w:val="single"/>
        </w:rPr>
        <w:t xml:space="preserve">               </w:t>
      </w:r>
    </w:p>
    <w:p w14:paraId="2C1F7522">
      <w:pPr>
        <w:keepNext w:val="0"/>
        <w:keepLines w:val="0"/>
        <w:spacing w:line="440" w:lineRule="exact"/>
        <w:ind w:right="0" w:firstLine="2877"/>
        <w:rPr>
          <w:rFonts w:hint="eastAsia" w:ascii="宋体" w:hAnsi="宋体" w:eastAsia="宋体" w:cs="宋体"/>
          <w:b/>
          <w:sz w:val="36"/>
          <w:highlight w:val="none"/>
        </w:rPr>
      </w:pPr>
      <w:bookmarkStart w:id="52" w:name="_Toc157775454"/>
    </w:p>
    <w:p w14:paraId="668A4A0B">
      <w:pPr>
        <w:keepNext w:val="0"/>
        <w:keepLines w:val="0"/>
        <w:spacing w:line="440" w:lineRule="exact"/>
        <w:ind w:right="0" w:firstLine="2877"/>
        <w:rPr>
          <w:rFonts w:hint="eastAsia" w:ascii="宋体" w:hAnsi="宋体" w:eastAsia="宋体" w:cs="宋体"/>
          <w:b/>
          <w:sz w:val="36"/>
          <w:highlight w:val="none"/>
        </w:rPr>
      </w:pPr>
    </w:p>
    <w:p w14:paraId="387451FE">
      <w:pPr>
        <w:keepNext w:val="0"/>
        <w:keepLines w:val="0"/>
        <w:spacing w:line="440" w:lineRule="exact"/>
        <w:ind w:right="0" w:firstLine="2877"/>
        <w:rPr>
          <w:rFonts w:hint="eastAsia" w:ascii="宋体" w:hAnsi="宋体" w:eastAsia="宋体" w:cs="宋体"/>
          <w:b/>
          <w:sz w:val="36"/>
          <w:highlight w:val="none"/>
        </w:rPr>
      </w:pPr>
    </w:p>
    <w:p w14:paraId="4BFDD5EB">
      <w:pPr>
        <w:keepNext w:val="0"/>
        <w:keepLines w:val="0"/>
        <w:spacing w:line="440" w:lineRule="exact"/>
        <w:ind w:right="0" w:firstLine="2877"/>
        <w:rPr>
          <w:rFonts w:hint="eastAsia" w:ascii="宋体" w:hAnsi="宋体" w:eastAsia="宋体" w:cs="宋体"/>
          <w:b/>
          <w:sz w:val="36"/>
          <w:highlight w:val="none"/>
        </w:rPr>
      </w:pPr>
    </w:p>
    <w:p w14:paraId="70BFFE27">
      <w:pPr>
        <w:keepNext w:val="0"/>
        <w:keepLines w:val="0"/>
        <w:spacing w:line="440" w:lineRule="exact"/>
        <w:ind w:right="0" w:firstLine="2877"/>
        <w:rPr>
          <w:rFonts w:hint="eastAsia" w:ascii="宋体" w:hAnsi="宋体" w:eastAsia="宋体" w:cs="宋体"/>
          <w:b/>
          <w:sz w:val="36"/>
          <w:highlight w:val="none"/>
        </w:rPr>
      </w:pPr>
    </w:p>
    <w:p w14:paraId="16EB7A0A">
      <w:pPr>
        <w:keepNext w:val="0"/>
        <w:keepLines w:val="0"/>
        <w:spacing w:line="440" w:lineRule="exact"/>
        <w:ind w:right="0" w:firstLine="2877"/>
        <w:rPr>
          <w:rFonts w:hint="eastAsia" w:ascii="宋体" w:hAnsi="宋体" w:eastAsia="宋体" w:cs="宋体"/>
          <w:b/>
          <w:sz w:val="36"/>
          <w:highlight w:val="none"/>
        </w:rPr>
      </w:pPr>
    </w:p>
    <w:p w14:paraId="261239B7">
      <w:pPr>
        <w:keepNext w:val="0"/>
        <w:keepLines w:val="0"/>
        <w:spacing w:line="440" w:lineRule="exact"/>
        <w:ind w:right="0" w:firstLine="2877"/>
        <w:rPr>
          <w:rFonts w:hint="eastAsia" w:ascii="宋体" w:hAnsi="宋体" w:eastAsia="宋体" w:cs="宋体"/>
          <w:b/>
          <w:sz w:val="36"/>
          <w:highlight w:val="none"/>
        </w:rPr>
      </w:pPr>
    </w:p>
    <w:p w14:paraId="0AB2DC42">
      <w:pPr>
        <w:keepNext w:val="0"/>
        <w:keepLines w:val="0"/>
        <w:pageBreakBefore/>
        <w:spacing w:line="520" w:lineRule="exact"/>
        <w:ind w:right="0"/>
        <w:jc w:val="left"/>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六</w:t>
      </w:r>
      <w:r>
        <w:rPr>
          <w:rFonts w:hint="eastAsia" w:ascii="宋体" w:hAnsi="宋体" w:eastAsia="宋体" w:cs="宋体"/>
          <w:b/>
          <w:bCs/>
          <w:sz w:val="32"/>
          <w:szCs w:val="32"/>
          <w:highlight w:val="none"/>
        </w:rPr>
        <w:t>、资质审查时</w:t>
      </w:r>
      <w:r>
        <w:rPr>
          <w:rFonts w:hint="eastAsia" w:ascii="宋体" w:hAnsi="宋体" w:eastAsia="宋体" w:cs="宋体"/>
          <w:b/>
          <w:bCs/>
          <w:sz w:val="32"/>
          <w:szCs w:val="32"/>
          <w:highlight w:val="none"/>
          <w:lang w:eastAsia="zh-CN"/>
        </w:rPr>
        <w:t>投标人</w:t>
      </w:r>
      <w:r>
        <w:rPr>
          <w:rFonts w:hint="eastAsia" w:ascii="宋体" w:hAnsi="宋体" w:eastAsia="宋体" w:cs="宋体"/>
          <w:b/>
          <w:bCs/>
          <w:sz w:val="32"/>
          <w:szCs w:val="32"/>
          <w:highlight w:val="none"/>
        </w:rPr>
        <w:t>必须提交的资格证明文件</w:t>
      </w:r>
    </w:p>
    <w:p w14:paraId="1575A679">
      <w:pPr>
        <w:keepNext w:val="0"/>
        <w:keepLines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符合《中华人民共和国政府采购法》第二十二条规定</w:t>
      </w:r>
      <w:r>
        <w:rPr>
          <w:rFonts w:hint="eastAsia" w:ascii="宋体" w:hAnsi="宋体" w:eastAsia="宋体" w:cs="宋体"/>
          <w:sz w:val="24"/>
          <w:highlight w:val="none"/>
          <w:lang w:val="en-US" w:eastAsia="zh-CN"/>
        </w:rPr>
        <w:t>条件</w:t>
      </w:r>
      <w:r>
        <w:rPr>
          <w:rFonts w:hint="eastAsia" w:ascii="宋体" w:hAnsi="宋体" w:eastAsia="宋体" w:cs="宋体"/>
          <w:sz w:val="24"/>
          <w:highlight w:val="none"/>
          <w:lang w:eastAsia="zh-CN"/>
        </w:rPr>
        <w:t>的</w:t>
      </w:r>
      <w:r>
        <w:rPr>
          <w:rFonts w:hint="eastAsia" w:ascii="宋体" w:hAnsi="宋体" w:eastAsia="宋体" w:cs="宋体"/>
          <w:sz w:val="24"/>
          <w:highlight w:val="none"/>
          <w:lang w:val="en-US" w:eastAsia="zh-CN"/>
        </w:rPr>
        <w:t>声明函</w:t>
      </w:r>
      <w:r>
        <w:rPr>
          <w:rFonts w:hint="eastAsia" w:ascii="宋体" w:hAnsi="宋体" w:eastAsia="宋体" w:cs="宋体"/>
          <w:sz w:val="24"/>
          <w:highlight w:val="none"/>
          <w:lang w:eastAsia="zh-CN"/>
        </w:rPr>
        <w:t>；</w:t>
      </w:r>
      <w:r>
        <w:rPr>
          <w:rFonts w:hint="eastAsia" w:ascii="宋体" w:hAnsi="宋体" w:eastAsia="宋体" w:cs="宋体"/>
          <w:b/>
          <w:bCs/>
          <w:sz w:val="24"/>
          <w:highlight w:val="none"/>
        </w:rPr>
        <w:t>（格式按照示范格式三要求提供）</w:t>
      </w:r>
    </w:p>
    <w:p w14:paraId="33D4AF23">
      <w:pPr>
        <w:keepNext w:val="0"/>
        <w:keepLines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w:t>
      </w:r>
      <w:r>
        <w:rPr>
          <w:rFonts w:hint="eastAsia" w:ascii="宋体" w:hAnsi="宋体" w:cs="宋体"/>
          <w:sz w:val="24"/>
          <w:highlight w:val="none"/>
          <w:lang w:eastAsia="zh-CN"/>
        </w:rPr>
        <w:t>投标</w:t>
      </w:r>
      <w:r>
        <w:rPr>
          <w:rFonts w:hint="eastAsia" w:ascii="宋体" w:hAnsi="宋体" w:eastAsia="宋体" w:cs="宋体"/>
          <w:sz w:val="24"/>
          <w:highlight w:val="none"/>
          <w:lang w:eastAsia="zh-CN"/>
        </w:rPr>
        <w:t>人</w:t>
      </w:r>
      <w:r>
        <w:rPr>
          <w:rFonts w:hint="eastAsia" w:ascii="宋体" w:hAnsi="宋体" w:eastAsia="宋体" w:cs="宋体"/>
          <w:sz w:val="24"/>
          <w:highlight w:val="none"/>
        </w:rPr>
        <w:t>提供下列之一</w:t>
      </w:r>
      <w:r>
        <w:rPr>
          <w:rFonts w:hint="eastAsia" w:ascii="宋体" w:hAnsi="宋体" w:eastAsia="宋体" w:cs="宋体"/>
          <w:b/>
          <w:bCs/>
          <w:sz w:val="24"/>
          <w:highlight w:val="none"/>
        </w:rPr>
        <w:t>（提供相关材料）：</w:t>
      </w:r>
    </w:p>
    <w:p w14:paraId="4139E545">
      <w:pPr>
        <w:keepNext w:val="0"/>
        <w:keepLines w:val="0"/>
        <w:spacing w:line="440" w:lineRule="exact"/>
        <w:ind w:right="0" w:firstLine="480"/>
        <w:jc w:val="left"/>
        <w:rPr>
          <w:rFonts w:hint="eastAsia" w:ascii="宋体" w:hAnsi="宋体" w:eastAsia="宋体" w:cs="宋体"/>
          <w:b/>
          <w:bCs/>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法定代表人参加</w:t>
      </w:r>
      <w:r>
        <w:rPr>
          <w:rFonts w:hint="eastAsia" w:ascii="宋体" w:hAnsi="宋体" w:eastAsia="宋体" w:cs="宋体"/>
          <w:sz w:val="24"/>
          <w:highlight w:val="none"/>
          <w:lang w:eastAsia="zh-CN"/>
        </w:rPr>
        <w:t>投标</w:t>
      </w:r>
      <w:r>
        <w:rPr>
          <w:rFonts w:hint="eastAsia" w:ascii="宋体" w:hAnsi="宋体" w:eastAsia="宋体" w:cs="宋体"/>
          <w:sz w:val="24"/>
          <w:highlight w:val="none"/>
        </w:rPr>
        <w:t>的，提供法定代表人资格证明（格式按照示范格式一要求）和法定代表人有效身份证</w:t>
      </w:r>
      <w:r>
        <w:rPr>
          <w:rFonts w:hint="eastAsia" w:ascii="宋体" w:hAnsi="宋体" w:eastAsia="宋体" w:cs="宋体"/>
          <w:b/>
          <w:bCs/>
          <w:sz w:val="24"/>
          <w:highlight w:val="none"/>
        </w:rPr>
        <w:t>（提供法人资格证明和身份证原件扫描件）；</w:t>
      </w:r>
    </w:p>
    <w:p w14:paraId="3327B1DD">
      <w:pPr>
        <w:keepNext w:val="0"/>
        <w:keepLines w:val="0"/>
        <w:spacing w:line="440" w:lineRule="exact"/>
        <w:ind w:right="0" w:firstLine="480"/>
        <w:jc w:val="left"/>
        <w:rPr>
          <w:rFonts w:hint="eastAsia" w:ascii="宋体" w:hAnsi="宋体" w:eastAsia="宋体" w:cs="宋体"/>
          <w:b/>
          <w:bCs/>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授权委托人参加</w:t>
      </w:r>
      <w:r>
        <w:rPr>
          <w:rFonts w:hint="eastAsia" w:ascii="宋体" w:hAnsi="宋体" w:eastAsia="宋体" w:cs="宋体"/>
          <w:sz w:val="24"/>
          <w:highlight w:val="none"/>
          <w:lang w:eastAsia="zh-CN"/>
        </w:rPr>
        <w:t>投标</w:t>
      </w:r>
      <w:r>
        <w:rPr>
          <w:rFonts w:hint="eastAsia" w:ascii="宋体" w:hAnsi="宋体" w:eastAsia="宋体" w:cs="宋体"/>
          <w:sz w:val="24"/>
          <w:highlight w:val="none"/>
        </w:rPr>
        <w:t>的，提供授权委托书（格式按照示范格式二要求）和受托人有效身份证</w:t>
      </w:r>
      <w:r>
        <w:rPr>
          <w:rFonts w:hint="eastAsia" w:ascii="宋体" w:hAnsi="宋体" w:eastAsia="宋体" w:cs="宋体"/>
          <w:b/>
          <w:bCs/>
          <w:sz w:val="24"/>
          <w:highlight w:val="none"/>
        </w:rPr>
        <w:t>（提供授权委托书和身份证原件扫描件）。</w:t>
      </w:r>
    </w:p>
    <w:p w14:paraId="103915F6">
      <w:pPr>
        <w:keepNext w:val="0"/>
        <w:keepLines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落实政府采购政策需满足的资格要求</w:t>
      </w:r>
      <w:r>
        <w:rPr>
          <w:rFonts w:hint="eastAsia" w:ascii="宋体" w:hAnsi="宋体" w:eastAsia="宋体" w:cs="宋体"/>
          <w:b/>
          <w:bCs/>
          <w:sz w:val="24"/>
          <w:highlight w:val="none"/>
        </w:rPr>
        <w:t>（提供下列任一项材料即可）</w:t>
      </w:r>
      <w:r>
        <w:rPr>
          <w:rFonts w:hint="eastAsia" w:ascii="宋体" w:hAnsi="宋体" w:eastAsia="宋体" w:cs="宋体"/>
          <w:sz w:val="24"/>
          <w:highlight w:val="none"/>
        </w:rPr>
        <w:t>：</w:t>
      </w:r>
    </w:p>
    <w:p w14:paraId="3ACC376A">
      <w:pPr>
        <w:keepNext w:val="0"/>
        <w:keepLines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中小</w:t>
      </w:r>
      <w:r>
        <w:rPr>
          <w:rFonts w:hint="eastAsia" w:ascii="宋体" w:hAnsi="宋体" w:eastAsia="宋体" w:cs="宋体"/>
          <w:sz w:val="24"/>
          <w:highlight w:val="none"/>
        </w:rPr>
        <w:t>企业声明函</w:t>
      </w:r>
      <w:r>
        <w:rPr>
          <w:rFonts w:hint="eastAsia" w:ascii="宋体" w:hAnsi="宋体" w:eastAsia="宋体" w:cs="宋体"/>
          <w:b/>
          <w:bCs/>
          <w:sz w:val="24"/>
          <w:highlight w:val="none"/>
        </w:rPr>
        <w:t>（按示范格式</w:t>
      </w:r>
      <w:r>
        <w:rPr>
          <w:rFonts w:hint="eastAsia" w:ascii="宋体" w:hAnsi="宋体" w:eastAsia="宋体" w:cs="宋体"/>
          <w:b/>
          <w:bCs/>
          <w:sz w:val="24"/>
          <w:highlight w:val="none"/>
          <w:lang w:val="en-US" w:eastAsia="zh-CN"/>
        </w:rPr>
        <w:t>四</w:t>
      </w:r>
      <w:r>
        <w:rPr>
          <w:rFonts w:hint="eastAsia" w:ascii="宋体" w:hAnsi="宋体" w:eastAsia="宋体" w:cs="宋体"/>
          <w:b/>
          <w:bCs/>
          <w:sz w:val="24"/>
          <w:highlight w:val="none"/>
        </w:rPr>
        <w:t>要求提供）</w:t>
      </w:r>
      <w:r>
        <w:rPr>
          <w:rFonts w:hint="eastAsia" w:ascii="宋体" w:hAnsi="宋体" w:eastAsia="宋体" w:cs="宋体"/>
          <w:sz w:val="24"/>
          <w:highlight w:val="none"/>
        </w:rPr>
        <w:t>；</w:t>
      </w:r>
    </w:p>
    <w:p w14:paraId="0AC6E43E">
      <w:pPr>
        <w:keepNext w:val="0"/>
        <w:keepLines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（2）《残疾人福利性单位声明函》</w:t>
      </w:r>
      <w:r>
        <w:rPr>
          <w:rFonts w:hint="eastAsia" w:ascii="宋体" w:hAnsi="宋体" w:eastAsia="宋体" w:cs="宋体"/>
          <w:b/>
          <w:bCs/>
          <w:sz w:val="24"/>
          <w:highlight w:val="none"/>
        </w:rPr>
        <w:t>（按示范格式</w:t>
      </w:r>
      <w:r>
        <w:rPr>
          <w:rFonts w:hint="eastAsia" w:ascii="宋体" w:hAnsi="宋体" w:eastAsia="宋体" w:cs="宋体"/>
          <w:b/>
          <w:bCs/>
          <w:sz w:val="24"/>
          <w:highlight w:val="none"/>
          <w:lang w:val="en-US" w:eastAsia="zh-CN"/>
        </w:rPr>
        <w:t>五</w:t>
      </w:r>
      <w:r>
        <w:rPr>
          <w:rFonts w:hint="eastAsia" w:ascii="宋体" w:hAnsi="宋体" w:eastAsia="宋体" w:cs="宋体"/>
          <w:b/>
          <w:bCs/>
          <w:sz w:val="24"/>
          <w:highlight w:val="none"/>
        </w:rPr>
        <w:t>要求提供）</w:t>
      </w:r>
      <w:r>
        <w:rPr>
          <w:rFonts w:hint="eastAsia" w:ascii="宋体" w:hAnsi="宋体" w:eastAsia="宋体" w:cs="宋体"/>
          <w:sz w:val="24"/>
          <w:highlight w:val="none"/>
        </w:rPr>
        <w:t>；</w:t>
      </w:r>
    </w:p>
    <w:p w14:paraId="00D59913">
      <w:pPr>
        <w:keepNext w:val="0"/>
        <w:keepLines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（3）由省级以上监狱管理局、戒毒管理局（含新疆生产建设兵团）出具的属于监狱企业的证明文件。</w:t>
      </w:r>
      <w:r>
        <w:rPr>
          <w:rFonts w:hint="eastAsia" w:ascii="宋体" w:hAnsi="宋体" w:eastAsia="宋体" w:cs="宋体"/>
          <w:b/>
          <w:bCs/>
          <w:sz w:val="24"/>
          <w:highlight w:val="none"/>
        </w:rPr>
        <w:t>（提供加盖出具单位公章的原件扫描件上传）</w:t>
      </w:r>
    </w:p>
    <w:p w14:paraId="73993C71">
      <w:pPr>
        <w:keepNext w:val="0"/>
        <w:keepLines w:val="0"/>
        <w:numPr>
          <w:ilvl w:val="0"/>
          <w:numId w:val="0"/>
        </w:numPr>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szCs w:val="24"/>
          <w:lang w:val="en-US" w:eastAsia="zh-CN" w:bidi="ar-SA"/>
        </w:rPr>
        <w:t>4.</w:t>
      </w:r>
      <w:r>
        <w:rPr>
          <w:rFonts w:hint="eastAsia" w:ascii="宋体" w:hAnsi="宋体" w:eastAsia="宋体" w:cs="宋体"/>
          <w:sz w:val="24"/>
          <w:szCs w:val="24"/>
          <w:highlight w:val="none"/>
        </w:rPr>
        <w:t>本项目不接受联合体</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参加</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w:t>
      </w:r>
      <w:r>
        <w:rPr>
          <w:rFonts w:hint="eastAsia" w:ascii="宋体" w:hAnsi="宋体" w:eastAsia="宋体" w:cs="宋体"/>
          <w:b/>
          <w:bCs/>
          <w:sz w:val="24"/>
          <w:highlight w:val="none"/>
        </w:rPr>
        <w:t>（不是联合体即可）</w:t>
      </w:r>
    </w:p>
    <w:p w14:paraId="7442A9B0">
      <w:pPr>
        <w:keepNext w:val="0"/>
        <w:keepLines w:val="0"/>
        <w:spacing w:line="440" w:lineRule="exact"/>
        <w:ind w:right="0" w:firstLine="480"/>
        <w:jc w:val="left"/>
        <w:rPr>
          <w:rFonts w:hint="eastAsia" w:ascii="宋体" w:hAnsi="宋体" w:eastAsia="宋体" w:cs="宋体"/>
          <w:b/>
          <w:bCs/>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拒绝符合下述条件的</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参加本次采购活动</w:t>
      </w:r>
      <w:r>
        <w:rPr>
          <w:rFonts w:hint="eastAsia" w:ascii="宋体" w:hAnsi="宋体" w:eastAsia="宋体" w:cs="宋体"/>
          <w:b/>
          <w:bCs/>
          <w:sz w:val="24"/>
          <w:highlight w:val="none"/>
        </w:rPr>
        <w:t>（按示范格式</w:t>
      </w:r>
      <w:r>
        <w:rPr>
          <w:rFonts w:hint="eastAsia" w:ascii="宋体" w:hAnsi="宋体" w:eastAsia="宋体" w:cs="宋体"/>
          <w:b/>
          <w:bCs/>
          <w:sz w:val="24"/>
          <w:highlight w:val="none"/>
          <w:lang w:val="en-US" w:eastAsia="zh-CN"/>
        </w:rPr>
        <w:t>六</w:t>
      </w:r>
      <w:r>
        <w:rPr>
          <w:rFonts w:hint="eastAsia" w:ascii="宋体" w:hAnsi="宋体" w:eastAsia="宋体" w:cs="宋体"/>
          <w:b/>
          <w:bCs/>
          <w:sz w:val="24"/>
          <w:highlight w:val="none"/>
        </w:rPr>
        <w:t>要求提供）：</w:t>
      </w:r>
    </w:p>
    <w:p w14:paraId="6DCFA548">
      <w:pPr>
        <w:keepNext w:val="0"/>
        <w:keepLines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单位负责人为同一人或者存在直接控股、管理关系的不同</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，不得同时参加同一合同项下的政府采购活动；</w:t>
      </w:r>
    </w:p>
    <w:p w14:paraId="0167AAF2">
      <w:pPr>
        <w:keepNext w:val="0"/>
        <w:keepLines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（2）凡为采购项目提供整体设计、规范编制或者项目管理、监理、检测等服务的</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，不得再参加本项目的采购活动；</w:t>
      </w:r>
    </w:p>
    <w:p w14:paraId="64E76CED">
      <w:pPr>
        <w:keepNext w:val="0"/>
        <w:keepLines w:val="0"/>
        <w:spacing w:line="440" w:lineRule="exact"/>
        <w:ind w:right="0" w:firstLine="480"/>
        <w:jc w:val="left"/>
        <w:rPr>
          <w:rFonts w:hint="eastAsia" w:ascii="宋体" w:hAnsi="宋体" w:eastAsia="宋体" w:cs="宋体"/>
          <w:b/>
          <w:bCs/>
          <w:sz w:val="24"/>
          <w:highlight w:val="none"/>
        </w:rPr>
      </w:pPr>
      <w:r>
        <w:rPr>
          <w:rFonts w:hint="eastAsia" w:ascii="宋体" w:hAnsi="宋体" w:eastAsia="宋体" w:cs="宋体"/>
          <w:sz w:val="24"/>
          <w:highlight w:val="none"/>
        </w:rPr>
        <w:t>（3）“列入失信被执行人、重大税收违法案件当事人名单、政府采购严重违法失信行为记录名单中的</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不得参加本项目的采购活动”的书面承诺。</w:t>
      </w:r>
    </w:p>
    <w:p w14:paraId="54DE4998">
      <w:pPr>
        <w:keepNext w:val="0"/>
        <w:keepLines w:val="0"/>
        <w:spacing w:line="440" w:lineRule="exact"/>
        <w:ind w:right="0" w:firstLine="480"/>
        <w:jc w:val="left"/>
        <w:rPr>
          <w:rFonts w:hint="eastAsia" w:ascii="宋体" w:hAnsi="宋体" w:eastAsia="宋体" w:cs="宋体"/>
          <w:b/>
          <w:bCs/>
          <w:sz w:val="24"/>
          <w:highlight w:val="none"/>
        </w:rPr>
      </w:pPr>
      <w:r>
        <w:rPr>
          <w:rFonts w:hint="eastAsia" w:ascii="宋体" w:hAnsi="宋体" w:eastAsia="宋体" w:cs="宋体"/>
          <w:sz w:val="24"/>
          <w:highlight w:val="none"/>
        </w:rPr>
        <w:t>采购人（代理机构）通过“信用中国”网站（www.creditchina.gov.cn）、“中国政府采购网”网站（www.ccgp.gov.cn）等渠道查询</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在采购公告发布之日前的信用记录并保存，查询结果以网页打印的形式留存并归档。</w:t>
      </w:r>
    </w:p>
    <w:p w14:paraId="2E1053FB">
      <w:pPr>
        <w:keepNext w:val="0"/>
        <w:keepLines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注：</w:t>
      </w:r>
    </w:p>
    <w:p w14:paraId="13D7AACC">
      <w:pPr>
        <w:keepNext w:val="0"/>
        <w:keepLines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以上所有要求提供的证明材料在投标截止时间之前</w:t>
      </w:r>
      <w:r>
        <w:rPr>
          <w:rFonts w:hint="eastAsia" w:ascii="宋体" w:hAnsi="宋体" w:eastAsia="宋体" w:cs="宋体"/>
          <w:sz w:val="24"/>
          <w:highlight w:val="none"/>
          <w:lang w:eastAsia="zh-CN"/>
        </w:rPr>
        <w:t>，使</w:t>
      </w:r>
      <w:r>
        <w:rPr>
          <w:rFonts w:hint="eastAsia" w:ascii="宋体" w:hAnsi="宋体" w:eastAsia="宋体" w:cs="宋体"/>
          <w:color w:val="0000FF"/>
          <w:sz w:val="24"/>
          <w:highlight w:val="none"/>
        </w:rPr>
        <w:t>用投标文件制作工具制作并生成上传至苏</w:t>
      </w:r>
      <w:r>
        <w:rPr>
          <w:rFonts w:hint="eastAsia" w:ascii="宋体" w:hAnsi="宋体" w:eastAsia="宋体" w:cs="宋体"/>
          <w:color w:val="0000FF"/>
          <w:sz w:val="24"/>
          <w:highlight w:val="none"/>
          <w:lang w:val="en-US" w:eastAsia="zh-CN"/>
        </w:rPr>
        <w:t>采</w:t>
      </w:r>
      <w:r>
        <w:rPr>
          <w:rFonts w:hint="eastAsia" w:ascii="宋体" w:hAnsi="宋体" w:eastAsia="宋体" w:cs="宋体"/>
          <w:color w:val="0000FF"/>
          <w:sz w:val="24"/>
          <w:highlight w:val="none"/>
        </w:rPr>
        <w:t>云平台</w:t>
      </w:r>
      <w:r>
        <w:rPr>
          <w:rFonts w:hint="eastAsia" w:ascii="宋体" w:hAnsi="宋体" w:eastAsia="宋体" w:cs="宋体"/>
          <w:sz w:val="24"/>
          <w:highlight w:val="none"/>
        </w:rPr>
        <w:t>，纸质文件不作为审查对象。如电子投标文件无法查阅上述所要求提供的证明材料的评审小组将以未提供证明材料取消其继续参加评审的资格。</w:t>
      </w:r>
    </w:p>
    <w:p w14:paraId="6C1A701D">
      <w:pPr>
        <w:keepNext w:val="0"/>
        <w:keepLines w:val="0"/>
        <w:spacing w:line="44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所提供的资格证明材料应真实、有效，采购人保留对</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提供的资格证明材料进行核查的权利。如发现</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提供虚假资格证明材料，采购人将对其进行严肃处理。</w:t>
      </w:r>
    </w:p>
    <w:p w14:paraId="093B4F2A">
      <w:pPr>
        <w:keepNext w:val="0"/>
        <w:keepLines w:val="0"/>
        <w:pageBreakBefore/>
        <w:widowControl w:val="0"/>
        <w:spacing w:line="520" w:lineRule="exact"/>
        <w:ind w:right="0"/>
        <w:jc w:val="left"/>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七</w:t>
      </w:r>
      <w:r>
        <w:rPr>
          <w:rFonts w:hint="eastAsia" w:ascii="宋体" w:hAnsi="宋体" w:eastAsia="宋体" w:cs="宋体"/>
          <w:b/>
          <w:bCs/>
          <w:sz w:val="32"/>
          <w:szCs w:val="32"/>
          <w:highlight w:val="none"/>
        </w:rPr>
        <w:t>、涉及无效响应文件条款中</w:t>
      </w:r>
      <w:r>
        <w:rPr>
          <w:rFonts w:hint="eastAsia" w:ascii="宋体" w:hAnsi="宋体" w:eastAsia="宋体" w:cs="宋体"/>
          <w:b/>
          <w:bCs/>
          <w:sz w:val="32"/>
          <w:szCs w:val="32"/>
          <w:highlight w:val="none"/>
          <w:lang w:eastAsia="zh-CN"/>
        </w:rPr>
        <w:t>投标人</w:t>
      </w:r>
      <w:r>
        <w:rPr>
          <w:rFonts w:hint="eastAsia" w:ascii="宋体" w:hAnsi="宋体" w:eastAsia="宋体" w:cs="宋体"/>
          <w:b/>
          <w:bCs/>
          <w:sz w:val="32"/>
          <w:szCs w:val="32"/>
          <w:highlight w:val="none"/>
        </w:rPr>
        <w:t>必须提供的证明文件</w:t>
      </w:r>
    </w:p>
    <w:p w14:paraId="4E6D9C5B">
      <w:pPr>
        <w:keepNext w:val="0"/>
        <w:keepLines w:val="0"/>
        <w:spacing w:line="440" w:lineRule="exact"/>
        <w:ind w:right="0" w:firstLine="480"/>
        <w:rPr>
          <w:rFonts w:hint="eastAsia" w:ascii="宋体" w:hAnsi="宋体" w:eastAsia="宋体" w:cs="宋体"/>
          <w:sz w:val="24"/>
          <w:highlight w:val="none"/>
        </w:rPr>
      </w:pPr>
      <w:r>
        <w:rPr>
          <w:rFonts w:hint="eastAsia" w:ascii="宋体" w:hAnsi="宋体" w:eastAsia="宋体" w:cs="宋体"/>
          <w:sz w:val="24"/>
          <w:highlight w:val="none"/>
          <w:lang w:eastAsia="zh-CN"/>
        </w:rPr>
        <w:t>投标人</w:t>
      </w:r>
      <w:r>
        <w:rPr>
          <w:rFonts w:hint="eastAsia" w:ascii="宋体" w:hAnsi="宋体" w:eastAsia="宋体" w:cs="宋体"/>
          <w:sz w:val="24"/>
          <w:highlight w:val="none"/>
        </w:rPr>
        <w:t>参加投标时，按照招标文件相关要求提供材料。</w:t>
      </w:r>
    </w:p>
    <w:p w14:paraId="5127D1D5">
      <w:pPr>
        <w:keepNext w:val="0"/>
        <w:keepLines w:val="0"/>
        <w:spacing w:line="520" w:lineRule="exact"/>
        <w:ind w:right="0"/>
        <w:jc w:val="left"/>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八</w:t>
      </w:r>
      <w:r>
        <w:rPr>
          <w:rFonts w:hint="eastAsia" w:ascii="宋体" w:hAnsi="宋体" w:eastAsia="宋体" w:cs="宋体"/>
          <w:b/>
          <w:bCs/>
          <w:sz w:val="32"/>
          <w:szCs w:val="32"/>
          <w:highlight w:val="none"/>
        </w:rPr>
        <w:t>、评审时</w:t>
      </w:r>
      <w:r>
        <w:rPr>
          <w:rFonts w:hint="eastAsia" w:ascii="宋体" w:hAnsi="宋体" w:eastAsia="宋体" w:cs="宋体"/>
          <w:b/>
          <w:bCs/>
          <w:sz w:val="32"/>
          <w:szCs w:val="32"/>
          <w:highlight w:val="none"/>
          <w:lang w:eastAsia="zh-CN"/>
        </w:rPr>
        <w:t>投标人</w:t>
      </w:r>
      <w:r>
        <w:rPr>
          <w:rFonts w:hint="eastAsia" w:ascii="宋体" w:hAnsi="宋体" w:eastAsia="宋体" w:cs="宋体"/>
          <w:b/>
          <w:bCs/>
          <w:sz w:val="32"/>
          <w:szCs w:val="32"/>
          <w:highlight w:val="none"/>
        </w:rPr>
        <w:t>需提供的证明文件</w:t>
      </w:r>
    </w:p>
    <w:p w14:paraId="711E802F">
      <w:pPr>
        <w:keepNext w:val="0"/>
        <w:keepLines w:val="0"/>
        <w:spacing w:line="440" w:lineRule="exact"/>
        <w:ind w:right="0" w:firstLine="480"/>
        <w:rPr>
          <w:rFonts w:hint="eastAsia" w:ascii="宋体" w:hAnsi="宋体" w:eastAsia="宋体" w:cs="宋体"/>
          <w:sz w:val="24"/>
          <w:highlight w:val="none"/>
        </w:rPr>
      </w:pPr>
      <w:r>
        <w:rPr>
          <w:rFonts w:hint="eastAsia" w:ascii="宋体" w:hAnsi="宋体" w:eastAsia="宋体" w:cs="宋体"/>
          <w:sz w:val="24"/>
          <w:highlight w:val="none"/>
        </w:rPr>
        <w:t>请</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仔细阅读</w:t>
      </w:r>
      <w:r>
        <w:rPr>
          <w:rFonts w:hint="eastAsia" w:ascii="宋体" w:hAnsi="宋体" w:eastAsia="宋体" w:cs="宋体"/>
          <w:sz w:val="24"/>
          <w:highlight w:val="none"/>
          <w:lang w:eastAsia="zh-CN"/>
        </w:rPr>
        <w:t>投标</w:t>
      </w:r>
      <w:r>
        <w:rPr>
          <w:rFonts w:hint="eastAsia" w:ascii="宋体" w:hAnsi="宋体" w:eastAsia="宋体" w:cs="宋体"/>
          <w:sz w:val="24"/>
          <w:highlight w:val="none"/>
        </w:rPr>
        <w:t>文件中评标办法及评分细则。</w:t>
      </w:r>
    </w:p>
    <w:p w14:paraId="1BE1755C">
      <w:pPr>
        <w:keepNext w:val="0"/>
        <w:keepLines w:val="0"/>
        <w:spacing w:line="520" w:lineRule="exact"/>
        <w:ind w:right="0"/>
        <w:jc w:val="left"/>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九</w:t>
      </w:r>
      <w:r>
        <w:rPr>
          <w:rFonts w:hint="eastAsia" w:ascii="宋体" w:hAnsi="宋体" w:eastAsia="宋体" w:cs="宋体"/>
          <w:b/>
          <w:bCs/>
          <w:sz w:val="32"/>
          <w:szCs w:val="32"/>
          <w:highlight w:val="none"/>
        </w:rPr>
        <w:t>、</w:t>
      </w:r>
      <w:r>
        <w:rPr>
          <w:rFonts w:hint="eastAsia" w:ascii="宋体" w:hAnsi="宋体" w:eastAsia="宋体" w:cs="宋体"/>
          <w:b/>
          <w:bCs/>
          <w:sz w:val="32"/>
          <w:szCs w:val="32"/>
          <w:highlight w:val="none"/>
          <w:lang w:eastAsia="zh-CN"/>
        </w:rPr>
        <w:t>投标人</w:t>
      </w:r>
      <w:r>
        <w:rPr>
          <w:rFonts w:hint="eastAsia" w:ascii="宋体" w:hAnsi="宋体" w:eastAsia="宋体" w:cs="宋体"/>
          <w:b/>
          <w:bCs/>
          <w:sz w:val="32"/>
          <w:szCs w:val="32"/>
          <w:highlight w:val="none"/>
        </w:rPr>
        <w:t>认为有必要提供并说明的其他资料</w:t>
      </w:r>
    </w:p>
    <w:p w14:paraId="1023DE23">
      <w:pPr>
        <w:keepNext w:val="0"/>
        <w:keepLines w:val="0"/>
        <w:spacing w:line="440" w:lineRule="exact"/>
        <w:ind w:right="0" w:firstLine="480"/>
        <w:rPr>
          <w:rFonts w:hint="eastAsia" w:ascii="宋体" w:hAnsi="宋体" w:eastAsia="宋体" w:cs="宋体"/>
          <w:sz w:val="24"/>
          <w:highlight w:val="none"/>
        </w:rPr>
      </w:pPr>
      <w:r>
        <w:rPr>
          <w:rFonts w:hint="eastAsia" w:ascii="宋体" w:hAnsi="宋体" w:eastAsia="宋体" w:cs="宋体"/>
          <w:sz w:val="24"/>
          <w:highlight w:val="none"/>
        </w:rPr>
        <w:t>格式由</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自定，加盖</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公章。</w:t>
      </w:r>
    </w:p>
    <w:p w14:paraId="662487B0">
      <w:pPr>
        <w:keepNext w:val="0"/>
        <w:keepLines w:val="0"/>
        <w:spacing w:line="440" w:lineRule="exact"/>
        <w:ind w:right="0" w:firstLine="2877"/>
        <w:rPr>
          <w:rFonts w:hint="eastAsia" w:ascii="宋体" w:hAnsi="宋体" w:eastAsia="宋体" w:cs="宋体"/>
          <w:b/>
          <w:sz w:val="36"/>
          <w:highlight w:val="none"/>
        </w:rPr>
      </w:pPr>
    </w:p>
    <w:p w14:paraId="24BE9393">
      <w:pPr>
        <w:keepNext w:val="0"/>
        <w:keepLines w:val="0"/>
        <w:spacing w:line="440" w:lineRule="exact"/>
        <w:ind w:right="0" w:firstLine="2877"/>
        <w:rPr>
          <w:rFonts w:hint="eastAsia" w:ascii="宋体" w:hAnsi="宋体" w:eastAsia="宋体" w:cs="宋体"/>
          <w:b/>
          <w:sz w:val="36"/>
          <w:highlight w:val="none"/>
        </w:rPr>
      </w:pPr>
    </w:p>
    <w:p w14:paraId="727DBA9D">
      <w:pPr>
        <w:keepNext w:val="0"/>
        <w:keepLines w:val="0"/>
        <w:spacing w:line="440" w:lineRule="exact"/>
        <w:ind w:right="0" w:firstLine="2877"/>
        <w:rPr>
          <w:rFonts w:hint="eastAsia" w:ascii="宋体" w:hAnsi="宋体" w:eastAsia="宋体" w:cs="宋体"/>
          <w:b/>
          <w:sz w:val="36"/>
          <w:highlight w:val="none"/>
        </w:rPr>
      </w:pPr>
    </w:p>
    <w:p w14:paraId="5BF5D377">
      <w:pPr>
        <w:keepNext w:val="0"/>
        <w:keepLines w:val="0"/>
        <w:spacing w:line="440" w:lineRule="exact"/>
        <w:ind w:right="0" w:firstLine="2877"/>
        <w:rPr>
          <w:rFonts w:hint="eastAsia" w:ascii="宋体" w:hAnsi="宋体" w:eastAsia="宋体" w:cs="宋体"/>
          <w:b/>
          <w:sz w:val="36"/>
          <w:highlight w:val="none"/>
        </w:rPr>
      </w:pPr>
    </w:p>
    <w:p w14:paraId="0ADDF453">
      <w:pPr>
        <w:keepNext w:val="0"/>
        <w:keepLines w:val="0"/>
        <w:spacing w:line="440" w:lineRule="exact"/>
        <w:ind w:right="0" w:firstLine="2877"/>
        <w:rPr>
          <w:rFonts w:hint="eastAsia" w:ascii="宋体" w:hAnsi="宋体" w:eastAsia="宋体" w:cs="宋体"/>
          <w:b/>
          <w:sz w:val="36"/>
          <w:highlight w:val="none"/>
        </w:rPr>
      </w:pPr>
    </w:p>
    <w:p w14:paraId="5E38BC1A">
      <w:pPr>
        <w:keepNext w:val="0"/>
        <w:keepLines w:val="0"/>
        <w:spacing w:line="440" w:lineRule="exact"/>
        <w:ind w:right="0" w:firstLine="2877"/>
        <w:rPr>
          <w:rFonts w:hint="eastAsia" w:ascii="宋体" w:hAnsi="宋体" w:eastAsia="宋体" w:cs="宋体"/>
          <w:b/>
          <w:sz w:val="36"/>
          <w:highlight w:val="none"/>
        </w:rPr>
      </w:pPr>
    </w:p>
    <w:p w14:paraId="0706583C">
      <w:pPr>
        <w:keepNext w:val="0"/>
        <w:keepLines w:val="0"/>
        <w:spacing w:line="440" w:lineRule="exact"/>
        <w:ind w:right="0" w:firstLine="2877"/>
        <w:rPr>
          <w:rFonts w:hint="eastAsia" w:ascii="宋体" w:hAnsi="宋体" w:eastAsia="宋体" w:cs="宋体"/>
          <w:b/>
          <w:sz w:val="36"/>
          <w:highlight w:val="none"/>
        </w:rPr>
      </w:pPr>
    </w:p>
    <w:p w14:paraId="4AEBE84A">
      <w:pPr>
        <w:keepNext w:val="0"/>
        <w:keepLines w:val="0"/>
        <w:spacing w:line="440" w:lineRule="exact"/>
        <w:ind w:right="0" w:firstLine="2877"/>
        <w:rPr>
          <w:rFonts w:hint="eastAsia" w:ascii="宋体" w:hAnsi="宋体" w:eastAsia="宋体" w:cs="宋体"/>
          <w:b/>
          <w:sz w:val="36"/>
          <w:highlight w:val="none"/>
        </w:rPr>
      </w:pPr>
    </w:p>
    <w:p w14:paraId="77FBB53B">
      <w:pPr>
        <w:keepNext w:val="0"/>
        <w:keepLines w:val="0"/>
        <w:spacing w:line="440" w:lineRule="exact"/>
        <w:ind w:right="0" w:firstLine="2877"/>
        <w:rPr>
          <w:rFonts w:hint="eastAsia" w:ascii="宋体" w:hAnsi="宋体" w:eastAsia="宋体" w:cs="宋体"/>
          <w:b/>
          <w:sz w:val="36"/>
          <w:highlight w:val="none"/>
        </w:rPr>
      </w:pPr>
    </w:p>
    <w:p w14:paraId="3C9840F4">
      <w:pPr>
        <w:keepNext w:val="0"/>
        <w:keepLines w:val="0"/>
        <w:spacing w:line="440" w:lineRule="exact"/>
        <w:ind w:right="0" w:firstLine="2877"/>
        <w:rPr>
          <w:rFonts w:hint="eastAsia" w:ascii="宋体" w:hAnsi="宋体" w:eastAsia="宋体" w:cs="宋体"/>
          <w:b/>
          <w:sz w:val="36"/>
          <w:highlight w:val="none"/>
        </w:rPr>
      </w:pPr>
    </w:p>
    <w:p w14:paraId="40B3664C">
      <w:pPr>
        <w:keepNext w:val="0"/>
        <w:keepLines w:val="0"/>
        <w:spacing w:line="440" w:lineRule="exact"/>
        <w:ind w:right="0" w:firstLine="2877"/>
        <w:rPr>
          <w:rFonts w:hint="eastAsia" w:ascii="宋体" w:hAnsi="宋体" w:eastAsia="宋体" w:cs="宋体"/>
          <w:b/>
          <w:sz w:val="36"/>
          <w:highlight w:val="none"/>
        </w:rPr>
      </w:pPr>
    </w:p>
    <w:p w14:paraId="3ED2F632">
      <w:pPr>
        <w:keepNext w:val="0"/>
        <w:keepLines w:val="0"/>
        <w:spacing w:line="440" w:lineRule="exact"/>
        <w:ind w:right="0" w:firstLine="2877"/>
        <w:rPr>
          <w:rFonts w:hint="eastAsia" w:ascii="宋体" w:hAnsi="宋体" w:eastAsia="宋体" w:cs="宋体"/>
          <w:b/>
          <w:sz w:val="36"/>
          <w:highlight w:val="none"/>
        </w:rPr>
      </w:pPr>
    </w:p>
    <w:p w14:paraId="00A3CD43">
      <w:pPr>
        <w:keepNext w:val="0"/>
        <w:keepLines w:val="0"/>
        <w:spacing w:line="440" w:lineRule="exact"/>
        <w:ind w:right="0" w:firstLine="2877"/>
        <w:rPr>
          <w:rFonts w:hint="eastAsia" w:ascii="宋体" w:hAnsi="宋体" w:eastAsia="宋体" w:cs="宋体"/>
          <w:b/>
          <w:sz w:val="36"/>
          <w:highlight w:val="none"/>
        </w:rPr>
      </w:pPr>
    </w:p>
    <w:p w14:paraId="5BB4B8AC">
      <w:pPr>
        <w:keepNext w:val="0"/>
        <w:keepLines w:val="0"/>
        <w:spacing w:line="440" w:lineRule="exact"/>
        <w:ind w:right="0" w:firstLine="2877"/>
        <w:rPr>
          <w:rFonts w:hint="eastAsia" w:ascii="宋体" w:hAnsi="宋体" w:eastAsia="宋体" w:cs="宋体"/>
          <w:b/>
          <w:sz w:val="36"/>
          <w:highlight w:val="none"/>
        </w:rPr>
      </w:pPr>
    </w:p>
    <w:p w14:paraId="1CCFF1A4">
      <w:pPr>
        <w:keepNext w:val="0"/>
        <w:keepLines w:val="0"/>
        <w:spacing w:line="440" w:lineRule="exact"/>
        <w:ind w:right="0" w:firstLine="2877"/>
        <w:rPr>
          <w:rFonts w:hint="eastAsia" w:ascii="宋体" w:hAnsi="宋体" w:eastAsia="宋体" w:cs="宋体"/>
          <w:b/>
          <w:sz w:val="36"/>
          <w:highlight w:val="none"/>
        </w:rPr>
      </w:pPr>
    </w:p>
    <w:p w14:paraId="45B07208">
      <w:pPr>
        <w:keepNext w:val="0"/>
        <w:keepLines w:val="0"/>
        <w:spacing w:line="440" w:lineRule="exact"/>
        <w:ind w:right="0" w:firstLine="2877"/>
        <w:rPr>
          <w:rFonts w:hint="eastAsia" w:ascii="宋体" w:hAnsi="宋体" w:eastAsia="宋体" w:cs="宋体"/>
          <w:b/>
          <w:sz w:val="36"/>
          <w:highlight w:val="none"/>
        </w:rPr>
      </w:pPr>
    </w:p>
    <w:p w14:paraId="1E18E1E0">
      <w:pPr>
        <w:keepNext w:val="0"/>
        <w:keepLines w:val="0"/>
        <w:spacing w:line="440" w:lineRule="exact"/>
        <w:ind w:right="0"/>
        <w:rPr>
          <w:rFonts w:hint="eastAsia" w:ascii="宋体" w:hAnsi="宋体" w:eastAsia="宋体" w:cs="宋体"/>
          <w:b/>
          <w:sz w:val="32"/>
          <w:szCs w:val="32"/>
          <w:highlight w:val="none"/>
        </w:rPr>
      </w:pPr>
    </w:p>
    <w:p w14:paraId="76539B70">
      <w:pPr>
        <w:keepNext w:val="0"/>
        <w:keepLines w:val="0"/>
        <w:spacing w:line="440" w:lineRule="exact"/>
        <w:ind w:right="0"/>
        <w:rPr>
          <w:rFonts w:hint="eastAsia" w:ascii="宋体" w:hAnsi="宋体" w:eastAsia="宋体" w:cs="宋体"/>
          <w:b/>
          <w:sz w:val="32"/>
          <w:szCs w:val="32"/>
          <w:highlight w:val="none"/>
        </w:rPr>
      </w:pPr>
    </w:p>
    <w:p w14:paraId="3729CE19">
      <w:pPr>
        <w:keepNext w:val="0"/>
        <w:keepLines w:val="0"/>
        <w:pageBreakBefore/>
        <w:widowControl w:val="0"/>
        <w:spacing w:line="440" w:lineRule="exact"/>
        <w:ind w:right="0"/>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十</w:t>
      </w:r>
      <w:r>
        <w:rPr>
          <w:rFonts w:hint="eastAsia" w:ascii="宋体" w:hAnsi="宋体" w:eastAsia="宋体" w:cs="宋体"/>
          <w:b/>
          <w:sz w:val="28"/>
          <w:szCs w:val="28"/>
          <w:highlight w:val="none"/>
        </w:rPr>
        <w:t>、示范格式</w:t>
      </w:r>
    </w:p>
    <w:p w14:paraId="294BBF24">
      <w:pPr>
        <w:keepNext w:val="0"/>
        <w:keepLines w:val="0"/>
        <w:spacing w:line="440" w:lineRule="exact"/>
        <w:ind w:right="0"/>
        <w:rPr>
          <w:rFonts w:hint="eastAsia" w:ascii="宋体" w:hAnsi="宋体" w:eastAsia="宋体" w:cs="宋体"/>
          <w:b/>
          <w:sz w:val="24"/>
          <w:szCs w:val="24"/>
          <w:highlight w:val="none"/>
        </w:rPr>
      </w:pPr>
      <w:r>
        <w:rPr>
          <w:rFonts w:hint="eastAsia" w:ascii="宋体" w:hAnsi="宋体" w:eastAsia="宋体" w:cs="宋体"/>
          <w:b/>
          <w:sz w:val="28"/>
          <w:szCs w:val="28"/>
          <w:highlight w:val="none"/>
        </w:rPr>
        <w:t>示范格式一</w:t>
      </w:r>
    </w:p>
    <w:p w14:paraId="70A6CC65">
      <w:pPr>
        <w:keepNext w:val="0"/>
        <w:keepLines w:val="0"/>
        <w:spacing w:line="440" w:lineRule="exact"/>
        <w:ind w:right="0" w:firstLine="1928"/>
        <w:rPr>
          <w:rFonts w:hint="eastAsia" w:ascii="宋体" w:hAnsi="宋体" w:eastAsia="宋体" w:cs="宋体"/>
          <w:b/>
          <w:bCs/>
          <w:sz w:val="24"/>
          <w:szCs w:val="24"/>
          <w:highlight w:val="none"/>
        </w:rPr>
      </w:pPr>
    </w:p>
    <w:bookmarkEnd w:id="52"/>
    <w:p w14:paraId="1823A311">
      <w:pPr>
        <w:keepNext w:val="0"/>
        <w:keepLines w:val="0"/>
        <w:spacing w:line="640" w:lineRule="exact"/>
        <w:ind w:right="0" w:firstLine="2891"/>
        <w:rPr>
          <w:rFonts w:hint="eastAsia" w:ascii="宋体" w:hAnsi="宋体" w:eastAsia="宋体" w:cs="宋体"/>
          <w:b/>
          <w:bCs/>
          <w:sz w:val="32"/>
          <w:szCs w:val="32"/>
          <w:highlight w:val="none"/>
          <w:lang w:val="zh-CN"/>
        </w:rPr>
      </w:pPr>
      <w:r>
        <w:rPr>
          <w:rFonts w:hint="eastAsia" w:ascii="宋体" w:hAnsi="宋体" w:eastAsia="宋体" w:cs="宋体"/>
          <w:b/>
          <w:bCs/>
          <w:sz w:val="32"/>
          <w:szCs w:val="32"/>
          <w:highlight w:val="none"/>
          <w:lang w:val="zh-CN"/>
        </w:rPr>
        <w:t>法定代表人资格证明</w:t>
      </w:r>
    </w:p>
    <w:p w14:paraId="30CE9527">
      <w:pPr>
        <w:keepNext w:val="0"/>
        <w:keepLines w:val="0"/>
        <w:spacing w:line="720" w:lineRule="exact"/>
        <w:ind w:right="0" w:firstLine="280"/>
        <w:rPr>
          <w:rFonts w:hint="eastAsia" w:ascii="宋体" w:hAnsi="宋体" w:eastAsia="宋体" w:cs="宋体"/>
          <w:sz w:val="24"/>
          <w:highlight w:val="none"/>
        </w:rPr>
      </w:pPr>
      <w:r>
        <w:rPr>
          <w:rFonts w:hint="eastAsia" w:ascii="宋体" w:hAnsi="宋体" w:eastAsia="宋体" w:cs="宋体"/>
          <w:sz w:val="24"/>
          <w:highlight w:val="none"/>
          <w:lang w:val="zh-CN"/>
        </w:rPr>
        <w:t>单位名称：</w:t>
      </w:r>
      <w:r>
        <w:rPr>
          <w:rFonts w:hint="eastAsia" w:ascii="宋体" w:hAnsi="宋体" w:eastAsia="宋体" w:cs="宋体"/>
          <w:sz w:val="24"/>
          <w:highlight w:val="none"/>
          <w:u w:val="single"/>
        </w:rPr>
        <w:t xml:space="preserve">                    </w:t>
      </w:r>
    </w:p>
    <w:p w14:paraId="6FA5DBD4">
      <w:pPr>
        <w:keepNext w:val="0"/>
        <w:keepLines w:val="0"/>
        <w:spacing w:line="720" w:lineRule="exact"/>
        <w:ind w:right="0" w:firstLine="280"/>
        <w:rPr>
          <w:rFonts w:hint="eastAsia" w:ascii="宋体" w:hAnsi="宋体" w:eastAsia="宋体" w:cs="宋体"/>
          <w:sz w:val="24"/>
          <w:highlight w:val="none"/>
        </w:rPr>
      </w:pPr>
      <w:r>
        <w:rPr>
          <w:rFonts w:hint="eastAsia" w:ascii="宋体" w:hAnsi="宋体" w:eastAsia="宋体" w:cs="宋体"/>
          <w:sz w:val="24"/>
          <w:highlight w:val="none"/>
          <w:lang w:val="zh-CN"/>
        </w:rPr>
        <w:t>地址：</w:t>
      </w:r>
      <w:r>
        <w:rPr>
          <w:rFonts w:hint="eastAsia" w:ascii="宋体" w:hAnsi="宋体" w:eastAsia="宋体" w:cs="宋体"/>
          <w:sz w:val="24"/>
          <w:highlight w:val="none"/>
          <w:u w:val="single"/>
        </w:rPr>
        <w:t xml:space="preserve">                        </w:t>
      </w:r>
    </w:p>
    <w:p w14:paraId="2D2BAE30">
      <w:pPr>
        <w:keepNext w:val="0"/>
        <w:keepLines w:val="0"/>
        <w:spacing w:line="720" w:lineRule="exact"/>
        <w:ind w:right="0" w:firstLine="280"/>
        <w:rPr>
          <w:rFonts w:hint="eastAsia" w:ascii="宋体" w:hAnsi="宋体" w:eastAsia="宋体" w:cs="宋体"/>
          <w:sz w:val="24"/>
          <w:highlight w:val="none"/>
        </w:rPr>
      </w:pPr>
      <w:r>
        <w:rPr>
          <w:rFonts w:hint="eastAsia" w:ascii="宋体" w:hAnsi="宋体" w:eastAsia="宋体" w:cs="宋体"/>
          <w:sz w:val="24"/>
          <w:highlight w:val="none"/>
          <w:lang w:val="zh-CN"/>
        </w:rPr>
        <w:t>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val="zh-CN"/>
        </w:rPr>
        <w:t xml:space="preserve">       性别：</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年龄：</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职务：</w:t>
      </w:r>
      <w:r>
        <w:rPr>
          <w:rFonts w:hint="eastAsia" w:ascii="宋体" w:hAnsi="宋体" w:eastAsia="宋体" w:cs="宋体"/>
          <w:sz w:val="24"/>
          <w:highlight w:val="none"/>
          <w:u w:val="single"/>
        </w:rPr>
        <w:t xml:space="preserve">       </w:t>
      </w:r>
    </w:p>
    <w:p w14:paraId="6D215842">
      <w:pPr>
        <w:keepNext w:val="0"/>
        <w:keepLines w:val="0"/>
        <w:spacing w:line="720" w:lineRule="exact"/>
        <w:ind w:left="1" w:right="0" w:firstLine="480"/>
        <w:rPr>
          <w:rFonts w:hint="eastAsia" w:ascii="宋体" w:hAnsi="宋体" w:eastAsia="宋体" w:cs="宋体"/>
          <w:sz w:val="24"/>
          <w:highlight w:val="none"/>
        </w:rPr>
      </w:pPr>
      <w:r>
        <w:rPr>
          <w:rFonts w:hint="eastAsia" w:ascii="宋体" w:hAnsi="宋体" w:eastAsia="宋体" w:cs="宋体"/>
          <w:sz w:val="24"/>
          <w:highlight w:val="none"/>
          <w:lang w:val="zh-CN"/>
        </w:rPr>
        <w:t>系</w:t>
      </w:r>
      <w:r>
        <w:rPr>
          <w:rFonts w:hint="eastAsia" w:ascii="宋体" w:hAnsi="宋体" w:eastAsia="宋体" w:cs="宋体"/>
          <w:sz w:val="24"/>
          <w:highlight w:val="none"/>
          <w:u w:val="single"/>
          <w:lang w:val="zh-CN"/>
        </w:rPr>
        <w:t xml:space="preserve"> （投标人名称）</w:t>
      </w:r>
      <w:r>
        <w:rPr>
          <w:rFonts w:hint="eastAsia" w:ascii="宋体" w:hAnsi="宋体" w:eastAsia="宋体" w:cs="宋体"/>
          <w:sz w:val="24"/>
          <w:highlight w:val="none"/>
          <w:lang w:val="zh-CN"/>
        </w:rPr>
        <w:t>的法定代表人。</w:t>
      </w:r>
      <w:r>
        <w:rPr>
          <w:rFonts w:hint="eastAsia" w:ascii="宋体" w:hAnsi="宋体" w:eastAsia="宋体" w:cs="宋体"/>
          <w:sz w:val="24"/>
          <w:highlight w:val="none"/>
        </w:rPr>
        <w:t>为参与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项目，签署上述项目的响应文件、进行</w:t>
      </w:r>
      <w:r>
        <w:rPr>
          <w:rFonts w:hint="eastAsia" w:ascii="宋体" w:hAnsi="宋体" w:eastAsia="宋体" w:cs="宋体"/>
          <w:sz w:val="24"/>
          <w:highlight w:val="none"/>
          <w:lang w:eastAsia="zh-CN"/>
        </w:rPr>
        <w:t>投标</w:t>
      </w:r>
      <w:r>
        <w:rPr>
          <w:rFonts w:hint="eastAsia" w:ascii="宋体" w:hAnsi="宋体" w:eastAsia="宋体" w:cs="宋体"/>
          <w:sz w:val="24"/>
          <w:highlight w:val="none"/>
        </w:rPr>
        <w:t>、签署合同和处理与之有关的一切事务。</w:t>
      </w:r>
    </w:p>
    <w:p w14:paraId="5E9D265F">
      <w:pPr>
        <w:keepNext w:val="0"/>
        <w:keepLines w:val="0"/>
        <w:spacing w:line="640" w:lineRule="exact"/>
        <w:ind w:right="0" w:firstLine="280"/>
        <w:rPr>
          <w:rFonts w:hint="eastAsia" w:ascii="宋体" w:hAnsi="宋体" w:eastAsia="宋体" w:cs="宋体"/>
          <w:sz w:val="24"/>
          <w:szCs w:val="24"/>
          <w:highlight w:val="none"/>
        </w:rPr>
      </w:pPr>
    </w:p>
    <w:p w14:paraId="3B917E8C">
      <w:pPr>
        <w:keepNext w:val="0"/>
        <w:keepLines w:val="0"/>
        <w:spacing w:line="640" w:lineRule="exact"/>
        <w:ind w:right="0"/>
        <w:rPr>
          <w:rFonts w:hint="eastAsia" w:ascii="宋体" w:hAnsi="宋体" w:eastAsia="宋体" w:cs="宋体"/>
          <w:sz w:val="24"/>
          <w:szCs w:val="24"/>
          <w:highlight w:val="none"/>
          <w:lang w:val="zh-CN"/>
        </w:rPr>
      </w:pPr>
    </w:p>
    <w:p w14:paraId="3B8E9E9C">
      <w:pPr>
        <w:keepNext w:val="0"/>
        <w:keepLines w:val="0"/>
        <w:spacing w:line="640" w:lineRule="exact"/>
        <w:ind w:right="0" w:firstLine="2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特此证明。</w:t>
      </w:r>
    </w:p>
    <w:p w14:paraId="16E5BC34">
      <w:pPr>
        <w:keepNext w:val="0"/>
        <w:keepLines w:val="0"/>
        <w:spacing w:line="640" w:lineRule="exact"/>
        <w:ind w:right="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p>
    <w:p w14:paraId="2ED64106">
      <w:pPr>
        <w:keepNext w:val="0"/>
        <w:keepLines w:val="0"/>
        <w:spacing w:line="640" w:lineRule="exact"/>
        <w:ind w:right="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投标人：</w:t>
      </w:r>
      <w:r>
        <w:rPr>
          <w:rFonts w:hint="eastAsia" w:ascii="宋体" w:hAnsi="宋体" w:eastAsia="宋体" w:cs="宋体"/>
          <w:sz w:val="24"/>
          <w:szCs w:val="24"/>
          <w:highlight w:val="none"/>
          <w:u w:val="single"/>
          <w:lang w:val="zh-CN"/>
        </w:rPr>
        <w:t xml:space="preserve">    （电子签章）     </w:t>
      </w:r>
    </w:p>
    <w:p w14:paraId="32AE5E9B">
      <w:pPr>
        <w:keepNext w:val="0"/>
        <w:keepLines w:val="0"/>
        <w:spacing w:line="640" w:lineRule="exact"/>
        <w:ind w:right="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日</w:t>
      </w:r>
    </w:p>
    <w:p w14:paraId="1DD1147A">
      <w:pPr>
        <w:pStyle w:val="250"/>
        <w:keepNext w:val="0"/>
        <w:keepLines w:val="0"/>
        <w:spacing w:before="0" w:after="0" w:line="520" w:lineRule="exact"/>
        <w:ind w:left="4500" w:right="0" w:hanging="1560"/>
        <w:rPr>
          <w:rFonts w:hint="eastAsia" w:ascii="宋体" w:hAnsi="宋体" w:eastAsia="宋体" w:cs="宋体"/>
          <w:sz w:val="24"/>
          <w:szCs w:val="24"/>
          <w:highlight w:val="none"/>
          <w:lang w:val="zh-CN"/>
        </w:rPr>
      </w:pPr>
    </w:p>
    <w:p w14:paraId="3F3BF058">
      <w:pPr>
        <w:keepNext w:val="0"/>
        <w:keepLines w:val="0"/>
        <w:spacing w:line="640" w:lineRule="exact"/>
        <w:ind w:right="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p>
    <w:p w14:paraId="392BFE12">
      <w:pPr>
        <w:keepNext w:val="0"/>
        <w:keepLines w:val="0"/>
        <w:spacing w:line="640" w:lineRule="exact"/>
        <w:ind w:right="0" w:firstLine="480"/>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注</w:t>
      </w: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rPr>
        <w:t>法定代表人</w:t>
      </w:r>
      <w:r>
        <w:rPr>
          <w:rFonts w:hint="eastAsia" w:ascii="宋体" w:hAnsi="宋体" w:eastAsia="宋体" w:cs="宋体"/>
          <w:bCs/>
          <w:color w:val="000000"/>
          <w:sz w:val="24"/>
          <w:szCs w:val="24"/>
          <w:highlight w:val="none"/>
        </w:rPr>
        <w:t>参加</w:t>
      </w:r>
      <w:r>
        <w:rPr>
          <w:rFonts w:hint="eastAsia" w:ascii="宋体" w:hAnsi="宋体" w:eastAsia="宋体" w:cs="宋体"/>
          <w:bCs/>
          <w:color w:val="000000"/>
          <w:sz w:val="24"/>
          <w:szCs w:val="24"/>
          <w:highlight w:val="none"/>
          <w:lang w:eastAsia="zh-CN"/>
        </w:rPr>
        <w:t>投标</w:t>
      </w:r>
      <w:r>
        <w:rPr>
          <w:rFonts w:hint="eastAsia" w:ascii="宋体" w:hAnsi="宋体" w:eastAsia="宋体" w:cs="宋体"/>
          <w:bCs/>
          <w:color w:val="000000"/>
          <w:sz w:val="24"/>
          <w:szCs w:val="24"/>
          <w:highlight w:val="none"/>
        </w:rPr>
        <w:t>的，必须附</w:t>
      </w:r>
      <w:r>
        <w:rPr>
          <w:rFonts w:hint="eastAsia" w:ascii="宋体" w:hAnsi="宋体" w:eastAsia="宋体" w:cs="宋体"/>
          <w:bCs/>
          <w:sz w:val="24"/>
          <w:szCs w:val="24"/>
          <w:highlight w:val="none"/>
        </w:rPr>
        <w:t>法定代表人</w:t>
      </w:r>
      <w:r>
        <w:rPr>
          <w:rFonts w:hint="eastAsia" w:ascii="宋体" w:hAnsi="宋体" w:eastAsia="宋体" w:cs="宋体"/>
          <w:bCs/>
          <w:color w:val="000000"/>
          <w:sz w:val="24"/>
          <w:szCs w:val="24"/>
          <w:highlight w:val="none"/>
        </w:rPr>
        <w:t>身份证扫描件加盖</w:t>
      </w:r>
      <w:r>
        <w:rPr>
          <w:rFonts w:hint="eastAsia" w:ascii="宋体" w:hAnsi="宋体" w:eastAsia="宋体" w:cs="宋体"/>
          <w:bCs/>
          <w:color w:val="000000"/>
          <w:sz w:val="24"/>
          <w:szCs w:val="24"/>
          <w:highlight w:val="none"/>
          <w:lang w:eastAsia="zh-CN"/>
        </w:rPr>
        <w:t>投标人</w:t>
      </w:r>
      <w:r>
        <w:rPr>
          <w:rFonts w:hint="eastAsia" w:ascii="宋体" w:hAnsi="宋体" w:eastAsia="宋体" w:cs="宋体"/>
          <w:bCs/>
          <w:color w:val="000000"/>
          <w:sz w:val="24"/>
          <w:szCs w:val="24"/>
          <w:highlight w:val="none"/>
        </w:rPr>
        <w:t>电子签章。</w:t>
      </w:r>
      <w:r>
        <w:rPr>
          <w:rFonts w:hint="eastAsia" w:ascii="宋体" w:hAnsi="宋体" w:eastAsia="宋体" w:cs="宋体"/>
          <w:color w:val="000000"/>
          <w:sz w:val="24"/>
          <w:szCs w:val="24"/>
          <w:highlight w:val="none"/>
        </w:rPr>
        <w:t>法定代表人授权其他人参加</w:t>
      </w:r>
      <w:r>
        <w:rPr>
          <w:rFonts w:hint="eastAsia" w:ascii="宋体" w:hAnsi="宋体" w:eastAsia="宋体" w:cs="宋体"/>
          <w:color w:val="000000"/>
          <w:sz w:val="24"/>
          <w:szCs w:val="24"/>
          <w:highlight w:val="none"/>
          <w:lang w:eastAsia="zh-CN"/>
        </w:rPr>
        <w:t>投标</w:t>
      </w:r>
      <w:r>
        <w:rPr>
          <w:rFonts w:hint="eastAsia" w:ascii="宋体" w:hAnsi="宋体" w:eastAsia="宋体" w:cs="宋体"/>
          <w:color w:val="000000"/>
          <w:sz w:val="24"/>
          <w:szCs w:val="24"/>
          <w:highlight w:val="none"/>
        </w:rPr>
        <w:t>的，仅需填写“授权委托书”。</w:t>
      </w:r>
    </w:p>
    <w:p w14:paraId="377EEC0A">
      <w:pPr>
        <w:keepNext w:val="0"/>
        <w:keepLines w:val="0"/>
        <w:spacing w:line="640" w:lineRule="exact"/>
        <w:ind w:left="-359" w:right="0" w:firstLine="267"/>
        <w:rPr>
          <w:rFonts w:hint="eastAsia" w:ascii="宋体" w:hAnsi="宋体" w:eastAsia="宋体" w:cs="宋体"/>
          <w:b/>
          <w:sz w:val="24"/>
          <w:szCs w:val="24"/>
          <w:highlight w:val="none"/>
        </w:rPr>
      </w:pPr>
    </w:p>
    <w:p w14:paraId="2E602BD7">
      <w:pPr>
        <w:keepNext w:val="0"/>
        <w:keepLines w:val="0"/>
        <w:spacing w:line="640" w:lineRule="exact"/>
        <w:ind w:left="-359" w:right="0" w:firstLine="267"/>
        <w:rPr>
          <w:rFonts w:hint="eastAsia" w:ascii="宋体" w:hAnsi="宋体" w:eastAsia="宋体" w:cs="宋体"/>
          <w:b/>
          <w:sz w:val="24"/>
          <w:szCs w:val="24"/>
          <w:highlight w:val="none"/>
        </w:rPr>
      </w:pPr>
    </w:p>
    <w:p w14:paraId="02ED7A1A">
      <w:pPr>
        <w:keepNext w:val="0"/>
        <w:keepLines w:val="0"/>
        <w:pageBreakBefore/>
        <w:widowControl w:val="0"/>
        <w:spacing w:line="440" w:lineRule="exact"/>
        <w:ind w:right="0"/>
        <w:rPr>
          <w:rFonts w:hint="eastAsia" w:ascii="宋体" w:hAnsi="宋体" w:eastAsia="宋体" w:cs="宋体"/>
          <w:b/>
          <w:sz w:val="28"/>
          <w:szCs w:val="28"/>
          <w:highlight w:val="none"/>
        </w:rPr>
      </w:pPr>
      <w:r>
        <w:rPr>
          <w:rFonts w:hint="eastAsia" w:ascii="宋体" w:hAnsi="宋体" w:eastAsia="宋体" w:cs="宋体"/>
          <w:b/>
          <w:sz w:val="28"/>
          <w:szCs w:val="28"/>
          <w:highlight w:val="none"/>
        </w:rPr>
        <w:t>示范格式二</w:t>
      </w:r>
    </w:p>
    <w:p w14:paraId="49F0985D">
      <w:pPr>
        <w:keepNext w:val="0"/>
        <w:keepLines w:val="0"/>
        <w:pageBreakBefore w:val="0"/>
        <w:widowControl w:val="0"/>
        <w:spacing w:line="520" w:lineRule="exact"/>
        <w:ind w:right="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授权委托书</w:t>
      </w:r>
    </w:p>
    <w:p w14:paraId="3A70A0BD">
      <w:pPr>
        <w:keepNext w:val="0"/>
        <w:keepLines w:val="0"/>
        <w:spacing w:line="600" w:lineRule="exact"/>
        <w:ind w:right="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lang w:eastAsia="zh-CN"/>
        </w:rPr>
        <w:t>：</w:t>
      </w:r>
    </w:p>
    <w:p w14:paraId="585BD012">
      <w:pPr>
        <w:keepNext w:val="0"/>
        <w:keepLines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本授权书宣告：</w:t>
      </w:r>
    </w:p>
    <w:p w14:paraId="0DA23690">
      <w:pPr>
        <w:keepNext w:val="0"/>
        <w:keepLines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委托方：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u w:val="single"/>
        </w:rPr>
        <w:t xml:space="preserve">                  </w:t>
      </w:r>
    </w:p>
    <w:p w14:paraId="629D43AA">
      <w:pPr>
        <w:keepNext w:val="0"/>
        <w:keepLines w:val="0"/>
        <w:spacing w:line="600" w:lineRule="exact"/>
        <w:ind w:right="0" w:firstLine="48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法定代表人：</w:t>
      </w:r>
      <w:r>
        <w:rPr>
          <w:rFonts w:hint="eastAsia" w:ascii="宋体" w:hAnsi="宋体" w:eastAsia="宋体" w:cs="宋体"/>
          <w:color w:val="000000"/>
          <w:sz w:val="24"/>
          <w:highlight w:val="none"/>
          <w:u w:val="single"/>
        </w:rPr>
        <w:t xml:space="preserve">          </w:t>
      </w:r>
    </w:p>
    <w:p w14:paraId="14CB6013">
      <w:pPr>
        <w:keepNext w:val="0"/>
        <w:keepLines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受托人：姓名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出生日期：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日</w:t>
      </w:r>
    </w:p>
    <w:p w14:paraId="13DC3EBC">
      <w:pPr>
        <w:keepNext w:val="0"/>
        <w:keepLines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所在单位：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职务：</w:t>
      </w:r>
      <w:r>
        <w:rPr>
          <w:rFonts w:hint="eastAsia" w:ascii="宋体" w:hAnsi="宋体" w:eastAsia="宋体" w:cs="宋体"/>
          <w:color w:val="000000"/>
          <w:sz w:val="24"/>
          <w:highlight w:val="none"/>
          <w:u w:val="single"/>
        </w:rPr>
        <w:t xml:space="preserve">           </w:t>
      </w:r>
    </w:p>
    <w:p w14:paraId="3145A1D6">
      <w:pPr>
        <w:keepNext w:val="0"/>
        <w:keepLines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身 份 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联系方式：</w:t>
      </w:r>
      <w:r>
        <w:rPr>
          <w:rFonts w:hint="eastAsia" w:ascii="宋体" w:hAnsi="宋体" w:eastAsia="宋体" w:cs="宋体"/>
          <w:color w:val="000000"/>
          <w:sz w:val="24"/>
          <w:highlight w:val="none"/>
          <w:u w:val="single"/>
        </w:rPr>
        <w:t xml:space="preserve">             </w:t>
      </w:r>
    </w:p>
    <w:p w14:paraId="4B9967E9">
      <w:pPr>
        <w:keepNext w:val="0"/>
        <w:keepLines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兹委托受托人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代表我公司参加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组织的</w:t>
      </w:r>
      <w:r>
        <w:rPr>
          <w:rFonts w:hint="eastAsia" w:ascii="宋体" w:hAnsi="宋体" w:eastAsia="宋体" w:cs="宋体"/>
          <w:color w:val="000000"/>
          <w:sz w:val="24"/>
          <w:highlight w:val="none"/>
          <w:u w:val="single"/>
        </w:rPr>
        <w:t>项目名称（项目编号：        ）</w:t>
      </w:r>
      <w:r>
        <w:rPr>
          <w:rFonts w:hint="eastAsia" w:ascii="宋体" w:hAnsi="宋体" w:eastAsia="宋体" w:cs="宋体"/>
          <w:color w:val="000000"/>
          <w:sz w:val="24"/>
          <w:highlight w:val="none"/>
        </w:rPr>
        <w:t>采购项目的政府采购活动，受托人有权在该</w:t>
      </w:r>
      <w:r>
        <w:rPr>
          <w:rFonts w:hint="eastAsia" w:ascii="宋体" w:hAnsi="宋体" w:eastAsia="宋体" w:cs="宋体"/>
          <w:color w:val="000000"/>
          <w:sz w:val="24"/>
          <w:highlight w:val="none"/>
          <w:lang w:eastAsia="zh-CN"/>
        </w:rPr>
        <w:t>投标</w:t>
      </w:r>
      <w:r>
        <w:rPr>
          <w:rFonts w:hint="eastAsia" w:ascii="宋体" w:hAnsi="宋体" w:eastAsia="宋体" w:cs="宋体"/>
          <w:color w:val="000000"/>
          <w:sz w:val="24"/>
          <w:highlight w:val="none"/>
        </w:rPr>
        <w:t>活动中，以我单位的名义签署</w:t>
      </w:r>
      <w:r>
        <w:rPr>
          <w:rFonts w:hint="eastAsia" w:ascii="宋体" w:hAnsi="宋体" w:eastAsia="宋体" w:cs="宋体"/>
          <w:color w:val="000000"/>
          <w:sz w:val="24"/>
          <w:highlight w:val="none"/>
          <w:lang w:eastAsia="zh-CN"/>
        </w:rPr>
        <w:t>投标</w:t>
      </w:r>
      <w:r>
        <w:rPr>
          <w:rFonts w:hint="eastAsia" w:ascii="宋体" w:hAnsi="宋体" w:eastAsia="宋体" w:cs="宋体"/>
          <w:color w:val="000000"/>
          <w:sz w:val="24"/>
          <w:highlight w:val="none"/>
        </w:rPr>
        <w:t>函和响应文件，与采购人协商、澄清、解释，签订合同书并执行一切与此有关的事项。</w:t>
      </w:r>
    </w:p>
    <w:p w14:paraId="72B66935">
      <w:pPr>
        <w:keepNext w:val="0"/>
        <w:keepLines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受托人在办理上述事宜过程中以其自己的名义所签署的所有文件我公司均予以承认。受托人无转委托权。</w:t>
      </w:r>
    </w:p>
    <w:p w14:paraId="2392F8AD">
      <w:pPr>
        <w:keepNext w:val="0"/>
        <w:keepLines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委托期限：至上述事宜处理完毕止。</w:t>
      </w:r>
    </w:p>
    <w:p w14:paraId="168DDF02">
      <w:pPr>
        <w:keepNext w:val="0"/>
        <w:keepLines w:val="0"/>
        <w:spacing w:line="520" w:lineRule="exact"/>
        <w:ind w:right="0" w:firstLine="600"/>
        <w:rPr>
          <w:rFonts w:hint="eastAsia" w:ascii="宋体" w:hAnsi="宋体" w:eastAsia="宋体" w:cs="宋体"/>
          <w:b/>
          <w:color w:val="000000"/>
          <w:sz w:val="24"/>
          <w:szCs w:val="24"/>
          <w:highlight w:val="none"/>
        </w:rPr>
      </w:pPr>
    </w:p>
    <w:p w14:paraId="585B3DD1">
      <w:pPr>
        <w:keepNext w:val="0"/>
        <w:keepLines w:val="0"/>
        <w:spacing w:line="520" w:lineRule="exact"/>
        <w:ind w:right="0" w:firstLine="600"/>
        <w:rPr>
          <w:rFonts w:hint="eastAsia" w:ascii="宋体" w:hAnsi="宋体" w:eastAsia="宋体" w:cs="宋体"/>
          <w:b/>
          <w:color w:val="000000"/>
          <w:sz w:val="24"/>
          <w:szCs w:val="24"/>
          <w:highlight w:val="none"/>
        </w:rPr>
      </w:pPr>
    </w:p>
    <w:p w14:paraId="32D367EE">
      <w:pPr>
        <w:keepNext w:val="0"/>
        <w:keepLines w:val="0"/>
        <w:spacing w:line="600" w:lineRule="exact"/>
        <w:ind w:right="0" w:firstLine="48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委托单位</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u w:val="single"/>
          <w:lang w:val="zh-CN"/>
        </w:rPr>
        <w:t>电子签章</w:t>
      </w:r>
      <w:r>
        <w:rPr>
          <w:rFonts w:hint="eastAsia" w:ascii="宋体" w:hAnsi="宋体" w:eastAsia="宋体" w:cs="宋体"/>
          <w:color w:val="000000"/>
          <w:sz w:val="24"/>
          <w:highlight w:val="none"/>
          <w:u w:val="single"/>
        </w:rPr>
        <w:t xml:space="preserve">）    </w:t>
      </w:r>
    </w:p>
    <w:p w14:paraId="361F5D8B">
      <w:pPr>
        <w:keepNext w:val="0"/>
        <w:keepLines w:val="0"/>
        <w:spacing w:line="600" w:lineRule="exact"/>
        <w:ind w:right="0" w:firstLine="48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日</w:t>
      </w:r>
    </w:p>
    <w:p w14:paraId="0FE60A49">
      <w:pPr>
        <w:keepNext w:val="0"/>
        <w:keepLines w:val="0"/>
        <w:spacing w:line="560" w:lineRule="exact"/>
        <w:ind w:right="0" w:firstLine="5481"/>
        <w:rPr>
          <w:rFonts w:hint="eastAsia" w:ascii="宋体" w:hAnsi="宋体" w:eastAsia="宋体" w:cs="宋体"/>
          <w:b/>
          <w:bCs/>
          <w:sz w:val="28"/>
          <w:highlight w:val="none"/>
        </w:rPr>
      </w:pPr>
    </w:p>
    <w:p w14:paraId="27AAEC5F">
      <w:pPr>
        <w:keepNext w:val="0"/>
        <w:keepLines w:val="0"/>
        <w:spacing w:line="640" w:lineRule="exact"/>
        <w:ind w:right="0" w:firstLine="480"/>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注</w:t>
      </w: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rPr>
        <w:t>法定代表人</w:t>
      </w:r>
      <w:r>
        <w:rPr>
          <w:rFonts w:hint="eastAsia" w:ascii="宋体" w:hAnsi="宋体" w:eastAsia="宋体" w:cs="宋体"/>
          <w:bCs/>
          <w:color w:val="000000"/>
          <w:sz w:val="24"/>
          <w:szCs w:val="24"/>
          <w:highlight w:val="none"/>
        </w:rPr>
        <w:t>参加</w:t>
      </w:r>
      <w:r>
        <w:rPr>
          <w:rFonts w:hint="eastAsia" w:ascii="宋体" w:hAnsi="宋体" w:eastAsia="宋体" w:cs="宋体"/>
          <w:bCs/>
          <w:color w:val="000000"/>
          <w:sz w:val="24"/>
          <w:szCs w:val="24"/>
          <w:highlight w:val="none"/>
          <w:lang w:eastAsia="zh-CN"/>
        </w:rPr>
        <w:t>投标</w:t>
      </w:r>
      <w:r>
        <w:rPr>
          <w:rFonts w:hint="eastAsia" w:ascii="宋体" w:hAnsi="宋体" w:eastAsia="宋体" w:cs="宋体"/>
          <w:bCs/>
          <w:color w:val="000000"/>
          <w:sz w:val="24"/>
          <w:szCs w:val="24"/>
          <w:highlight w:val="none"/>
        </w:rPr>
        <w:t>的，必须附</w:t>
      </w:r>
      <w:r>
        <w:rPr>
          <w:rFonts w:hint="eastAsia" w:ascii="宋体" w:hAnsi="宋体" w:eastAsia="宋体" w:cs="宋体"/>
          <w:bCs/>
          <w:sz w:val="24"/>
          <w:szCs w:val="24"/>
          <w:highlight w:val="none"/>
        </w:rPr>
        <w:t>法定代表人</w:t>
      </w:r>
      <w:r>
        <w:rPr>
          <w:rFonts w:hint="eastAsia" w:ascii="宋体" w:hAnsi="宋体" w:eastAsia="宋体" w:cs="宋体"/>
          <w:bCs/>
          <w:color w:val="000000"/>
          <w:sz w:val="24"/>
          <w:szCs w:val="24"/>
          <w:highlight w:val="none"/>
        </w:rPr>
        <w:t>身份证扫描件加盖</w:t>
      </w:r>
      <w:r>
        <w:rPr>
          <w:rFonts w:hint="eastAsia" w:ascii="宋体" w:hAnsi="宋体" w:eastAsia="宋体" w:cs="宋体"/>
          <w:bCs/>
          <w:color w:val="000000"/>
          <w:sz w:val="24"/>
          <w:szCs w:val="24"/>
          <w:highlight w:val="none"/>
          <w:lang w:eastAsia="zh-CN"/>
        </w:rPr>
        <w:t>投标人</w:t>
      </w:r>
      <w:r>
        <w:rPr>
          <w:rFonts w:hint="eastAsia" w:ascii="宋体" w:hAnsi="宋体" w:eastAsia="宋体" w:cs="宋体"/>
          <w:bCs/>
          <w:color w:val="000000"/>
          <w:sz w:val="24"/>
          <w:szCs w:val="24"/>
          <w:highlight w:val="none"/>
        </w:rPr>
        <w:t>电子签章。</w:t>
      </w:r>
      <w:r>
        <w:rPr>
          <w:rFonts w:hint="eastAsia" w:ascii="宋体" w:hAnsi="宋体" w:eastAsia="宋体" w:cs="宋体"/>
          <w:color w:val="000000"/>
          <w:sz w:val="24"/>
          <w:szCs w:val="24"/>
          <w:highlight w:val="none"/>
        </w:rPr>
        <w:t>法定代表人授权其他人参加</w:t>
      </w:r>
      <w:r>
        <w:rPr>
          <w:rFonts w:hint="eastAsia" w:ascii="宋体" w:hAnsi="宋体" w:eastAsia="宋体" w:cs="宋体"/>
          <w:color w:val="000000"/>
          <w:sz w:val="24"/>
          <w:szCs w:val="24"/>
          <w:highlight w:val="none"/>
          <w:lang w:eastAsia="zh-CN"/>
        </w:rPr>
        <w:t>投标</w:t>
      </w:r>
      <w:r>
        <w:rPr>
          <w:rFonts w:hint="eastAsia" w:ascii="宋体" w:hAnsi="宋体" w:eastAsia="宋体" w:cs="宋体"/>
          <w:color w:val="000000"/>
          <w:sz w:val="24"/>
          <w:szCs w:val="24"/>
          <w:highlight w:val="none"/>
        </w:rPr>
        <w:t>的，仅需填写“授权委托书”。</w:t>
      </w:r>
    </w:p>
    <w:p w14:paraId="29451184">
      <w:pPr>
        <w:keepNext w:val="0"/>
        <w:keepLines w:val="0"/>
        <w:spacing w:line="520" w:lineRule="exact"/>
        <w:ind w:left="-359" w:right="0" w:firstLine="470"/>
        <w:rPr>
          <w:rFonts w:hint="eastAsia" w:ascii="宋体" w:hAnsi="宋体" w:eastAsia="宋体" w:cs="宋体"/>
          <w:bCs/>
          <w:sz w:val="24"/>
          <w:szCs w:val="24"/>
          <w:highlight w:val="none"/>
        </w:rPr>
      </w:pPr>
    </w:p>
    <w:p w14:paraId="579279AF">
      <w:pPr>
        <w:keepNext w:val="0"/>
        <w:keepLines w:val="0"/>
        <w:pageBreakBefore/>
        <w:widowControl w:val="0"/>
        <w:ind w:right="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示范格式三</w:t>
      </w:r>
    </w:p>
    <w:p w14:paraId="203C37A1">
      <w:pPr>
        <w:keepNext w:val="0"/>
        <w:keepLines w:val="0"/>
        <w:ind w:right="0"/>
        <w:rPr>
          <w:rFonts w:hint="eastAsia" w:ascii="宋体" w:hAnsi="宋体" w:eastAsia="宋体" w:cs="宋体"/>
          <w:b/>
          <w:sz w:val="24"/>
          <w:szCs w:val="24"/>
          <w:highlight w:val="none"/>
        </w:rPr>
      </w:pPr>
    </w:p>
    <w:p w14:paraId="7E3C4533">
      <w:pPr>
        <w:pStyle w:val="201"/>
        <w:keepNext w:val="0"/>
        <w:keepLines w:val="0"/>
        <w:ind w:right="0"/>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符合《</w:t>
      </w:r>
      <w:r>
        <w:rPr>
          <w:rFonts w:hint="eastAsia" w:ascii="宋体" w:hAnsi="宋体" w:eastAsia="宋体" w:cs="宋体"/>
          <w:b/>
          <w:sz w:val="30"/>
          <w:szCs w:val="30"/>
          <w:highlight w:val="none"/>
          <w:lang w:eastAsia="zh-CN"/>
        </w:rPr>
        <w:t>中华人民共和国政府采购法</w:t>
      </w:r>
      <w:r>
        <w:rPr>
          <w:rFonts w:hint="eastAsia" w:ascii="宋体" w:hAnsi="宋体" w:eastAsia="宋体" w:cs="宋体"/>
          <w:b/>
          <w:sz w:val="30"/>
          <w:szCs w:val="30"/>
          <w:highlight w:val="none"/>
        </w:rPr>
        <w:t>》第二十二条规定条件的声明函</w:t>
      </w:r>
    </w:p>
    <w:p w14:paraId="21BD4F6F">
      <w:pPr>
        <w:keepNext w:val="0"/>
        <w:keepLines w:val="0"/>
        <w:pageBreakBefore w:val="0"/>
        <w:widowControl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我公司参加</w:t>
      </w:r>
      <w:r>
        <w:rPr>
          <w:rFonts w:hint="eastAsia" w:ascii="宋体" w:hAnsi="宋体" w:eastAsia="宋体" w:cs="宋体"/>
          <w:color w:val="000000"/>
          <w:sz w:val="24"/>
          <w:highlight w:val="none"/>
          <w:u w:val="single"/>
          <w:lang w:eastAsia="zh-CN"/>
        </w:rPr>
        <w:t>金湖县农业农村局</w:t>
      </w:r>
      <w:r>
        <w:rPr>
          <w:rFonts w:hint="eastAsia" w:ascii="宋体" w:hAnsi="宋体" w:eastAsia="宋体" w:cs="宋体"/>
          <w:color w:val="000000"/>
          <w:sz w:val="24"/>
          <w:highlight w:val="none"/>
        </w:rPr>
        <w:t>组织实施的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采购项目的政府采购活动。针对《中华人民共和国政府采购法》第二十二条规定作出如下声明：</w:t>
      </w:r>
    </w:p>
    <w:p w14:paraId="73AC32DA">
      <w:pPr>
        <w:keepNext w:val="0"/>
        <w:keepLines w:val="0"/>
        <w:pageBreakBefore w:val="0"/>
        <w:widowControl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我单位具有独立承担民事责任的能力；</w:t>
      </w:r>
    </w:p>
    <w:p w14:paraId="6759683C">
      <w:pPr>
        <w:keepNext w:val="0"/>
        <w:keepLines w:val="0"/>
        <w:pageBreakBefore w:val="0"/>
        <w:widowControl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我单位具有良好的商业信誉和健全的财务会计制度；</w:t>
      </w:r>
    </w:p>
    <w:p w14:paraId="7500D973">
      <w:pPr>
        <w:keepNext w:val="0"/>
        <w:keepLines w:val="0"/>
        <w:pageBreakBefore w:val="0"/>
        <w:widowControl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我单位具有履行合同所必需的设备和专业技术能力；</w:t>
      </w:r>
    </w:p>
    <w:p w14:paraId="70A128D2">
      <w:pPr>
        <w:keepNext w:val="0"/>
        <w:keepLines w:val="0"/>
        <w:pageBreakBefore w:val="0"/>
        <w:widowControl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我单位有依法缴纳税收和社会保障资金的良好记录；</w:t>
      </w:r>
    </w:p>
    <w:p w14:paraId="31466123">
      <w:pPr>
        <w:keepNext w:val="0"/>
        <w:keepLines w:val="0"/>
        <w:pageBreakBefore w:val="0"/>
        <w:widowControl w:val="0"/>
        <w:spacing w:line="600" w:lineRule="exact"/>
        <w:ind w:right="0"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5</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参加本次政府采购活动前</w:t>
      </w:r>
      <w:r>
        <w:rPr>
          <w:rFonts w:hint="eastAsia" w:ascii="宋体" w:hAnsi="宋体" w:eastAsia="宋体" w:cs="宋体"/>
          <w:color w:val="000000"/>
          <w:sz w:val="24"/>
          <w:highlight w:val="none"/>
          <w:lang w:val="en-US" w:eastAsia="zh-CN"/>
        </w:rPr>
        <w:t>三年</w:t>
      </w:r>
      <w:r>
        <w:rPr>
          <w:rFonts w:hint="eastAsia" w:ascii="宋体" w:hAnsi="宋体" w:eastAsia="宋体" w:cs="宋体"/>
          <w:color w:val="000000"/>
          <w:sz w:val="24"/>
          <w:highlight w:val="none"/>
        </w:rPr>
        <w:t>内，我公司在经营活动中没有因违法经营受到刑事处罚或者责令停产停业、吊销许可证或者执照、较大数额罚款等行政处罚；</w:t>
      </w:r>
    </w:p>
    <w:p w14:paraId="3E4B8979">
      <w:pPr>
        <w:keepNext w:val="0"/>
        <w:keepLines w:val="0"/>
        <w:pageBreakBefore w:val="0"/>
        <w:widowControl w:val="0"/>
        <w:spacing w:line="600" w:lineRule="exact"/>
        <w:ind w:right="0" w:firstLine="480"/>
        <w:jc w:val="left"/>
        <w:rPr>
          <w:rFonts w:hint="eastAsia" w:ascii="宋体" w:hAnsi="宋体" w:eastAsia="宋体" w:cs="宋体"/>
          <w:bCs/>
          <w:sz w:val="24"/>
          <w:highlight w:val="none"/>
        </w:rPr>
      </w:pPr>
      <w:r>
        <w:rPr>
          <w:rFonts w:hint="eastAsia" w:ascii="宋体" w:hAnsi="宋体" w:eastAsia="宋体" w:cs="宋体"/>
          <w:color w:val="000000"/>
          <w:sz w:val="24"/>
          <w:highlight w:val="none"/>
        </w:rPr>
        <w:t>6</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我单位满足法律、行政法规规定的其他条件。</w:t>
      </w:r>
    </w:p>
    <w:p w14:paraId="6EED2C5D">
      <w:pPr>
        <w:pStyle w:val="201"/>
        <w:keepNext w:val="0"/>
        <w:keepLines w:val="0"/>
        <w:spacing w:line="600" w:lineRule="exact"/>
        <w:ind w:right="0" w:firstLine="4320"/>
        <w:rPr>
          <w:rFonts w:hint="eastAsia" w:ascii="宋体" w:hAnsi="宋体" w:eastAsia="宋体" w:cs="宋体"/>
          <w:bCs/>
          <w:sz w:val="24"/>
          <w:szCs w:val="24"/>
          <w:highlight w:val="none"/>
        </w:rPr>
      </w:pPr>
    </w:p>
    <w:p w14:paraId="76D6CA74">
      <w:pPr>
        <w:pStyle w:val="201"/>
        <w:keepNext w:val="0"/>
        <w:keepLines w:val="0"/>
        <w:spacing w:line="600" w:lineRule="exact"/>
        <w:ind w:right="0" w:firstLine="4320"/>
        <w:rPr>
          <w:rFonts w:hint="eastAsia" w:ascii="宋体" w:hAnsi="宋体" w:eastAsia="宋体" w:cs="宋体"/>
          <w:bCs/>
          <w:sz w:val="24"/>
          <w:szCs w:val="24"/>
          <w:highlight w:val="none"/>
        </w:rPr>
      </w:pPr>
    </w:p>
    <w:p w14:paraId="55115012">
      <w:pPr>
        <w:keepNext w:val="0"/>
        <w:keepLines w:val="0"/>
        <w:spacing w:line="600" w:lineRule="exact"/>
        <w:ind w:right="0" w:firstLine="600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承诺人：</w:t>
      </w:r>
      <w:r>
        <w:rPr>
          <w:rFonts w:hint="eastAsia" w:ascii="宋体" w:hAnsi="宋体" w:eastAsia="宋体" w:cs="宋体"/>
          <w:color w:val="000000"/>
          <w:sz w:val="24"/>
          <w:highlight w:val="none"/>
          <w:u w:val="single"/>
        </w:rPr>
        <w:t>（</w:t>
      </w:r>
      <w:r>
        <w:rPr>
          <w:rFonts w:hint="eastAsia" w:ascii="宋体" w:hAnsi="宋体" w:eastAsia="宋体" w:cs="宋体"/>
          <w:sz w:val="24"/>
          <w:szCs w:val="24"/>
          <w:highlight w:val="none"/>
          <w:u w:val="single"/>
          <w:lang w:val="zh-CN"/>
        </w:rPr>
        <w:t>电子签章</w:t>
      </w:r>
      <w:r>
        <w:rPr>
          <w:rFonts w:hint="eastAsia" w:ascii="宋体" w:hAnsi="宋体" w:eastAsia="宋体" w:cs="宋体"/>
          <w:color w:val="000000"/>
          <w:sz w:val="24"/>
          <w:highlight w:val="none"/>
          <w:u w:val="single"/>
        </w:rPr>
        <w:t>）</w:t>
      </w:r>
    </w:p>
    <w:p w14:paraId="57D1266F">
      <w:pPr>
        <w:keepNext w:val="0"/>
        <w:keepLines w:val="0"/>
        <w:spacing w:line="600" w:lineRule="exact"/>
        <w:ind w:right="0"/>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p>
    <w:p w14:paraId="220655AB">
      <w:pPr>
        <w:keepNext w:val="0"/>
        <w:keepLines w:val="0"/>
        <w:spacing w:line="520" w:lineRule="exact"/>
        <w:ind w:right="0"/>
        <w:rPr>
          <w:rFonts w:hint="eastAsia" w:ascii="宋体" w:hAnsi="宋体" w:eastAsia="宋体" w:cs="宋体"/>
          <w:color w:val="000000"/>
          <w:sz w:val="24"/>
          <w:szCs w:val="24"/>
          <w:highlight w:val="none"/>
          <w:u w:val="single"/>
        </w:rPr>
      </w:pPr>
    </w:p>
    <w:p w14:paraId="57E92B0A">
      <w:pPr>
        <w:keepNext w:val="0"/>
        <w:keepLines w:val="0"/>
        <w:ind w:right="0"/>
        <w:rPr>
          <w:rFonts w:hint="eastAsia" w:ascii="宋体" w:hAnsi="宋体" w:eastAsia="宋体" w:cs="宋体"/>
          <w:b/>
          <w:sz w:val="24"/>
          <w:szCs w:val="24"/>
          <w:highlight w:val="none"/>
        </w:rPr>
      </w:pPr>
    </w:p>
    <w:p w14:paraId="3E622396">
      <w:pPr>
        <w:keepNext w:val="0"/>
        <w:keepLines w:val="0"/>
        <w:ind w:right="0"/>
        <w:rPr>
          <w:rFonts w:hint="eastAsia" w:ascii="宋体" w:hAnsi="宋体" w:eastAsia="宋体" w:cs="宋体"/>
          <w:b/>
          <w:sz w:val="24"/>
          <w:szCs w:val="24"/>
          <w:highlight w:val="none"/>
        </w:rPr>
      </w:pPr>
    </w:p>
    <w:p w14:paraId="48D45833">
      <w:pPr>
        <w:keepNext w:val="0"/>
        <w:keepLines w:val="0"/>
        <w:ind w:right="0"/>
        <w:rPr>
          <w:rFonts w:hint="eastAsia" w:ascii="宋体" w:hAnsi="宋体" w:eastAsia="宋体" w:cs="宋体"/>
          <w:b/>
          <w:sz w:val="24"/>
          <w:szCs w:val="24"/>
          <w:highlight w:val="none"/>
        </w:rPr>
      </w:pPr>
    </w:p>
    <w:p w14:paraId="66091C92">
      <w:pPr>
        <w:keepNext w:val="0"/>
        <w:keepLines w:val="0"/>
        <w:ind w:right="0"/>
        <w:rPr>
          <w:rFonts w:hint="eastAsia" w:ascii="宋体" w:hAnsi="宋体" w:eastAsia="宋体" w:cs="宋体"/>
          <w:b/>
          <w:sz w:val="24"/>
          <w:szCs w:val="24"/>
          <w:highlight w:val="none"/>
        </w:rPr>
      </w:pPr>
    </w:p>
    <w:p w14:paraId="68C3C469">
      <w:pPr>
        <w:keepNext w:val="0"/>
        <w:keepLines w:val="0"/>
        <w:ind w:right="0"/>
        <w:rPr>
          <w:rFonts w:hint="eastAsia" w:ascii="宋体" w:hAnsi="宋体" w:eastAsia="宋体" w:cs="宋体"/>
          <w:b/>
          <w:sz w:val="24"/>
          <w:szCs w:val="24"/>
          <w:highlight w:val="none"/>
        </w:rPr>
      </w:pPr>
    </w:p>
    <w:p w14:paraId="5C0DB1B5">
      <w:pPr>
        <w:keepNext w:val="0"/>
        <w:keepLines w:val="0"/>
        <w:ind w:right="0"/>
        <w:rPr>
          <w:rFonts w:hint="eastAsia" w:ascii="宋体" w:hAnsi="宋体" w:eastAsia="宋体" w:cs="宋体"/>
          <w:b/>
          <w:sz w:val="24"/>
          <w:szCs w:val="24"/>
          <w:highlight w:val="none"/>
        </w:rPr>
      </w:pPr>
    </w:p>
    <w:p w14:paraId="446C6810">
      <w:pPr>
        <w:keepNext w:val="0"/>
        <w:keepLines w:val="0"/>
        <w:ind w:right="0"/>
        <w:rPr>
          <w:rFonts w:hint="eastAsia" w:ascii="宋体" w:hAnsi="宋体" w:eastAsia="宋体" w:cs="宋体"/>
          <w:b/>
          <w:sz w:val="24"/>
          <w:szCs w:val="24"/>
          <w:highlight w:val="none"/>
        </w:rPr>
      </w:pPr>
    </w:p>
    <w:p w14:paraId="328D1881">
      <w:pPr>
        <w:keepNext w:val="0"/>
        <w:keepLines w:val="0"/>
        <w:ind w:right="0"/>
        <w:rPr>
          <w:rFonts w:hint="eastAsia" w:ascii="宋体" w:hAnsi="宋体" w:eastAsia="宋体" w:cs="宋体"/>
          <w:b/>
          <w:sz w:val="24"/>
          <w:szCs w:val="24"/>
          <w:highlight w:val="none"/>
        </w:rPr>
      </w:pPr>
    </w:p>
    <w:p w14:paraId="31961EFF">
      <w:pPr>
        <w:keepNext w:val="0"/>
        <w:keepLines w:val="0"/>
        <w:ind w:right="0"/>
        <w:rPr>
          <w:rFonts w:hint="eastAsia" w:ascii="宋体" w:hAnsi="宋体" w:eastAsia="宋体" w:cs="宋体"/>
          <w:b/>
          <w:sz w:val="24"/>
          <w:szCs w:val="24"/>
          <w:highlight w:val="none"/>
        </w:rPr>
      </w:pPr>
    </w:p>
    <w:p w14:paraId="4A0B3486">
      <w:pPr>
        <w:keepNext w:val="0"/>
        <w:keepLines w:val="0"/>
        <w:pageBreakBefore/>
        <w:widowControl w:val="0"/>
        <w:ind w:right="0"/>
        <w:rPr>
          <w:rFonts w:hint="eastAsia" w:ascii="宋体" w:hAnsi="宋体" w:eastAsia="宋体" w:cs="宋体"/>
          <w:sz w:val="24"/>
          <w:szCs w:val="24"/>
          <w:highlight w:val="none"/>
        </w:rPr>
      </w:pPr>
      <w:r>
        <w:rPr>
          <w:rFonts w:hint="eastAsia" w:ascii="宋体" w:hAnsi="宋体" w:eastAsia="宋体" w:cs="宋体"/>
          <w:b/>
          <w:sz w:val="28"/>
          <w:szCs w:val="28"/>
          <w:highlight w:val="none"/>
        </w:rPr>
        <w:t>示范格式四</w:t>
      </w:r>
    </w:p>
    <w:p w14:paraId="1D725BDB">
      <w:pPr>
        <w:keepNext w:val="0"/>
        <w:keepLines w:val="0"/>
        <w:spacing w:line="640" w:lineRule="exact"/>
        <w:ind w:right="0"/>
        <w:jc w:val="center"/>
        <w:rPr>
          <w:rFonts w:hint="eastAsia" w:ascii="宋体" w:hAnsi="宋体" w:eastAsia="宋体" w:cs="宋体"/>
          <w:b/>
          <w:bCs/>
          <w:sz w:val="32"/>
          <w:szCs w:val="32"/>
          <w:highlight w:val="none"/>
        </w:rPr>
      </w:pPr>
      <w:bookmarkStart w:id="53" w:name="_Toc7099"/>
      <w:r>
        <w:rPr>
          <w:rFonts w:hint="eastAsia" w:ascii="宋体" w:hAnsi="宋体" w:eastAsia="宋体" w:cs="宋体"/>
          <w:b/>
          <w:bCs/>
          <w:sz w:val="32"/>
          <w:szCs w:val="32"/>
          <w:highlight w:val="none"/>
          <w:lang w:val="en-US" w:eastAsia="zh-CN"/>
        </w:rPr>
        <w:t>中小</w:t>
      </w:r>
      <w:r>
        <w:rPr>
          <w:rFonts w:hint="eastAsia" w:ascii="宋体" w:hAnsi="宋体" w:eastAsia="宋体" w:cs="宋体"/>
          <w:b/>
          <w:bCs/>
          <w:sz w:val="32"/>
          <w:szCs w:val="32"/>
          <w:highlight w:val="none"/>
        </w:rPr>
        <w:t>企业声明函（服务）</w:t>
      </w:r>
    </w:p>
    <w:p w14:paraId="084440DD">
      <w:pPr>
        <w:pStyle w:val="187"/>
        <w:keepNext w:val="0"/>
        <w:keepLines w:val="0"/>
        <w:spacing w:line="600" w:lineRule="exact"/>
        <w:ind w:right="0"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14:paraId="23C89891">
      <w:pPr>
        <w:pStyle w:val="187"/>
        <w:keepNext w:val="0"/>
        <w:keepLines w:val="0"/>
        <w:spacing w:line="600" w:lineRule="exact"/>
        <w:ind w:right="0"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，属于（采购文件中明确的所属行业）；承接企业为（企业名称），从业人员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万元，属于</w:t>
      </w:r>
      <w:r>
        <w:rPr>
          <w:rFonts w:hint="eastAsia" w:ascii="宋体" w:hAnsi="宋体" w:eastAsia="宋体" w:cs="宋体"/>
          <w:bCs/>
          <w:color w:val="000000"/>
          <w:sz w:val="24"/>
          <w:szCs w:val="24"/>
          <w:highlight w:val="none"/>
          <w:u w:val="single"/>
        </w:rPr>
        <w:t>（中型企业、小型企业、微型企业）</w:t>
      </w:r>
      <w:r>
        <w:rPr>
          <w:rFonts w:hint="eastAsia" w:ascii="宋体" w:hAnsi="宋体" w:eastAsia="宋体" w:cs="宋体"/>
          <w:bCs/>
          <w:color w:val="000000"/>
          <w:sz w:val="24"/>
          <w:szCs w:val="24"/>
          <w:highlight w:val="none"/>
        </w:rPr>
        <w:t xml:space="preserve">； </w:t>
      </w:r>
    </w:p>
    <w:p w14:paraId="4E72D8B2">
      <w:pPr>
        <w:pStyle w:val="187"/>
        <w:keepNext w:val="0"/>
        <w:keepLines w:val="0"/>
        <w:spacing w:line="600" w:lineRule="exact"/>
        <w:ind w:right="0"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（标的名称） </w:t>
      </w:r>
      <w:r>
        <w:rPr>
          <w:rFonts w:hint="eastAsia" w:ascii="宋体" w:hAnsi="宋体" w:eastAsia="宋体" w:cs="宋体"/>
          <w:bCs/>
          <w:color w:val="000000"/>
          <w:sz w:val="24"/>
          <w:szCs w:val="24"/>
          <w:highlight w:val="none"/>
        </w:rPr>
        <w:t>，属于（采购文件中明确的所属行业）；承接企业为（企业名称），从业人员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万元，属于</w:t>
      </w:r>
      <w:r>
        <w:rPr>
          <w:rFonts w:hint="eastAsia" w:ascii="宋体" w:hAnsi="宋体" w:eastAsia="宋体" w:cs="宋体"/>
          <w:bCs/>
          <w:color w:val="000000"/>
          <w:sz w:val="24"/>
          <w:szCs w:val="24"/>
          <w:highlight w:val="none"/>
          <w:u w:val="single"/>
        </w:rPr>
        <w:t>（中型企业、小型企业、微型企业）</w:t>
      </w:r>
      <w:r>
        <w:rPr>
          <w:rFonts w:hint="eastAsia" w:ascii="宋体" w:hAnsi="宋体" w:eastAsia="宋体" w:cs="宋体"/>
          <w:bCs/>
          <w:color w:val="000000"/>
          <w:sz w:val="24"/>
          <w:szCs w:val="24"/>
          <w:highlight w:val="none"/>
        </w:rPr>
        <w:t xml:space="preserve">； </w:t>
      </w:r>
    </w:p>
    <w:p w14:paraId="02C21668">
      <w:pPr>
        <w:pStyle w:val="187"/>
        <w:keepNext w:val="0"/>
        <w:keepLines w:val="0"/>
        <w:spacing w:line="600" w:lineRule="exact"/>
        <w:ind w:right="0"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w:t>
      </w:r>
    </w:p>
    <w:p w14:paraId="28395518">
      <w:pPr>
        <w:pStyle w:val="187"/>
        <w:keepNext w:val="0"/>
        <w:keepLines w:val="0"/>
        <w:spacing w:line="600" w:lineRule="exact"/>
        <w:ind w:right="0"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以上企业，不属于大企业的分支机构，不存在控股股东为大企业的情形，也不存在与大企业的负责人为同一人的情形。</w:t>
      </w:r>
    </w:p>
    <w:p w14:paraId="39E9BF39">
      <w:pPr>
        <w:pStyle w:val="187"/>
        <w:keepNext w:val="0"/>
        <w:keepLines w:val="0"/>
        <w:spacing w:line="600" w:lineRule="exact"/>
        <w:ind w:right="0"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 </w:t>
      </w:r>
    </w:p>
    <w:p w14:paraId="77E12F68">
      <w:pPr>
        <w:keepNext w:val="0"/>
        <w:keepLines w:val="0"/>
        <w:spacing w:line="640" w:lineRule="exact"/>
        <w:ind w:right="0"/>
        <w:jc w:val="center"/>
        <w:rPr>
          <w:rFonts w:hint="eastAsia" w:ascii="宋体" w:hAnsi="宋体" w:eastAsia="宋体" w:cs="宋体"/>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u w:val="single"/>
          <w:lang w:val="zh-CN"/>
        </w:rPr>
        <w:t xml:space="preserve">        （电子签章）     </w:t>
      </w:r>
    </w:p>
    <w:p w14:paraId="50E09096">
      <w:pPr>
        <w:keepNext w:val="0"/>
        <w:keepLines w:val="0"/>
        <w:spacing w:line="640" w:lineRule="exact"/>
        <w:ind w:right="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rPr>
        <w:t>（电子签章）</w:t>
      </w:r>
    </w:p>
    <w:p w14:paraId="45FCFDAA">
      <w:pPr>
        <w:keepNext w:val="0"/>
        <w:keepLines w:val="0"/>
        <w:spacing w:line="640" w:lineRule="exact"/>
        <w:ind w:right="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期</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日</w:t>
      </w:r>
    </w:p>
    <w:p w14:paraId="64C816E1">
      <w:pPr>
        <w:pStyle w:val="187"/>
        <w:keepNext w:val="0"/>
        <w:keepLines w:val="0"/>
        <w:spacing w:line="600" w:lineRule="exact"/>
        <w:ind w:right="0"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注：从业人员、营业收入、资产总额填报上一年度数据，无上一年度数据的新成立企业可不填报。</w:t>
      </w:r>
    </w:p>
    <w:p w14:paraId="3FB42366">
      <w:pPr>
        <w:keepNext w:val="0"/>
        <w:keepLines w:val="0"/>
        <w:pageBreakBefore/>
        <w:spacing w:line="640" w:lineRule="exact"/>
        <w:ind w:right="0"/>
        <w:jc w:val="left"/>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rPr>
        <w:t>示范格式五</w:t>
      </w:r>
      <w:bookmarkEnd w:id="53"/>
    </w:p>
    <w:p w14:paraId="6C851965">
      <w:pPr>
        <w:keepNext w:val="0"/>
        <w:keepLines w:val="0"/>
        <w:widowControl/>
        <w:spacing w:line="640" w:lineRule="exact"/>
        <w:ind w:right="0"/>
        <w:jc w:val="center"/>
        <w:outlineLvl w:val="9"/>
        <w:rPr>
          <w:rFonts w:hint="eastAsia" w:ascii="宋体" w:hAnsi="宋体" w:eastAsia="宋体" w:cs="宋体"/>
          <w:sz w:val="32"/>
          <w:szCs w:val="32"/>
          <w:highlight w:val="none"/>
        </w:rPr>
      </w:pPr>
      <w:bookmarkStart w:id="54" w:name="_Toc7212"/>
      <w:r>
        <w:rPr>
          <w:rFonts w:hint="eastAsia" w:ascii="宋体" w:hAnsi="宋体" w:eastAsia="宋体" w:cs="宋体"/>
          <w:b/>
          <w:bCs/>
          <w:color w:val="000000"/>
          <w:sz w:val="32"/>
          <w:szCs w:val="32"/>
          <w:highlight w:val="none"/>
        </w:rPr>
        <w:t>残疾人福利性单位声明函</w:t>
      </w:r>
      <w:bookmarkEnd w:id="54"/>
    </w:p>
    <w:p w14:paraId="22EA2262">
      <w:pPr>
        <w:pStyle w:val="187"/>
        <w:keepNext w:val="0"/>
        <w:keepLines w:val="0"/>
        <w:spacing w:line="640" w:lineRule="exact"/>
        <w:ind w:right="0"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eastAsia="宋体" w:cs="宋体"/>
          <w:bCs/>
          <w:color w:val="000000"/>
          <w:sz w:val="24"/>
          <w:szCs w:val="24"/>
          <w:highlight w:val="none"/>
          <w:lang w:eastAsia="zh-CN"/>
        </w:rPr>
        <w:t>：</w:t>
      </w:r>
    </w:p>
    <w:p w14:paraId="692F0616">
      <w:pPr>
        <w:pStyle w:val="187"/>
        <w:keepNext w:val="0"/>
        <w:keepLines w:val="0"/>
        <w:spacing w:line="640" w:lineRule="exact"/>
        <w:ind w:right="0"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1、根据《财政部 民政部 中国残疾人联合会关于促进残疾人就业政府采购政策的通知》（财库〔2017〕141号）规定的划分标准，本公司为残疾人福利性企业。</w:t>
      </w:r>
    </w:p>
    <w:p w14:paraId="7E3AE4A6">
      <w:pPr>
        <w:pStyle w:val="187"/>
        <w:keepNext w:val="0"/>
        <w:keepLines w:val="0"/>
        <w:spacing w:line="640" w:lineRule="exact"/>
        <w:ind w:right="0" w:firstLine="5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52DF911E">
      <w:pPr>
        <w:pStyle w:val="187"/>
        <w:keepNext w:val="0"/>
        <w:keepLines w:val="0"/>
        <w:spacing w:line="640" w:lineRule="exact"/>
        <w:ind w:right="0" w:firstLine="560"/>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注</w:t>
      </w:r>
      <w:r>
        <w:rPr>
          <w:rFonts w:hint="eastAsia" w:ascii="宋体" w:hAnsi="宋体" w:eastAsia="宋体" w:cs="宋体"/>
          <w:sz w:val="24"/>
          <w:szCs w:val="24"/>
          <w:highlight w:val="none"/>
          <w:lang w:eastAsia="zh-CN"/>
        </w:rPr>
        <w:t>：</w:t>
      </w:r>
      <w:r>
        <w:rPr>
          <w:rFonts w:hint="eastAsia" w:ascii="宋体" w:hAnsi="宋体" w:eastAsia="宋体" w:cs="宋体"/>
          <w:bCs/>
          <w:color w:val="000000"/>
          <w:sz w:val="24"/>
          <w:szCs w:val="24"/>
          <w:highlight w:val="none"/>
        </w:rPr>
        <w:t>本公司对上述声明的真实性负责。如有虚假，将依法承担相应责任。</w:t>
      </w:r>
    </w:p>
    <w:p w14:paraId="2941726E">
      <w:pPr>
        <w:pStyle w:val="187"/>
        <w:keepNext w:val="0"/>
        <w:keepLines w:val="0"/>
        <w:spacing w:line="640" w:lineRule="exact"/>
        <w:ind w:right="0" w:firstLine="560"/>
        <w:rPr>
          <w:rFonts w:hint="eastAsia" w:ascii="宋体" w:hAnsi="宋体" w:eastAsia="宋体" w:cs="宋体"/>
          <w:sz w:val="24"/>
          <w:szCs w:val="24"/>
          <w:highlight w:val="none"/>
        </w:rPr>
      </w:pPr>
    </w:p>
    <w:p w14:paraId="2922A013">
      <w:pPr>
        <w:keepNext w:val="0"/>
        <w:keepLines w:val="0"/>
        <w:spacing w:line="640" w:lineRule="exact"/>
        <w:ind w:right="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投标人：</w:t>
      </w:r>
      <w:r>
        <w:rPr>
          <w:rFonts w:hint="eastAsia" w:ascii="宋体" w:hAnsi="宋体" w:eastAsia="宋体" w:cs="宋体"/>
          <w:sz w:val="24"/>
          <w:szCs w:val="24"/>
          <w:highlight w:val="none"/>
          <w:u w:val="single"/>
          <w:lang w:val="zh-CN"/>
        </w:rPr>
        <w:t xml:space="preserve">        （电子签章）     </w:t>
      </w:r>
    </w:p>
    <w:p w14:paraId="7B5DBD92">
      <w:pPr>
        <w:keepNext w:val="0"/>
        <w:keepLines w:val="0"/>
        <w:spacing w:line="640" w:lineRule="exact"/>
        <w:ind w:right="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u w:val="single"/>
        </w:rPr>
        <w:t>（电子签章）</w:t>
      </w:r>
    </w:p>
    <w:p w14:paraId="2A0FAAD5">
      <w:pPr>
        <w:keepNext w:val="0"/>
        <w:keepLines w:val="0"/>
        <w:spacing w:line="640" w:lineRule="exact"/>
        <w:ind w:right="0"/>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日</w:t>
      </w:r>
    </w:p>
    <w:p w14:paraId="026EE604">
      <w:pPr>
        <w:keepNext w:val="0"/>
        <w:keepLines w:val="0"/>
        <w:spacing w:line="640" w:lineRule="exact"/>
        <w:ind w:right="0" w:firstLine="484"/>
        <w:rPr>
          <w:rFonts w:hint="eastAsia" w:ascii="宋体" w:hAnsi="宋体" w:eastAsia="宋体" w:cs="宋体"/>
          <w:sz w:val="24"/>
          <w:szCs w:val="24"/>
          <w:highlight w:val="none"/>
        </w:rPr>
      </w:pPr>
      <w:r>
        <w:rPr>
          <w:rFonts w:hint="eastAsia" w:ascii="宋体" w:hAnsi="宋体" w:eastAsia="宋体" w:cs="宋体"/>
          <w:sz w:val="24"/>
          <w:szCs w:val="24"/>
          <w:highlight w:val="none"/>
        </w:rPr>
        <w:t>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非</w:t>
      </w:r>
      <w:r>
        <w:rPr>
          <w:rFonts w:hint="eastAsia" w:ascii="宋体" w:hAnsi="宋体" w:eastAsia="宋体" w:cs="宋体"/>
          <w:color w:val="000000"/>
          <w:sz w:val="24"/>
          <w:szCs w:val="24"/>
          <w:highlight w:val="none"/>
        </w:rPr>
        <w:t>残疾人福利性单位不</w:t>
      </w:r>
      <w:r>
        <w:rPr>
          <w:rFonts w:hint="eastAsia" w:ascii="宋体" w:hAnsi="宋体" w:eastAsia="宋体" w:cs="宋体"/>
          <w:sz w:val="24"/>
          <w:szCs w:val="24"/>
          <w:highlight w:val="none"/>
        </w:rPr>
        <w:t>需提供此函。</w:t>
      </w:r>
    </w:p>
    <w:p w14:paraId="3A26868A">
      <w:pPr>
        <w:keepNext w:val="0"/>
        <w:keepLines w:val="0"/>
        <w:ind w:right="0"/>
        <w:jc w:val="center"/>
        <w:rPr>
          <w:rFonts w:hint="eastAsia" w:ascii="宋体" w:hAnsi="宋体" w:eastAsia="宋体" w:cs="宋体"/>
          <w:b/>
          <w:color w:val="000000"/>
          <w:sz w:val="30"/>
          <w:szCs w:val="30"/>
          <w:highlight w:val="none"/>
        </w:rPr>
      </w:pPr>
    </w:p>
    <w:p w14:paraId="46070910">
      <w:pPr>
        <w:keepNext w:val="0"/>
        <w:keepLines w:val="0"/>
        <w:spacing w:line="520" w:lineRule="exact"/>
        <w:ind w:right="0" w:firstLine="548"/>
        <w:rPr>
          <w:rFonts w:hint="eastAsia" w:ascii="宋体" w:hAnsi="宋体" w:eastAsia="宋体" w:cs="宋体"/>
          <w:bCs/>
          <w:sz w:val="28"/>
          <w:highlight w:val="none"/>
        </w:rPr>
      </w:pPr>
    </w:p>
    <w:p w14:paraId="1E9F63FC">
      <w:pPr>
        <w:keepNext w:val="0"/>
        <w:keepLines w:val="0"/>
        <w:pageBreakBefore/>
        <w:spacing w:line="640" w:lineRule="exact"/>
        <w:ind w:right="0"/>
        <w:jc w:val="left"/>
        <w:outlineLvl w:val="9"/>
        <w:rPr>
          <w:rFonts w:hint="eastAsia" w:ascii="宋体" w:hAnsi="宋体" w:eastAsia="宋体" w:cs="宋体"/>
          <w:highlight w:val="none"/>
        </w:rPr>
      </w:pPr>
      <w:bookmarkStart w:id="55" w:name="_Toc20345"/>
      <w:r>
        <w:rPr>
          <w:rFonts w:hint="eastAsia" w:ascii="宋体" w:hAnsi="宋体" w:eastAsia="宋体" w:cs="宋体"/>
          <w:b/>
          <w:sz w:val="28"/>
          <w:szCs w:val="28"/>
          <w:highlight w:val="none"/>
        </w:rPr>
        <w:t>示范格式</w:t>
      </w:r>
      <w:r>
        <w:rPr>
          <w:rFonts w:hint="eastAsia" w:ascii="宋体" w:hAnsi="宋体" w:eastAsia="宋体" w:cs="宋体"/>
          <w:b/>
          <w:sz w:val="28"/>
          <w:szCs w:val="28"/>
          <w:highlight w:val="none"/>
          <w:lang w:val="en-US" w:eastAsia="zh-CN"/>
        </w:rPr>
        <w:t>六</w:t>
      </w:r>
      <w:bookmarkEnd w:id="55"/>
    </w:p>
    <w:p w14:paraId="6D461926">
      <w:pPr>
        <w:keepNext w:val="0"/>
        <w:keepLines w:val="0"/>
        <w:spacing w:line="640" w:lineRule="exact"/>
        <w:ind w:right="0"/>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承 诺 书</w:t>
      </w:r>
    </w:p>
    <w:p w14:paraId="1FBD5308">
      <w:pPr>
        <w:keepNext w:val="0"/>
        <w:keepLines w:val="0"/>
        <w:spacing w:line="600" w:lineRule="exact"/>
        <w:ind w:right="0"/>
        <w:jc w:val="left"/>
        <w:rPr>
          <w:rFonts w:hint="eastAsia" w:ascii="宋体" w:hAnsi="宋体" w:eastAsia="宋体" w:cs="宋体"/>
          <w:sz w:val="24"/>
          <w:highlight w:val="none"/>
        </w:rPr>
      </w:pPr>
      <w:r>
        <w:rPr>
          <w:rFonts w:hint="eastAsia" w:ascii="宋体" w:hAnsi="宋体" w:eastAsia="宋体" w:cs="宋体"/>
          <w:sz w:val="24"/>
          <w:highlight w:val="none"/>
        </w:rPr>
        <w:t>我单位参加本次采购活动，未存在以下情形，承诺如下：</w:t>
      </w:r>
    </w:p>
    <w:p w14:paraId="1AE15FED">
      <w:pPr>
        <w:keepNext w:val="0"/>
        <w:keepLines w:val="0"/>
        <w:spacing w:line="6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单位负责人为同一人或者存在直接控股、管理关系的不同</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，不得同时参加同一合同项下的政府采购活动；</w:t>
      </w:r>
    </w:p>
    <w:p w14:paraId="005A016D">
      <w:pPr>
        <w:keepNext w:val="0"/>
        <w:keepLines w:val="0"/>
        <w:spacing w:line="6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（2）凡为采购项目提供整体设计、规范编制或者项目管理、监理、检测等服务的</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，不得再参加本项目的采购活动；</w:t>
      </w:r>
    </w:p>
    <w:p w14:paraId="22E87203">
      <w:pPr>
        <w:keepNext w:val="0"/>
        <w:keepLines w:val="0"/>
        <w:spacing w:line="600" w:lineRule="exact"/>
        <w:ind w:right="0" w:firstLine="480"/>
        <w:jc w:val="left"/>
        <w:rPr>
          <w:rFonts w:hint="eastAsia" w:ascii="宋体" w:hAnsi="宋体" w:eastAsia="宋体" w:cs="宋体"/>
          <w:sz w:val="24"/>
          <w:highlight w:val="none"/>
        </w:rPr>
      </w:pPr>
      <w:r>
        <w:rPr>
          <w:rFonts w:hint="eastAsia" w:ascii="宋体" w:hAnsi="宋体" w:eastAsia="宋体" w:cs="宋体"/>
          <w:sz w:val="24"/>
          <w:highlight w:val="none"/>
        </w:rPr>
        <w:t>（3）“列入失信被执行人、重大税收违法案件当事人名单、政府采购严重违法失信行为记录名单中的</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不得参加本项目的采购活动”的书面承诺；</w:t>
      </w:r>
    </w:p>
    <w:p w14:paraId="782F9448">
      <w:pPr>
        <w:keepNext w:val="0"/>
        <w:keepLines w:val="0"/>
        <w:spacing w:line="360" w:lineRule="auto"/>
        <w:ind w:right="0" w:firstLine="480"/>
        <w:rPr>
          <w:rFonts w:hint="eastAsia" w:ascii="宋体" w:hAnsi="宋体" w:eastAsia="宋体" w:cs="宋体"/>
          <w:sz w:val="24"/>
          <w:highlight w:val="none"/>
        </w:rPr>
      </w:pPr>
    </w:p>
    <w:p w14:paraId="5C8C717F">
      <w:pPr>
        <w:keepNext w:val="0"/>
        <w:keepLines w:val="0"/>
        <w:spacing w:line="800" w:lineRule="exact"/>
        <w:ind w:right="0" w:firstLine="6000"/>
        <w:rPr>
          <w:rFonts w:hint="eastAsia" w:ascii="宋体" w:hAnsi="宋体" w:eastAsia="宋体" w:cs="宋体"/>
          <w:sz w:val="24"/>
          <w:highlight w:val="none"/>
        </w:rPr>
      </w:pPr>
      <w:r>
        <w:rPr>
          <w:rFonts w:hint="eastAsia" w:ascii="宋体" w:hAnsi="宋体" w:eastAsia="宋体" w:cs="宋体"/>
          <w:sz w:val="24"/>
          <w:highlight w:val="none"/>
        </w:rPr>
        <w:t>企业名称（</w:t>
      </w:r>
      <w:r>
        <w:rPr>
          <w:rFonts w:hint="eastAsia" w:ascii="宋体" w:hAnsi="宋体" w:eastAsia="宋体" w:cs="宋体"/>
          <w:sz w:val="24"/>
          <w:szCs w:val="24"/>
          <w:highlight w:val="none"/>
          <w:u w:val="single"/>
          <w:lang w:val="zh-CN"/>
        </w:rPr>
        <w:t>电子签章</w:t>
      </w:r>
      <w:r>
        <w:rPr>
          <w:rFonts w:hint="eastAsia" w:ascii="宋体" w:hAnsi="宋体" w:eastAsia="宋体" w:cs="宋体"/>
          <w:sz w:val="24"/>
          <w:highlight w:val="none"/>
        </w:rPr>
        <w:t>）：</w:t>
      </w:r>
    </w:p>
    <w:p w14:paraId="19812776">
      <w:pPr>
        <w:keepNext w:val="0"/>
        <w:keepLines w:val="0"/>
        <w:spacing w:line="800" w:lineRule="exact"/>
        <w:ind w:right="0" w:firstLine="6000"/>
        <w:rPr>
          <w:rFonts w:hint="eastAsia" w:ascii="宋体" w:hAnsi="宋体" w:eastAsia="宋体" w:cs="宋体"/>
          <w:sz w:val="24"/>
          <w:highlight w:val="none"/>
        </w:rPr>
      </w:pPr>
      <w:r>
        <w:rPr>
          <w:rFonts w:hint="eastAsia" w:ascii="宋体" w:hAnsi="宋体" w:eastAsia="宋体" w:cs="宋体"/>
          <w:sz w:val="24"/>
          <w:highlight w:val="none"/>
        </w:rPr>
        <w:t>日</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6F220081">
      <w:pPr>
        <w:keepNext w:val="0"/>
        <w:keepLines w:val="0"/>
        <w:pageBreakBefore/>
        <w:spacing w:line="640" w:lineRule="exact"/>
        <w:ind w:right="0"/>
        <w:jc w:val="left"/>
        <w:outlineLvl w:val="9"/>
        <w:rPr>
          <w:rFonts w:hint="eastAsia" w:ascii="宋体" w:hAnsi="宋体" w:eastAsia="宋体" w:cs="宋体"/>
          <w:b/>
          <w:bCs/>
          <w:color w:val="000000"/>
          <w:sz w:val="32"/>
          <w:szCs w:val="32"/>
          <w:highlight w:val="none"/>
          <w:lang w:val="en-US" w:eastAsia="zh-CN"/>
        </w:rPr>
      </w:pPr>
      <w:r>
        <w:rPr>
          <w:rFonts w:hint="eastAsia" w:ascii="宋体" w:hAnsi="宋体" w:eastAsia="宋体" w:cs="宋体"/>
          <w:b/>
          <w:sz w:val="28"/>
          <w:szCs w:val="28"/>
          <w:highlight w:val="none"/>
        </w:rPr>
        <w:t>示范格式</w:t>
      </w:r>
      <w:r>
        <w:rPr>
          <w:rFonts w:hint="eastAsia" w:ascii="宋体" w:hAnsi="宋体" w:eastAsia="宋体" w:cs="宋体"/>
          <w:b/>
          <w:sz w:val="28"/>
          <w:szCs w:val="28"/>
          <w:highlight w:val="none"/>
          <w:lang w:val="en-US" w:eastAsia="zh-CN"/>
        </w:rPr>
        <w:t>七</w:t>
      </w:r>
    </w:p>
    <w:p w14:paraId="16BE9B6F">
      <w:pPr>
        <w:keepNext w:val="0"/>
        <w:keepLines w:val="0"/>
        <w:widowControl/>
        <w:spacing w:line="640" w:lineRule="exact"/>
        <w:ind w:right="0"/>
        <w:jc w:val="center"/>
        <w:outlineLvl w:val="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关于符合本国产品标准的声明函</w:t>
      </w:r>
    </w:p>
    <w:p w14:paraId="6F01CA2E">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5A1040FC">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1.</w:t>
      </w:r>
      <w:r>
        <w:rPr>
          <w:rStyle w:val="213"/>
          <w:rFonts w:hint="eastAsia" w:ascii="宋体" w:hAnsi="宋体" w:eastAsia="宋体" w:cs="宋体"/>
          <w:i w:val="0"/>
          <w:color w:val="000000"/>
          <w:sz w:val="24"/>
          <w:szCs w:val="24"/>
          <w:u w:val="single"/>
          <w:shd w:val="clear" w:color="auto" w:fill="FFFFFF"/>
        </w:rPr>
        <w:t>（产品名称1）</w:t>
      </w:r>
      <w:r>
        <w:rPr>
          <w:rStyle w:val="213"/>
          <w:rFonts w:hint="eastAsia" w:ascii="宋体" w:hAnsi="宋体" w:eastAsia="宋体" w:cs="宋体"/>
          <w:i w:val="0"/>
          <w:color w:val="000000"/>
          <w:sz w:val="24"/>
          <w:szCs w:val="24"/>
          <w:shd w:val="clear" w:color="auto" w:fill="FFFFFF"/>
          <w:vertAlign w:val="superscript"/>
        </w:rPr>
        <w:t>1</w:t>
      </w:r>
      <w:r>
        <w:rPr>
          <w:rFonts w:hint="eastAsia" w:ascii="宋体" w:hAnsi="宋体" w:eastAsia="宋体" w:cs="宋体"/>
          <w:color w:val="000000"/>
          <w:sz w:val="24"/>
          <w:szCs w:val="24"/>
          <w:shd w:val="clear" w:color="auto" w:fill="FFFFFF"/>
        </w:rPr>
        <w:t>，生产厂为</w:t>
      </w:r>
      <w:r>
        <w:rPr>
          <w:rStyle w:val="213"/>
          <w:rFonts w:hint="eastAsia" w:ascii="宋体" w:hAnsi="宋体" w:eastAsia="宋体" w:cs="宋体"/>
          <w:i w:val="0"/>
          <w:color w:val="000000"/>
          <w:sz w:val="24"/>
          <w:szCs w:val="24"/>
          <w:u w:val="single"/>
          <w:shd w:val="clear" w:color="auto" w:fill="FFFFFF"/>
        </w:rPr>
        <w:t>（厂名）</w:t>
      </w:r>
      <w:r>
        <w:rPr>
          <w:rStyle w:val="213"/>
          <w:rFonts w:hint="eastAsia" w:ascii="宋体" w:hAnsi="宋体" w:eastAsia="宋体" w:cs="宋体"/>
          <w:i w:val="0"/>
          <w:color w:val="000000"/>
          <w:sz w:val="24"/>
          <w:szCs w:val="24"/>
          <w:shd w:val="clear" w:color="auto" w:fill="FFFFFF"/>
          <w:vertAlign w:val="superscript"/>
        </w:rPr>
        <w:t>2</w:t>
      </w:r>
      <w:r>
        <w:rPr>
          <w:rFonts w:hint="eastAsia" w:ascii="宋体" w:hAnsi="宋体" w:eastAsia="宋体" w:cs="宋体"/>
          <w:color w:val="000000"/>
          <w:sz w:val="24"/>
          <w:szCs w:val="24"/>
          <w:shd w:val="clear" w:color="auto" w:fill="FFFFFF"/>
        </w:rPr>
        <w:t>，厂址为</w:t>
      </w:r>
      <w:r>
        <w:rPr>
          <w:rStyle w:val="213"/>
          <w:rFonts w:hint="eastAsia" w:ascii="宋体" w:hAnsi="宋体" w:eastAsia="宋体" w:cs="宋体"/>
          <w:i w:val="0"/>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Style w:val="213"/>
          <w:rFonts w:hint="eastAsia" w:ascii="宋体" w:hAnsi="宋体" w:eastAsia="宋体" w:cs="宋体"/>
          <w:i w:val="0"/>
          <w:strike/>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rPr>
        <w:t>的中国境内生产的组件成本占比≥</w:t>
      </w:r>
      <w:r>
        <w:rPr>
          <w:rStyle w:val="213"/>
          <w:rFonts w:hint="eastAsia" w:ascii="宋体" w:hAnsi="宋体" w:eastAsia="宋体" w:cs="宋体"/>
          <w:i w:val="0"/>
          <w:strike/>
          <w:color w:val="000000"/>
          <w:sz w:val="24"/>
          <w:szCs w:val="24"/>
          <w:u w:val="single"/>
          <w:shd w:val="clear" w:color="auto" w:fill="FFFFFF"/>
        </w:rPr>
        <w:t>（规定比例）</w:t>
      </w:r>
      <w:r>
        <w:rPr>
          <w:rStyle w:val="213"/>
          <w:rFonts w:hint="eastAsia" w:ascii="宋体" w:hAnsi="宋体" w:eastAsia="宋体" w:cs="宋体"/>
          <w:i w:val="0"/>
          <w:color w:val="000000"/>
          <w:sz w:val="24"/>
          <w:szCs w:val="24"/>
          <w:shd w:val="clear" w:color="auto" w:fill="FFFFFF"/>
          <w:vertAlign w:val="superscript"/>
        </w:rPr>
        <w:t>3</w:t>
      </w:r>
      <w:r>
        <w:rPr>
          <w:rFonts w:hint="eastAsia" w:ascii="宋体" w:hAnsi="宋体" w:eastAsia="宋体" w:cs="宋体"/>
          <w:color w:val="000000"/>
          <w:sz w:val="24"/>
          <w:szCs w:val="24"/>
          <w:shd w:val="clear" w:color="auto" w:fill="FFFFFF"/>
        </w:rPr>
        <w:t>。</w:t>
      </w:r>
      <w:r>
        <w:rPr>
          <w:rStyle w:val="213"/>
          <w:rFonts w:hint="eastAsia" w:ascii="宋体" w:hAnsi="宋体" w:eastAsia="宋体" w:cs="宋体"/>
          <w:i w:val="0"/>
          <w:strike/>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rPr>
        <w:t>的</w:t>
      </w:r>
      <w:r>
        <w:rPr>
          <w:rStyle w:val="213"/>
          <w:rFonts w:hint="eastAsia" w:ascii="宋体" w:hAnsi="宋体" w:eastAsia="宋体" w:cs="宋体"/>
          <w:i w:val="0"/>
          <w:strike/>
          <w:color w:val="000000"/>
          <w:sz w:val="24"/>
          <w:szCs w:val="24"/>
          <w:u w:val="single"/>
          <w:shd w:val="clear" w:color="auto" w:fill="FFFFFF"/>
        </w:rPr>
        <w:t>（关键组件）</w:t>
      </w:r>
      <w:r>
        <w:rPr>
          <w:rFonts w:hint="eastAsia" w:ascii="宋体" w:hAnsi="宋体" w:eastAsia="宋体" w:cs="宋体"/>
          <w:color w:val="000000"/>
          <w:sz w:val="24"/>
          <w:szCs w:val="24"/>
          <w:shd w:val="clear" w:color="auto" w:fill="FFFFFF"/>
        </w:rPr>
        <w:t>在中国境内生产。</w:t>
      </w:r>
      <w:r>
        <w:rPr>
          <w:rStyle w:val="213"/>
          <w:rFonts w:hint="eastAsia" w:ascii="宋体" w:hAnsi="宋体" w:eastAsia="宋体" w:cs="宋体"/>
          <w:i w:val="0"/>
          <w:strike/>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rPr>
        <w:t>的</w:t>
      </w:r>
      <w:r>
        <w:rPr>
          <w:rStyle w:val="213"/>
          <w:rFonts w:hint="eastAsia" w:ascii="宋体" w:hAnsi="宋体" w:eastAsia="宋体" w:cs="宋体"/>
          <w:i w:val="0"/>
          <w:strike/>
          <w:color w:val="000000"/>
          <w:sz w:val="24"/>
          <w:szCs w:val="24"/>
          <w:u w:val="single"/>
          <w:shd w:val="clear" w:color="auto" w:fill="FFFFFF"/>
        </w:rPr>
        <w:t>（关键工序）</w:t>
      </w:r>
      <w:r>
        <w:rPr>
          <w:rStyle w:val="213"/>
          <w:rFonts w:hint="eastAsia" w:ascii="宋体" w:hAnsi="宋体" w:eastAsia="宋体" w:cs="宋体"/>
          <w:i w:val="0"/>
          <w:strike/>
          <w:color w:val="000000"/>
          <w:sz w:val="24"/>
          <w:szCs w:val="24"/>
          <w:shd w:val="clear" w:color="auto" w:fill="FFFFFF"/>
          <w:vertAlign w:val="superscript"/>
        </w:rPr>
        <w:t>5</w:t>
      </w:r>
      <w:r>
        <w:rPr>
          <w:rFonts w:hint="eastAsia" w:ascii="宋体" w:hAnsi="宋体" w:eastAsia="宋体" w:cs="宋体"/>
          <w:color w:val="000000"/>
          <w:sz w:val="24"/>
          <w:szCs w:val="24"/>
          <w:shd w:val="clear" w:color="auto" w:fill="FFFFFF"/>
        </w:rPr>
        <w:t>在中国境内完成。</w:t>
      </w:r>
    </w:p>
    <w:p w14:paraId="093C8430">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2.</w:t>
      </w:r>
      <w:r>
        <w:rPr>
          <w:rStyle w:val="213"/>
          <w:rFonts w:hint="eastAsia" w:ascii="宋体" w:hAnsi="宋体" w:eastAsia="宋体" w:cs="宋体"/>
          <w:i w:val="0"/>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，生产厂为</w:t>
      </w:r>
      <w:r>
        <w:rPr>
          <w:rStyle w:val="213"/>
          <w:rFonts w:hint="eastAsia" w:ascii="宋体" w:hAnsi="宋体" w:eastAsia="宋体" w:cs="宋体"/>
          <w:i w:val="0"/>
          <w:color w:val="000000"/>
          <w:sz w:val="24"/>
          <w:szCs w:val="24"/>
          <w:u w:val="single"/>
          <w:shd w:val="clear" w:color="auto" w:fill="FFFFFF"/>
        </w:rPr>
        <w:t>（厂名）</w:t>
      </w:r>
      <w:r>
        <w:rPr>
          <w:rFonts w:hint="eastAsia" w:ascii="宋体" w:hAnsi="宋体" w:eastAsia="宋体" w:cs="宋体"/>
          <w:color w:val="000000"/>
          <w:sz w:val="24"/>
          <w:szCs w:val="24"/>
          <w:shd w:val="clear" w:color="auto" w:fill="FFFFFF"/>
        </w:rPr>
        <w:t>，厂址为</w:t>
      </w:r>
      <w:r>
        <w:rPr>
          <w:rStyle w:val="213"/>
          <w:rFonts w:hint="eastAsia" w:ascii="宋体" w:hAnsi="宋体" w:eastAsia="宋体" w:cs="宋体"/>
          <w:i w:val="0"/>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Style w:val="213"/>
          <w:rFonts w:hint="eastAsia" w:ascii="宋体" w:hAnsi="宋体" w:eastAsia="宋体" w:cs="宋体"/>
          <w:i w:val="0"/>
          <w:strike/>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的中国境内生产的组件成本占比≥</w:t>
      </w:r>
      <w:r>
        <w:rPr>
          <w:rStyle w:val="213"/>
          <w:rFonts w:hint="eastAsia" w:ascii="宋体" w:hAnsi="宋体" w:eastAsia="宋体" w:cs="宋体"/>
          <w:i w:val="0"/>
          <w:strike/>
          <w:color w:val="000000"/>
          <w:sz w:val="24"/>
          <w:szCs w:val="24"/>
          <w:u w:val="single"/>
          <w:shd w:val="clear" w:color="auto" w:fill="FFFFFF"/>
        </w:rPr>
        <w:t>（规定比例）</w:t>
      </w:r>
      <w:r>
        <w:rPr>
          <w:rFonts w:hint="eastAsia" w:ascii="宋体" w:hAnsi="宋体" w:eastAsia="宋体" w:cs="宋体"/>
          <w:color w:val="000000"/>
          <w:sz w:val="24"/>
          <w:szCs w:val="24"/>
          <w:shd w:val="clear" w:color="auto" w:fill="FFFFFF"/>
        </w:rPr>
        <w:t>。</w:t>
      </w:r>
      <w:r>
        <w:rPr>
          <w:rStyle w:val="213"/>
          <w:rFonts w:hint="eastAsia" w:ascii="宋体" w:hAnsi="宋体" w:eastAsia="宋体" w:cs="宋体"/>
          <w:i w:val="0"/>
          <w:strike/>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的</w:t>
      </w:r>
      <w:r>
        <w:rPr>
          <w:rStyle w:val="213"/>
          <w:rFonts w:hint="eastAsia" w:ascii="宋体" w:hAnsi="宋体" w:eastAsia="宋体" w:cs="宋体"/>
          <w:i w:val="0"/>
          <w:strike/>
          <w:color w:val="000000"/>
          <w:sz w:val="24"/>
          <w:szCs w:val="24"/>
          <w:u w:val="single"/>
          <w:shd w:val="clear" w:color="auto" w:fill="FFFFFF"/>
        </w:rPr>
        <w:t>（关键组件）</w:t>
      </w:r>
      <w:r>
        <w:rPr>
          <w:rFonts w:hint="eastAsia" w:ascii="宋体" w:hAnsi="宋体" w:eastAsia="宋体" w:cs="宋体"/>
          <w:color w:val="000000"/>
          <w:sz w:val="24"/>
          <w:szCs w:val="24"/>
          <w:shd w:val="clear" w:color="auto" w:fill="FFFFFF"/>
        </w:rPr>
        <w:t>在中国境内生产。</w:t>
      </w:r>
      <w:r>
        <w:rPr>
          <w:rStyle w:val="213"/>
          <w:rFonts w:hint="eastAsia" w:ascii="宋体" w:hAnsi="宋体" w:eastAsia="宋体" w:cs="宋体"/>
          <w:i w:val="0"/>
          <w:strike/>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rPr>
        <w:t>的</w:t>
      </w:r>
      <w:r>
        <w:rPr>
          <w:rStyle w:val="213"/>
          <w:rFonts w:hint="eastAsia" w:ascii="宋体" w:hAnsi="宋体" w:eastAsia="宋体" w:cs="宋体"/>
          <w:i w:val="0"/>
          <w:strike/>
          <w:color w:val="000000"/>
          <w:sz w:val="24"/>
          <w:szCs w:val="24"/>
          <w:u w:val="single"/>
          <w:shd w:val="clear" w:color="auto" w:fill="FFFFFF"/>
        </w:rPr>
        <w:t>（关键工序）</w:t>
      </w:r>
      <w:r>
        <w:rPr>
          <w:rFonts w:hint="eastAsia" w:ascii="宋体" w:hAnsi="宋体" w:eastAsia="宋体" w:cs="宋体"/>
          <w:color w:val="000000"/>
          <w:sz w:val="24"/>
          <w:szCs w:val="24"/>
          <w:shd w:val="clear" w:color="auto" w:fill="FFFFFF"/>
        </w:rPr>
        <w:t>在中国境内完成。</w:t>
      </w:r>
    </w:p>
    <w:p w14:paraId="29E7B071">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w:t>
      </w:r>
    </w:p>
    <w:p w14:paraId="4404FD20">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本公司（单位）对上述声明内容的真实性负责。如有虚假，愿承担相应法律责任。</w:t>
      </w:r>
    </w:p>
    <w:p w14:paraId="577A7943">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rPr>
      </w:pPr>
    </w:p>
    <w:p w14:paraId="406DEF60">
      <w:pPr>
        <w:pStyle w:val="206"/>
        <w:keepNext w:val="0"/>
        <w:keepLines w:val="0"/>
        <w:pageBreakBefore w:val="0"/>
        <w:widowControl w:val="0"/>
        <w:spacing w:before="0" w:beforeAutospacing="0" w:after="0" w:afterAutospacing="0" w:line="760" w:lineRule="exact"/>
        <w:ind w:right="0" w:firstLine="480"/>
        <w:jc w:val="center"/>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公司（单位）名称（盖章）：</w:t>
      </w:r>
    </w:p>
    <w:p w14:paraId="4D093D32">
      <w:pPr>
        <w:pStyle w:val="206"/>
        <w:keepNext w:val="0"/>
        <w:keepLines w:val="0"/>
        <w:pageBreakBefore w:val="0"/>
        <w:widowControl w:val="0"/>
        <w:spacing w:before="0" w:beforeAutospacing="0" w:after="0" w:afterAutospacing="0" w:line="760" w:lineRule="exact"/>
        <w:ind w:right="0" w:firstLine="480"/>
        <w:jc w:val="center"/>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日期：</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年</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月</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日</w:t>
      </w:r>
    </w:p>
    <w:p w14:paraId="7CE28F72">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__________________</w:t>
      </w:r>
    </w:p>
    <w:p w14:paraId="2FB0D203">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1.产品如有型号，请在“产品名称”栏一并填写。</w:t>
      </w:r>
    </w:p>
    <w:p w14:paraId="772A098C">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2.生产厂名与厂址应与生产厂营业执照载明的相关信息保持一致。</w:t>
      </w:r>
    </w:p>
    <w:p w14:paraId="0C3CA87D">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3.该产品的中国境内生产的组件成本占比相关要求实施前，“规定比例”栏可不填，下同。</w:t>
      </w:r>
    </w:p>
    <w:p w14:paraId="09C81920">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4.该产品的关键组件要求实施前，“关键组件”栏可不填，下同。</w:t>
      </w:r>
    </w:p>
    <w:p w14:paraId="12BFCEB4">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5.该产品的关键工序要求实施前，“关键工序”栏可不填，下同。</w:t>
      </w:r>
    </w:p>
    <w:p w14:paraId="7B6C907B">
      <w:pPr>
        <w:pStyle w:val="206"/>
        <w:keepNext w:val="0"/>
        <w:keepLines w:val="0"/>
        <w:pageBreakBefore w:val="0"/>
        <w:widowControl w:val="0"/>
        <w:spacing w:before="0" w:beforeAutospacing="0" w:after="0" w:afterAutospacing="0" w:line="560" w:lineRule="exact"/>
        <w:ind w:right="0" w:firstLine="48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6.用</w:t>
      </w:r>
      <w:r>
        <w:rPr>
          <w:rFonts w:hint="eastAsia" w:ascii="宋体" w:hAnsi="宋体" w:eastAsia="宋体" w:cs="宋体"/>
          <w:color w:val="000000"/>
          <w:sz w:val="24"/>
          <w:szCs w:val="24"/>
          <w:shd w:val="clear" w:color="auto" w:fill="FFFFFF"/>
          <w:lang w:val="en-US" w:eastAsia="zh-CN"/>
        </w:rPr>
        <w:t>横线</w:t>
      </w:r>
      <w:r>
        <w:rPr>
          <w:rFonts w:hint="eastAsia" w:ascii="宋体" w:hAnsi="宋体" w:eastAsia="宋体" w:cs="宋体"/>
          <w:color w:val="000000"/>
          <w:sz w:val="24"/>
          <w:szCs w:val="24"/>
          <w:shd w:val="clear" w:color="auto" w:fill="FFFFFF"/>
        </w:rPr>
        <w:t>划除的地方无需填写。</w:t>
      </w:r>
    </w:p>
    <w:sectPr>
      <w:footerReference r:id="rId5" w:type="default"/>
      <w:pgSz w:w="11906" w:h="16838"/>
      <w:pgMar w:top="1440" w:right="1080" w:bottom="1440" w:left="108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Courier New">
    <w:panose1 w:val="02070309020205020404"/>
    <w:charset w:val="00"/>
    <w:family w:val="auto"/>
    <w:pitch w:val="default"/>
    <w:sig w:usb0="E0002EFF" w:usb1="C0007843" w:usb2="00000009" w:usb3="00000000" w:csb0="4000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Segoe Print">
    <w:panose1 w:val="02000600000000000000"/>
    <w:charset w:val="00"/>
    <w:family w:val="auto"/>
    <w:pitch w:val="default"/>
    <w:sig w:usb0="0000028F" w:usb1="00000000" w:usb2="00000000" w:usb3="00000000" w:csb0="2000009F" w:csb1="47010000"/>
  </w:font>
  <w:font w:name="华文彩云">
    <w:panose1 w:val="02010800040101010101"/>
    <w:charset w:val="86"/>
    <w:family w:val="auto"/>
    <w:pitch w:val="default"/>
    <w:sig w:usb0="00000001" w:usb1="080F0000" w:usb2="00000000" w:usb3="00000000" w:csb0="00040000" w:csb1="00000000"/>
  </w:font>
  <w:font w:name="方正仿宋简体">
    <w:altName w:val="微软雅黑"/>
    <w:panose1 w:val="020B0503020202020204"/>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2D47C">
    <w:pPr>
      <w:pStyle w:val="201"/>
      <w:framePr w:wrap="around" w:vAnchor="text" w:hAnchor="margin" w:xAlign="center" w:y="1"/>
      <w:rPr>
        <w:rStyle w:val="211"/>
      </w:rPr>
    </w:pPr>
    <w:r>
      <w:fldChar w:fldCharType="begin"/>
    </w:r>
    <w:r>
      <w:rPr>
        <w:rStyle w:val="211"/>
      </w:rPr>
      <w:instrText xml:space="preserve">PAGE  </w:instrText>
    </w:r>
    <w:r>
      <w:fldChar w:fldCharType="end"/>
    </w:r>
  </w:p>
  <w:p w14:paraId="4729D42E">
    <w:pPr>
      <w:pStyle w:val="20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726CA">
    <w:pPr>
      <w:pStyle w:val="201"/>
      <w:framePr w:wrap="around" w:vAnchor="text" w:hAnchor="margin" w:xAlign="center" w:y="1"/>
      <w:rPr>
        <w:rStyle w:val="211"/>
      </w:rPr>
    </w:pPr>
    <w:r>
      <w:fldChar w:fldCharType="begin"/>
    </w:r>
    <w:r>
      <w:rPr>
        <w:rStyle w:val="211"/>
      </w:rPr>
      <w:instrText xml:space="preserve">PAGE  </w:instrText>
    </w:r>
    <w:r>
      <w:fldChar w:fldCharType="separate"/>
    </w:r>
    <w:r>
      <w:rPr>
        <w:rStyle w:val="211"/>
      </w:rPr>
      <w:t>20</w:t>
    </w:r>
    <w:r>
      <w:fldChar w:fldCharType="end"/>
    </w:r>
  </w:p>
  <w:p w14:paraId="6E510020">
    <w:pPr>
      <w:pStyle w:val="20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12EA5">
    <w:pPr>
      <w:pStyle w:val="202"/>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项目</w:t>
    </w:r>
    <w:r>
      <w:rPr>
        <w:rFonts w:hint="eastAsia" w:ascii="华文行楷" w:hAnsi="黑体" w:eastAsia="华文行楷"/>
        <w:sz w:val="28"/>
        <w:szCs w:val="28"/>
        <w:lang w:val="en-US" w:eastAsia="zh-CN"/>
      </w:rPr>
      <w:t>公开招标</w:t>
    </w:r>
    <w:r>
      <w:rPr>
        <w:rFonts w:hint="eastAsia" w:ascii="华文行楷" w:hAnsi="黑体" w:eastAsia="华文行楷"/>
        <w:sz w:val="28"/>
        <w:szCs w:val="28"/>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18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83"/>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30127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uiPriority w:val="1"/>
  </w:style>
  <w:style w:type="table" w:default="1" w:styleId="28">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uiPriority w:val="39"/>
    <w:pPr>
      <w:spacing w:after="57"/>
      <w:ind w:left="1134" w:right="0" w:firstLine="0"/>
    </w:pPr>
  </w:style>
  <w:style w:type="paragraph" w:styleId="14">
    <w:name w:val="toc 3"/>
    <w:basedOn w:val="1"/>
    <w:next w:val="1"/>
    <w:unhideWhenUsed/>
    <w:uiPriority w:val="39"/>
    <w:pPr>
      <w:spacing w:after="57"/>
      <w:ind w:left="567" w:right="0" w:firstLine="0"/>
    </w:pPr>
  </w:style>
  <w:style w:type="paragraph" w:styleId="15">
    <w:name w:val="toc 8"/>
    <w:basedOn w:val="1"/>
    <w:next w:val="1"/>
    <w:unhideWhenUsed/>
    <w:uiPriority w:val="39"/>
    <w:pPr>
      <w:spacing w:after="57"/>
      <w:ind w:left="1984" w:right="0" w:firstLine="0"/>
    </w:pPr>
  </w:style>
  <w:style w:type="paragraph" w:styleId="16">
    <w:name w:val="endnote text"/>
    <w:basedOn w:val="1"/>
    <w:link w:val="180"/>
    <w:semiHidden/>
    <w:unhideWhenUsed/>
    <w:uiPriority w:val="99"/>
    <w:pPr>
      <w:spacing w:after="0" w:line="240" w:lineRule="auto"/>
    </w:pPr>
    <w:rPr>
      <w:sz w:val="20"/>
    </w:rPr>
  </w:style>
  <w:style w:type="paragraph" w:styleId="17">
    <w:name w:val="footer"/>
    <w:basedOn w:val="1"/>
    <w:link w:val="53"/>
    <w:unhideWhenUsed/>
    <w:uiPriority w:val="99"/>
    <w:pPr>
      <w:tabs>
        <w:tab w:val="center" w:pos="7143"/>
        <w:tab w:val="right" w:pos="14287"/>
      </w:tabs>
      <w:spacing w:after="0" w:line="240" w:lineRule="auto"/>
    </w:pPr>
  </w:style>
  <w:style w:type="paragraph" w:styleId="18">
    <w:name w:val="header"/>
    <w:basedOn w:val="1"/>
    <w:link w:val="51"/>
    <w:unhideWhenUsed/>
    <w:uiPriority w:val="99"/>
    <w:pPr>
      <w:tabs>
        <w:tab w:val="center" w:pos="7143"/>
        <w:tab w:val="right" w:pos="14287"/>
      </w:tabs>
      <w:spacing w:after="0" w:line="240" w:lineRule="auto"/>
    </w:pPr>
  </w:style>
  <w:style w:type="paragraph" w:styleId="19">
    <w:name w:val="toc 1"/>
    <w:basedOn w:val="1"/>
    <w:next w:val="1"/>
    <w:unhideWhenUsed/>
    <w:uiPriority w:val="39"/>
    <w:pPr>
      <w:spacing w:after="57"/>
      <w:ind w:left="0" w:right="0" w:firstLine="0"/>
    </w:pPr>
  </w:style>
  <w:style w:type="paragraph" w:styleId="20">
    <w:name w:val="toc 4"/>
    <w:basedOn w:val="1"/>
    <w:next w:val="1"/>
    <w:unhideWhenUsed/>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uiPriority w:val="99"/>
    <w:pPr>
      <w:spacing w:after="40" w:line="240" w:lineRule="auto"/>
    </w:pPr>
    <w:rPr>
      <w:sz w:val="18"/>
    </w:rPr>
  </w:style>
  <w:style w:type="paragraph" w:styleId="23">
    <w:name w:val="toc 6"/>
    <w:basedOn w:val="1"/>
    <w:next w:val="1"/>
    <w:unhideWhenUsed/>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57"/>
      <w:ind w:left="283" w:right="0" w:firstLine="0"/>
    </w:pPr>
  </w:style>
  <w:style w:type="paragraph" w:styleId="26">
    <w:name w:val="toc 9"/>
    <w:basedOn w:val="1"/>
    <w:next w:val="1"/>
    <w:unhideWhenUsed/>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uiPriority w:val="99"/>
    <w:rPr>
      <w:color w:val="0000FF" w:themeColor="hyperlink"/>
      <w:u w:val="single"/>
    </w:rPr>
  </w:style>
  <w:style w:type="character" w:styleId="33">
    <w:name w:val="footnote reference"/>
    <w:unhideWhenUsed/>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uiPriority w:val="9"/>
    <w:rPr>
      <w:rFonts w:ascii="Arial" w:hAnsi="Arial" w:eastAsia="Arial" w:cs="Arial"/>
      <w:sz w:val="34"/>
    </w:rPr>
  </w:style>
  <w:style w:type="character" w:customStyle="1" w:styleId="36">
    <w:name w:val="Heading 3 Char"/>
    <w:link w:val="4"/>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uiPriority w:val="9"/>
    <w:rPr>
      <w:rFonts w:ascii="Arial" w:hAnsi="Arial" w:eastAsia="Arial" w:cs="Arial"/>
      <w:b/>
      <w:bCs/>
      <w:sz w:val="24"/>
      <w:szCs w:val="24"/>
    </w:rPr>
  </w:style>
  <w:style w:type="character" w:customStyle="1" w:styleId="39">
    <w:name w:val="Heading 6 Char"/>
    <w:link w:val="7"/>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uiPriority w:val="9"/>
    <w:rPr>
      <w:rFonts w:ascii="Arial" w:hAnsi="Arial" w:eastAsia="Arial" w:cs="Arial"/>
      <w:i/>
      <w:iCs/>
      <w:sz w:val="22"/>
      <w:szCs w:val="22"/>
    </w:rPr>
  </w:style>
  <w:style w:type="character" w:customStyle="1" w:styleId="42">
    <w:name w:val="Heading 9 Char"/>
    <w:link w:val="10"/>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uiPriority w:val="10"/>
    <w:rPr>
      <w:sz w:val="48"/>
      <w:szCs w:val="48"/>
    </w:rPr>
  </w:style>
  <w:style w:type="character" w:customStyle="1" w:styleId="46">
    <w:name w:val="Subtitle Char"/>
    <w:link w:val="21"/>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uiPriority w:val="30"/>
    <w:rPr>
      <w:i/>
    </w:rPr>
  </w:style>
  <w:style w:type="character" w:customStyle="1" w:styleId="51">
    <w:name w:val="Header Char"/>
    <w:link w:val="18"/>
    <w:uiPriority w:val="99"/>
  </w:style>
  <w:style w:type="character" w:customStyle="1" w:styleId="52">
    <w:name w:val="Footer Char"/>
    <w:link w:val="17"/>
    <w:uiPriority w:val="99"/>
  </w:style>
  <w:style w:type="character" w:customStyle="1" w:styleId="53">
    <w:name w:val="Caption Char"/>
    <w:link w:val="17"/>
    <w:uiPriority w:val="99"/>
  </w:style>
  <w:style w:type="table" w:customStyle="1" w:styleId="54">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uiPriority w:val="99"/>
    <w:rPr>
      <w:sz w:val="18"/>
    </w:rPr>
  </w:style>
  <w:style w:type="character" w:customStyle="1" w:styleId="180">
    <w:name w:val="Endnote Text Char"/>
    <w:link w:val="16"/>
    <w:uiPriority w:val="99"/>
    <w:rPr>
      <w:sz w:val="20"/>
    </w:rPr>
  </w:style>
  <w:style w:type="paragraph" w:customStyle="1" w:styleId="181">
    <w:name w:val="TOC Heading"/>
    <w:unhideWhenUsed/>
    <w:uiPriority w:val="39"/>
    <w:rPr>
      <w:rFonts w:hint="default" w:ascii="Times New Roman" w:hAnsi="Times New Roman" w:eastAsia="宋体" w:cs="Times New Roman"/>
    </w:rPr>
  </w:style>
  <w:style w:type="paragraph" w:customStyle="1" w:styleId="182">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83">
    <w:name w:val="标题 311"/>
    <w:basedOn w:val="1"/>
    <w:next w:val="1"/>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84">
    <w:name w:val="标题 51"/>
    <w:basedOn w:val="1"/>
    <w:next w:val="1"/>
    <w:qFormat/>
    <w:uiPriority w:val="1"/>
    <w:pPr>
      <w:ind w:left="522"/>
      <w:outlineLvl w:val="4"/>
    </w:pPr>
    <w:rPr>
      <w:rFonts w:ascii="仿宋" w:hAnsi="仿宋" w:eastAsia="仿宋" w:cs="仿宋"/>
      <w:b/>
      <w:bCs/>
      <w:sz w:val="28"/>
      <w:szCs w:val="28"/>
      <w:lang w:val="zh-CN" w:eastAsia="zh-CN" w:bidi="zh-CN"/>
    </w:rPr>
  </w:style>
  <w:style w:type="character" w:customStyle="1" w:styleId="185">
    <w:name w:val="默认段落字体1"/>
    <w:link w:val="1"/>
    <w:semiHidden/>
    <w:uiPriority w:val="0"/>
  </w:style>
  <w:style w:type="table" w:customStyle="1" w:styleId="186">
    <w:name w:val="普通表格1"/>
    <w:semiHidden/>
    <w:uiPriority w:val="0"/>
  </w:style>
  <w:style w:type="paragraph" w:customStyle="1" w:styleId="187">
    <w:name w:val="正文缩进1"/>
    <w:basedOn w:val="1"/>
    <w:link w:val="188"/>
    <w:uiPriority w:val="0"/>
    <w:pPr>
      <w:ind w:firstLine="420"/>
    </w:pPr>
  </w:style>
  <w:style w:type="character" w:customStyle="1" w:styleId="188">
    <w:name w:val="正文缩进 Char"/>
    <w:link w:val="187"/>
    <w:uiPriority w:val="0"/>
    <w:rPr>
      <w:sz w:val="21"/>
      <w:szCs w:val="24"/>
    </w:rPr>
  </w:style>
  <w:style w:type="paragraph" w:customStyle="1" w:styleId="189">
    <w:name w:val="文档结构图1"/>
    <w:basedOn w:val="1"/>
    <w:semiHidden/>
    <w:uiPriority w:val="0"/>
    <w:pPr>
      <w:shd w:val="clear" w:color="auto" w:fill="000080"/>
    </w:pPr>
  </w:style>
  <w:style w:type="paragraph" w:customStyle="1" w:styleId="190">
    <w:name w:val="正文文本 31"/>
    <w:basedOn w:val="1"/>
    <w:uiPriority w:val="0"/>
    <w:pPr>
      <w:jc w:val="center"/>
    </w:pPr>
    <w:rPr>
      <w:rFonts w:eastAsia="黑体"/>
      <w:sz w:val="72"/>
    </w:rPr>
  </w:style>
  <w:style w:type="paragraph" w:customStyle="1" w:styleId="191">
    <w:name w:val="正文文本11"/>
    <w:basedOn w:val="1"/>
    <w:uiPriority w:val="0"/>
    <w:pPr>
      <w:jc w:val="center"/>
    </w:pPr>
    <w:rPr>
      <w:rFonts w:eastAsia="仿宋"/>
      <w:sz w:val="28"/>
    </w:rPr>
  </w:style>
  <w:style w:type="paragraph" w:customStyle="1" w:styleId="192">
    <w:name w:val="正文文本缩进1"/>
    <w:basedOn w:val="1"/>
    <w:next w:val="193"/>
    <w:link w:val="194"/>
    <w:uiPriority w:val="0"/>
    <w:pPr>
      <w:spacing w:after="120"/>
      <w:ind w:left="420"/>
    </w:pPr>
  </w:style>
  <w:style w:type="paragraph" w:customStyle="1" w:styleId="193">
    <w:name w:val="寄信人地址1"/>
    <w:basedOn w:val="1"/>
    <w:qFormat/>
    <w:uiPriority w:val="0"/>
    <w:rPr>
      <w:rFonts w:ascii="Arial" w:hAnsi="Arial" w:eastAsia="宋体" w:cs="Times New Roman"/>
    </w:rPr>
  </w:style>
  <w:style w:type="character" w:customStyle="1" w:styleId="194">
    <w:name w:val="正文文本缩进 Char"/>
    <w:link w:val="192"/>
    <w:uiPriority w:val="0"/>
    <w:rPr>
      <w:sz w:val="21"/>
      <w:szCs w:val="24"/>
    </w:rPr>
  </w:style>
  <w:style w:type="paragraph" w:customStyle="1" w:styleId="195">
    <w:name w:val="文本块1"/>
    <w:basedOn w:val="1"/>
    <w:uiPriority w:val="0"/>
    <w:pPr>
      <w:ind w:left="420" w:right="33"/>
      <w:jc w:val="left"/>
    </w:pPr>
    <w:rPr>
      <w:sz w:val="24"/>
      <w:szCs w:val="20"/>
    </w:rPr>
  </w:style>
  <w:style w:type="paragraph" w:customStyle="1" w:styleId="196">
    <w:name w:val="纯文本1"/>
    <w:basedOn w:val="1"/>
    <w:next w:val="187"/>
    <w:link w:val="197"/>
    <w:uiPriority w:val="0"/>
    <w:rPr>
      <w:rFonts w:ascii="宋体" w:hAnsi="Courier New"/>
      <w:szCs w:val="20"/>
    </w:rPr>
  </w:style>
  <w:style w:type="character" w:customStyle="1" w:styleId="197">
    <w:name w:val="纯文本 Char"/>
    <w:link w:val="196"/>
    <w:uiPriority w:val="0"/>
    <w:rPr>
      <w:rFonts w:ascii="宋体" w:hAnsi="Courier New" w:eastAsia="宋体"/>
      <w:sz w:val="21"/>
      <w:lang w:val="en-US" w:eastAsia="zh-CN" w:bidi="ar-SA"/>
    </w:rPr>
  </w:style>
  <w:style w:type="paragraph" w:customStyle="1" w:styleId="198">
    <w:name w:val="日期1"/>
    <w:basedOn w:val="1"/>
    <w:next w:val="1"/>
    <w:uiPriority w:val="0"/>
    <w:pPr>
      <w:ind w:left="100"/>
    </w:pPr>
    <w:rPr>
      <w:rFonts w:ascii="黑体" w:eastAsia="黑体"/>
      <w:sz w:val="72"/>
    </w:rPr>
  </w:style>
  <w:style w:type="paragraph" w:customStyle="1" w:styleId="199">
    <w:name w:val="正文文本缩进 21"/>
    <w:basedOn w:val="1"/>
    <w:uiPriority w:val="0"/>
    <w:pPr>
      <w:tabs>
        <w:tab w:val="left" w:pos="9741"/>
      </w:tabs>
      <w:ind w:right="-2" w:firstLine="540"/>
    </w:pPr>
    <w:rPr>
      <w:rFonts w:eastAsia="仿宋"/>
      <w:sz w:val="28"/>
    </w:rPr>
  </w:style>
  <w:style w:type="paragraph" w:customStyle="1" w:styleId="200">
    <w:name w:val="批注框文本1"/>
    <w:basedOn w:val="1"/>
    <w:semiHidden/>
    <w:uiPriority w:val="0"/>
    <w:rPr>
      <w:sz w:val="18"/>
      <w:szCs w:val="18"/>
    </w:rPr>
  </w:style>
  <w:style w:type="paragraph" w:customStyle="1" w:styleId="201">
    <w:name w:val="页脚1"/>
    <w:basedOn w:val="1"/>
    <w:uiPriority w:val="0"/>
    <w:pPr>
      <w:tabs>
        <w:tab w:val="center" w:pos="4153"/>
        <w:tab w:val="right" w:pos="8306"/>
      </w:tabs>
      <w:jc w:val="left"/>
    </w:pPr>
    <w:rPr>
      <w:sz w:val="18"/>
      <w:szCs w:val="18"/>
    </w:rPr>
  </w:style>
  <w:style w:type="paragraph" w:customStyle="1" w:styleId="202">
    <w:name w:val="页眉1"/>
    <w:basedOn w:val="1"/>
    <w:uiPriority w:val="0"/>
    <w:pPr>
      <w:pBdr>
        <w:bottom w:val="single" w:color="000000" w:sz="6" w:space="1"/>
      </w:pBdr>
      <w:tabs>
        <w:tab w:val="center" w:pos="4153"/>
        <w:tab w:val="right" w:pos="8306"/>
      </w:tabs>
      <w:jc w:val="center"/>
    </w:pPr>
    <w:rPr>
      <w:sz w:val="18"/>
      <w:szCs w:val="18"/>
    </w:rPr>
  </w:style>
  <w:style w:type="paragraph" w:customStyle="1" w:styleId="203">
    <w:name w:val="目录 11"/>
    <w:basedOn w:val="1"/>
    <w:next w:val="1"/>
    <w:uiPriority w:val="0"/>
  </w:style>
  <w:style w:type="paragraph" w:customStyle="1" w:styleId="204">
    <w:name w:val="正文文本缩进 31"/>
    <w:basedOn w:val="1"/>
    <w:uiPriority w:val="0"/>
    <w:pPr>
      <w:ind w:firstLine="435"/>
    </w:pPr>
    <w:rPr>
      <w:rFonts w:ascii="仿宋" w:hAnsi="宋体" w:eastAsia="仿宋"/>
      <w:sz w:val="28"/>
    </w:rPr>
  </w:style>
  <w:style w:type="paragraph" w:customStyle="1" w:styleId="205">
    <w:name w:val="正文文本 21"/>
    <w:basedOn w:val="1"/>
    <w:uiPriority w:val="0"/>
    <w:rPr>
      <w:rFonts w:ascii="仿宋" w:eastAsia="仿宋"/>
      <w:sz w:val="28"/>
    </w:rPr>
  </w:style>
  <w:style w:type="paragraph" w:customStyle="1" w:styleId="206">
    <w:name w:val="普通(网站)1"/>
    <w:basedOn w:val="1"/>
    <w:unhideWhenUsed/>
    <w:uiPriority w:val="99"/>
    <w:pPr>
      <w:spacing w:before="100" w:beforeAutospacing="1" w:after="100" w:afterAutospacing="1"/>
      <w:jc w:val="left"/>
    </w:pPr>
    <w:rPr>
      <w:sz w:val="24"/>
      <w:szCs w:val="20"/>
    </w:rPr>
  </w:style>
  <w:style w:type="paragraph" w:customStyle="1" w:styleId="207">
    <w:name w:val="正文首行缩进1"/>
    <w:basedOn w:val="191"/>
    <w:qFormat/>
    <w:uiPriority w:val="0"/>
    <w:pPr>
      <w:spacing w:after="120"/>
      <w:ind w:firstLine="420"/>
    </w:pPr>
    <w:rPr>
      <w:rFonts w:ascii="Times New Roman" w:hAnsi="Times New Roman" w:eastAsia="宋体"/>
      <w:sz w:val="21"/>
      <w:szCs w:val="24"/>
    </w:rPr>
  </w:style>
  <w:style w:type="paragraph" w:customStyle="1" w:styleId="208">
    <w:name w:val="正文首行缩进 21"/>
    <w:basedOn w:val="192"/>
    <w:next w:val="1"/>
    <w:link w:val="209"/>
    <w:uiPriority w:val="0"/>
    <w:pPr>
      <w:ind w:firstLine="420"/>
    </w:pPr>
  </w:style>
  <w:style w:type="character" w:customStyle="1" w:styleId="209">
    <w:name w:val="正文首行缩进 2 Char"/>
    <w:basedOn w:val="194"/>
    <w:link w:val="208"/>
    <w:uiPriority w:val="0"/>
  </w:style>
  <w:style w:type="table" w:customStyle="1" w:styleId="210">
    <w:name w:val="网格型1"/>
    <w:basedOn w:val="186"/>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11">
    <w:name w:val="页码1"/>
    <w:link w:val="1"/>
    <w:uiPriority w:val="0"/>
  </w:style>
  <w:style w:type="character" w:customStyle="1" w:styleId="212">
    <w:name w:val="已访问的超链接1"/>
    <w:link w:val="1"/>
    <w:uiPriority w:val="0"/>
    <w:rPr>
      <w:color w:val="800080"/>
      <w:u w:val="single"/>
    </w:rPr>
  </w:style>
  <w:style w:type="character" w:customStyle="1" w:styleId="213">
    <w:name w:val="强调1"/>
    <w:link w:val="1"/>
    <w:qFormat/>
    <w:uiPriority w:val="0"/>
    <w:rPr>
      <w:i/>
    </w:rPr>
  </w:style>
  <w:style w:type="character" w:customStyle="1" w:styleId="214">
    <w:name w:val="超链接1"/>
    <w:link w:val="1"/>
    <w:uiPriority w:val="0"/>
    <w:rPr>
      <w:color w:val="0000FF"/>
      <w:u w:val="single"/>
    </w:rPr>
  </w:style>
  <w:style w:type="paragraph" w:customStyle="1" w:styleId="215">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216">
    <w:name w:val="正文1"/>
    <w:basedOn w:val="1"/>
    <w:next w:val="1"/>
    <w:qFormat/>
    <w:uiPriority w:val="0"/>
    <w:pPr>
      <w:widowControl/>
      <w:spacing w:before="120" w:after="120"/>
      <w:ind w:firstLine="200"/>
      <w:contextualSpacing/>
      <w:jc w:val="left"/>
    </w:pPr>
    <w:rPr>
      <w:rFonts w:ascii="Calibri" w:hAnsi="Calibri" w:eastAsia="仿宋" w:cs="Times New Roman"/>
      <w:szCs w:val="21"/>
    </w:rPr>
  </w:style>
  <w:style w:type="character" w:customStyle="1" w:styleId="217">
    <w:name w:val="纯文本 Char1"/>
    <w:aliases w:val=" Char Char,普通文字 Char Char,纯文本 Char Char,小 Char1"/>
    <w:link w:val="1"/>
    <w:uiPriority w:val="0"/>
    <w:rPr>
      <w:rFonts w:ascii="宋体" w:hAnsi="Courier New"/>
      <w:sz w:val="21"/>
    </w:rPr>
  </w:style>
  <w:style w:type="paragraph" w:customStyle="1" w:styleId="218">
    <w:name w:val="font6"/>
    <w:basedOn w:val="1"/>
    <w:uiPriority w:val="0"/>
    <w:pPr>
      <w:widowControl/>
      <w:spacing w:before="100" w:beforeAutospacing="1" w:after="100" w:afterAutospacing="1"/>
      <w:jc w:val="left"/>
    </w:pPr>
    <w:rPr>
      <w:rFonts w:eastAsia="宋体"/>
      <w:sz w:val="18"/>
      <w:szCs w:val="18"/>
    </w:rPr>
  </w:style>
  <w:style w:type="paragraph" w:customStyle="1" w:styleId="219">
    <w:name w:val="列出段落"/>
    <w:basedOn w:val="1"/>
    <w:qFormat/>
    <w:uiPriority w:val="99"/>
    <w:pPr>
      <w:ind w:firstLine="420"/>
    </w:pPr>
  </w:style>
  <w:style w:type="paragraph" w:customStyle="1" w:styleId="220">
    <w:name w:val="xl43"/>
    <w:basedOn w:val="1"/>
    <w:uiPriority w:val="0"/>
    <w:pPr>
      <w:widowControl/>
      <w:spacing w:before="100" w:beforeAutospacing="1" w:after="100" w:afterAutospacing="1"/>
      <w:jc w:val="left"/>
    </w:pPr>
    <w:rPr>
      <w:rFonts w:ascii="宋体" w:hAnsi="宋体" w:eastAsia="宋体"/>
      <w:sz w:val="24"/>
    </w:rPr>
  </w:style>
  <w:style w:type="paragraph" w:customStyle="1" w:styleId="221">
    <w:name w:val="xl68"/>
    <w:basedOn w:val="1"/>
    <w:uiPriority w:val="0"/>
    <w:pPr>
      <w:widowControl/>
      <w:pBdr>
        <w:left w:val="single" w:color="000000" w:sz="4" w:space="0"/>
        <w:right w:val="single" w:color="000000" w:sz="4" w:space="0"/>
      </w:pBdr>
      <w:spacing w:before="100" w:beforeAutospacing="1" w:after="100" w:afterAutospacing="1"/>
      <w:jc w:val="left"/>
    </w:pPr>
    <w:rPr>
      <w:rFonts w:ascii="宋体" w:hAnsi="宋体" w:eastAsia="宋体"/>
      <w:sz w:val="18"/>
      <w:szCs w:val="18"/>
    </w:rPr>
  </w:style>
  <w:style w:type="paragraph" w:customStyle="1" w:styleId="222">
    <w:name w:val="xl5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20"/>
      <w:szCs w:val="20"/>
    </w:rPr>
  </w:style>
  <w:style w:type="paragraph" w:customStyle="1" w:styleId="223">
    <w:name w:val="xl2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18"/>
      <w:szCs w:val="18"/>
    </w:rPr>
  </w:style>
  <w:style w:type="paragraph" w:customStyle="1" w:styleId="224">
    <w:name w:val="xl46"/>
    <w:basedOn w:val="1"/>
    <w:uiPriority w:val="0"/>
    <w:pPr>
      <w:widowControl/>
      <w:pBdr>
        <w:bottom w:val="single" w:color="000000" w:sz="4" w:space="0"/>
        <w:right w:val="single" w:color="000000" w:sz="4" w:space="0"/>
      </w:pBdr>
      <w:spacing w:before="100" w:beforeAutospacing="1" w:after="100" w:afterAutospacing="1"/>
      <w:jc w:val="right"/>
    </w:pPr>
    <w:rPr>
      <w:rFonts w:ascii="宋体" w:hAnsi="宋体" w:eastAsia="宋体"/>
      <w:sz w:val="18"/>
      <w:szCs w:val="18"/>
    </w:rPr>
  </w:style>
  <w:style w:type="paragraph" w:customStyle="1" w:styleId="225">
    <w:name w:val="xl3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18"/>
      <w:szCs w:val="18"/>
    </w:rPr>
  </w:style>
  <w:style w:type="paragraph" w:customStyle="1" w:styleId="226">
    <w:name w:val="xl59"/>
    <w:basedOn w:val="1"/>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sz w:val="18"/>
      <w:szCs w:val="18"/>
    </w:rPr>
  </w:style>
  <w:style w:type="paragraph" w:customStyle="1" w:styleId="227">
    <w:name w:val="xl3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宋体"/>
      <w:sz w:val="18"/>
      <w:szCs w:val="18"/>
    </w:rPr>
  </w:style>
  <w:style w:type="paragraph" w:customStyle="1" w:styleId="228">
    <w:name w:val="xl86"/>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18"/>
      <w:szCs w:val="18"/>
    </w:rPr>
  </w:style>
  <w:style w:type="paragraph" w:customStyle="1" w:styleId="229">
    <w:name w:val="font7"/>
    <w:basedOn w:val="1"/>
    <w:uiPriority w:val="0"/>
    <w:pPr>
      <w:widowControl/>
      <w:spacing w:before="100" w:beforeAutospacing="1" w:after="100" w:afterAutospacing="1"/>
      <w:jc w:val="left"/>
    </w:pPr>
    <w:rPr>
      <w:rFonts w:eastAsia="宋体"/>
      <w:sz w:val="18"/>
      <w:szCs w:val="18"/>
    </w:rPr>
  </w:style>
  <w:style w:type="paragraph" w:customStyle="1" w:styleId="230">
    <w:name w:val="Char Char Char Char"/>
    <w:basedOn w:val="189"/>
    <w:uiPriority w:val="0"/>
    <w:pPr>
      <w:spacing w:line="360" w:lineRule="auto"/>
    </w:pPr>
    <w:rPr>
      <w:rFonts w:ascii="Tahoma" w:hAnsi="Tahoma"/>
      <w:sz w:val="24"/>
    </w:rPr>
  </w:style>
  <w:style w:type="paragraph" w:customStyle="1" w:styleId="231">
    <w:name w:val="xl67"/>
    <w:basedOn w:val="1"/>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eastAsia="宋体"/>
      <w:sz w:val="18"/>
      <w:szCs w:val="18"/>
    </w:rPr>
  </w:style>
  <w:style w:type="paragraph" w:customStyle="1" w:styleId="232">
    <w:name w:val="xl45"/>
    <w:basedOn w:val="1"/>
    <w:uiPriority w:val="0"/>
    <w:pPr>
      <w:widowControl/>
      <w:pBdr>
        <w:bottom w:val="single" w:color="000000" w:sz="4" w:space="0"/>
        <w:right w:val="single" w:color="000000" w:sz="4" w:space="0"/>
      </w:pBdr>
      <w:spacing w:before="100" w:beforeAutospacing="1" w:after="100" w:afterAutospacing="1"/>
      <w:jc w:val="right"/>
    </w:pPr>
    <w:rPr>
      <w:rFonts w:eastAsia="宋体"/>
      <w:b/>
      <w:bCs/>
      <w:sz w:val="18"/>
      <w:szCs w:val="18"/>
    </w:rPr>
  </w:style>
  <w:style w:type="paragraph" w:customStyle="1" w:styleId="233">
    <w:name w:val="xl72"/>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18"/>
      <w:szCs w:val="18"/>
    </w:rPr>
  </w:style>
  <w:style w:type="paragraph" w:customStyle="1" w:styleId="234">
    <w:name w:val="标书正文格式"/>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35">
    <w:name w:val="xl60"/>
    <w:basedOn w:val="1"/>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sz w:val="18"/>
      <w:szCs w:val="18"/>
    </w:rPr>
  </w:style>
  <w:style w:type="paragraph" w:customStyle="1" w:styleId="236">
    <w:name w:val="xl84"/>
    <w:basedOn w:val="1"/>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18"/>
      <w:szCs w:val="18"/>
    </w:rPr>
  </w:style>
  <w:style w:type="paragraph" w:customStyle="1" w:styleId="237">
    <w:name w:val="xl57"/>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24"/>
    </w:rPr>
  </w:style>
  <w:style w:type="paragraph" w:customStyle="1" w:styleId="238">
    <w:name w:val="xl69"/>
    <w:basedOn w:val="1"/>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18"/>
      <w:szCs w:val="18"/>
    </w:rPr>
  </w:style>
  <w:style w:type="paragraph" w:customStyle="1" w:styleId="239">
    <w:name w:val="font12"/>
    <w:basedOn w:val="1"/>
    <w:uiPriority w:val="0"/>
    <w:pPr>
      <w:widowControl/>
      <w:spacing w:before="100" w:beforeAutospacing="1" w:after="100" w:afterAutospacing="1"/>
      <w:jc w:val="left"/>
    </w:pPr>
    <w:rPr>
      <w:rFonts w:eastAsia="宋体"/>
      <w:color w:val="333333"/>
      <w:sz w:val="18"/>
      <w:szCs w:val="18"/>
    </w:rPr>
  </w:style>
  <w:style w:type="paragraph" w:customStyle="1" w:styleId="240">
    <w:name w:val="font8"/>
    <w:basedOn w:val="1"/>
    <w:uiPriority w:val="0"/>
    <w:pPr>
      <w:widowControl/>
      <w:spacing w:before="100" w:beforeAutospacing="1" w:after="100" w:afterAutospacing="1"/>
      <w:jc w:val="left"/>
    </w:pPr>
    <w:rPr>
      <w:rFonts w:eastAsia="宋体"/>
      <w:sz w:val="18"/>
      <w:szCs w:val="18"/>
    </w:rPr>
  </w:style>
  <w:style w:type="paragraph" w:customStyle="1" w:styleId="241">
    <w:name w:val="xl4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宋体"/>
      <w:sz w:val="20"/>
      <w:szCs w:val="20"/>
    </w:rPr>
  </w:style>
  <w:style w:type="paragraph" w:customStyle="1" w:styleId="242">
    <w:name w:val=" 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243">
    <w:name w:val="xl74"/>
    <w:basedOn w:val="1"/>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18"/>
      <w:szCs w:val="18"/>
    </w:rPr>
  </w:style>
  <w:style w:type="paragraph" w:customStyle="1" w:styleId="244">
    <w:name w:val="xl77"/>
    <w:basedOn w:val="1"/>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18"/>
      <w:szCs w:val="18"/>
    </w:rPr>
  </w:style>
  <w:style w:type="paragraph" w:customStyle="1" w:styleId="245">
    <w:name w:val="xl71"/>
    <w:basedOn w:val="1"/>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sz w:val="18"/>
      <w:szCs w:val="18"/>
    </w:rPr>
  </w:style>
  <w:style w:type="paragraph" w:customStyle="1" w:styleId="246">
    <w:name w:val="xl75"/>
    <w:basedOn w:val="1"/>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宋体" w:hAnsi="宋体" w:eastAsia="宋体"/>
      <w:b/>
      <w:bCs/>
      <w:sz w:val="18"/>
      <w:szCs w:val="18"/>
    </w:rPr>
  </w:style>
  <w:style w:type="paragraph" w:customStyle="1" w:styleId="247">
    <w:name w:val="xl3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宋体"/>
      <w:sz w:val="18"/>
      <w:szCs w:val="18"/>
    </w:rPr>
  </w:style>
  <w:style w:type="paragraph" w:customStyle="1" w:styleId="248">
    <w:name w:val="xl51"/>
    <w:basedOn w:val="1"/>
    <w:uiPriority w:val="0"/>
    <w:pPr>
      <w:widowControl/>
      <w:pBdr>
        <w:top w:val="single" w:color="000000" w:sz="4" w:space="0"/>
        <w:bottom w:val="single" w:color="000000" w:sz="4" w:space="0"/>
      </w:pBdr>
      <w:spacing w:before="100" w:beforeAutospacing="1" w:after="100" w:afterAutospacing="1"/>
      <w:jc w:val="center"/>
    </w:pPr>
    <w:rPr>
      <w:rFonts w:eastAsia="宋体"/>
      <w:sz w:val="18"/>
      <w:szCs w:val="18"/>
    </w:rPr>
  </w:style>
  <w:style w:type="paragraph" w:customStyle="1" w:styleId="249">
    <w:name w:val="xl78"/>
    <w:basedOn w:val="1"/>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宋体" w:hAnsi="宋体" w:eastAsia="宋体"/>
      <w:b/>
      <w:bCs/>
      <w:color w:val="000000"/>
      <w:sz w:val="18"/>
      <w:szCs w:val="18"/>
    </w:rPr>
  </w:style>
  <w:style w:type="paragraph" w:customStyle="1" w:styleId="250">
    <w:name w:val="普通正文"/>
    <w:basedOn w:val="1"/>
    <w:uiPriority w:val="0"/>
    <w:pPr>
      <w:spacing w:before="120" w:after="120" w:line="360" w:lineRule="auto"/>
      <w:ind w:firstLine="480"/>
      <w:jc w:val="left"/>
    </w:pPr>
    <w:rPr>
      <w:rFonts w:ascii="Arial" w:hAnsi="Arial"/>
      <w:sz w:val="24"/>
    </w:rPr>
  </w:style>
  <w:style w:type="paragraph" w:customStyle="1" w:styleId="251">
    <w:name w:val="Char"/>
    <w:basedOn w:val="1"/>
    <w:uiPriority w:val="0"/>
    <w:pPr>
      <w:tabs>
        <w:tab w:val="left" w:pos="360"/>
      </w:tabs>
    </w:pPr>
    <w:rPr>
      <w:sz w:val="24"/>
    </w:rPr>
  </w:style>
  <w:style w:type="paragraph" w:customStyle="1" w:styleId="252">
    <w:name w:val="xl85"/>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宋体"/>
      <w:sz w:val="18"/>
      <w:szCs w:val="18"/>
    </w:rPr>
  </w:style>
  <w:style w:type="paragraph" w:customStyle="1" w:styleId="253">
    <w:name w:val="xl81"/>
    <w:basedOn w:val="1"/>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宋体"/>
      <w:sz w:val="18"/>
      <w:szCs w:val="18"/>
    </w:rPr>
  </w:style>
  <w:style w:type="paragraph" w:customStyle="1" w:styleId="254">
    <w:name w:val="xl56"/>
    <w:basedOn w:val="1"/>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sz w:val="18"/>
      <w:szCs w:val="18"/>
    </w:rPr>
  </w:style>
  <w:style w:type="paragraph" w:customStyle="1" w:styleId="255">
    <w:name w:val="xl63"/>
    <w:basedOn w:val="1"/>
    <w:uiPriority w:val="0"/>
    <w:pPr>
      <w:widowControl/>
      <w:pBdr>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256">
    <w:name w:val="font10"/>
    <w:basedOn w:val="1"/>
    <w:uiPriority w:val="0"/>
    <w:pPr>
      <w:widowControl/>
      <w:spacing w:before="100" w:beforeAutospacing="1" w:after="100" w:afterAutospacing="1"/>
      <w:jc w:val="left"/>
    </w:pPr>
    <w:rPr>
      <w:rFonts w:eastAsia="宋体"/>
      <w:sz w:val="18"/>
      <w:szCs w:val="18"/>
    </w:rPr>
  </w:style>
  <w:style w:type="paragraph" w:customStyle="1" w:styleId="257">
    <w:name w:val="xl62"/>
    <w:basedOn w:val="1"/>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18"/>
      <w:szCs w:val="18"/>
    </w:rPr>
  </w:style>
  <w:style w:type="paragraph" w:customStyle="1" w:styleId="258">
    <w:name w:val="xl3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sz w:val="18"/>
      <w:szCs w:val="18"/>
    </w:rPr>
  </w:style>
  <w:style w:type="paragraph" w:customStyle="1" w:styleId="259">
    <w:name w:val="xl37"/>
    <w:basedOn w:val="1"/>
    <w:uiPriority w:val="0"/>
    <w:pPr>
      <w:widowControl/>
      <w:pBdr>
        <w:bottom w:val="single" w:color="000000" w:sz="4" w:space="0"/>
        <w:right w:val="single" w:color="000000" w:sz="4" w:space="0"/>
      </w:pBdr>
      <w:spacing w:before="100" w:beforeAutospacing="1" w:after="100" w:afterAutospacing="1"/>
      <w:jc w:val="right"/>
    </w:pPr>
    <w:rPr>
      <w:rFonts w:eastAsia="宋体"/>
      <w:sz w:val="18"/>
      <w:szCs w:val="18"/>
    </w:rPr>
  </w:style>
  <w:style w:type="paragraph" w:customStyle="1" w:styleId="260">
    <w:name w:val="xl5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Segoe Print" w:hAnsi="Segoe Print" w:eastAsia="宋体"/>
      <w:sz w:val="20"/>
      <w:szCs w:val="20"/>
    </w:rPr>
  </w:style>
  <w:style w:type="paragraph" w:customStyle="1" w:styleId="261">
    <w:name w:val="font11"/>
    <w:basedOn w:val="1"/>
    <w:uiPriority w:val="0"/>
    <w:pPr>
      <w:widowControl/>
      <w:spacing w:before="100" w:beforeAutospacing="1" w:after="100" w:afterAutospacing="1"/>
      <w:jc w:val="left"/>
    </w:pPr>
    <w:rPr>
      <w:rFonts w:hint="eastAsia" w:ascii="宋体" w:hAnsi="宋体"/>
      <w:color w:val="333333"/>
      <w:sz w:val="18"/>
      <w:szCs w:val="18"/>
    </w:rPr>
  </w:style>
  <w:style w:type="paragraph" w:customStyle="1" w:styleId="262">
    <w:name w:val="xl79"/>
    <w:basedOn w:val="1"/>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宋体" w:hAnsi="宋体" w:eastAsia="宋体"/>
      <w:b/>
      <w:bCs/>
      <w:color w:val="000000"/>
      <w:sz w:val="18"/>
      <w:szCs w:val="18"/>
    </w:rPr>
  </w:style>
  <w:style w:type="paragraph" w:customStyle="1" w:styleId="263">
    <w:name w:val="xl42"/>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宋体"/>
      <w:sz w:val="18"/>
      <w:szCs w:val="18"/>
    </w:rPr>
  </w:style>
  <w:style w:type="paragraph" w:customStyle="1" w:styleId="264">
    <w:name w:val="xl73"/>
    <w:basedOn w:val="1"/>
    <w:uiPriority w:val="0"/>
    <w:pPr>
      <w:widowControl/>
      <w:pBdr>
        <w:left w:val="single" w:color="000000" w:sz="4" w:space="0"/>
        <w:right w:val="single" w:color="000000" w:sz="4" w:space="0"/>
      </w:pBdr>
      <w:spacing w:before="100" w:beforeAutospacing="1" w:after="100" w:afterAutospacing="1"/>
      <w:jc w:val="left"/>
    </w:pPr>
    <w:rPr>
      <w:rFonts w:ascii="宋体" w:hAnsi="宋体" w:eastAsia="宋体"/>
      <w:sz w:val="18"/>
      <w:szCs w:val="18"/>
    </w:rPr>
  </w:style>
  <w:style w:type="paragraph" w:customStyle="1" w:styleId="265">
    <w:name w:val="xl36"/>
    <w:basedOn w:val="1"/>
    <w:uiPriority w:val="0"/>
    <w:pPr>
      <w:widowControl/>
      <w:pBdr>
        <w:bottom w:val="single" w:color="000000" w:sz="4" w:space="0"/>
        <w:right w:val="single" w:color="000000" w:sz="4" w:space="0"/>
      </w:pBdr>
      <w:spacing w:before="100" w:beforeAutospacing="1" w:after="100" w:afterAutospacing="1"/>
      <w:jc w:val="center"/>
    </w:pPr>
    <w:rPr>
      <w:rFonts w:eastAsia="宋体"/>
      <w:sz w:val="18"/>
      <w:szCs w:val="18"/>
    </w:rPr>
  </w:style>
  <w:style w:type="paragraph" w:customStyle="1" w:styleId="266">
    <w:name w:val="xl44"/>
    <w:basedOn w:val="1"/>
    <w:uiPriority w:val="0"/>
    <w:pPr>
      <w:widowControl/>
      <w:spacing w:before="100" w:beforeAutospacing="1" w:after="100" w:afterAutospacing="1"/>
      <w:jc w:val="right"/>
    </w:pPr>
    <w:rPr>
      <w:rFonts w:ascii="宋体" w:hAnsi="宋体" w:eastAsia="宋体"/>
      <w:sz w:val="24"/>
    </w:rPr>
  </w:style>
  <w:style w:type="paragraph" w:customStyle="1" w:styleId="267">
    <w:name w:val="xl35"/>
    <w:basedOn w:val="1"/>
    <w:uiPriority w:val="0"/>
    <w:pPr>
      <w:widowControl/>
      <w:pBdr>
        <w:bottom w:val="single" w:color="000000" w:sz="4" w:space="0"/>
        <w:right w:val="single" w:color="000000" w:sz="4" w:space="0"/>
      </w:pBdr>
      <w:spacing w:before="100" w:beforeAutospacing="1" w:after="100" w:afterAutospacing="1"/>
      <w:jc w:val="center"/>
    </w:pPr>
    <w:rPr>
      <w:rFonts w:ascii="宋体" w:hAnsi="宋体" w:eastAsia="宋体"/>
      <w:sz w:val="18"/>
      <w:szCs w:val="18"/>
    </w:rPr>
  </w:style>
  <w:style w:type="paragraph" w:customStyle="1" w:styleId="268">
    <w:name w:val=" Char Char Char Char Char 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269">
    <w:name w:val="xl64"/>
    <w:basedOn w:val="1"/>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270">
    <w:name w:val="xl41"/>
    <w:basedOn w:val="1"/>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18"/>
      <w:szCs w:val="18"/>
    </w:rPr>
  </w:style>
  <w:style w:type="paragraph" w:customStyle="1" w:styleId="271">
    <w:name w:val="xl52"/>
    <w:basedOn w:val="1"/>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宋体"/>
      <w:sz w:val="18"/>
      <w:szCs w:val="18"/>
    </w:rPr>
  </w:style>
  <w:style w:type="paragraph" w:customStyle="1" w:styleId="272">
    <w:name w:val="xl80"/>
    <w:basedOn w:val="1"/>
    <w:uiPriority w:val="0"/>
    <w:pPr>
      <w:widowControl/>
      <w:pBdr>
        <w:bottom w:val="single" w:color="000000" w:sz="4" w:space="0"/>
      </w:pBdr>
      <w:spacing w:before="100" w:beforeAutospacing="1" w:after="100" w:afterAutospacing="1"/>
      <w:jc w:val="center"/>
    </w:pPr>
    <w:rPr>
      <w:rFonts w:ascii="宋体" w:hAnsi="宋体" w:eastAsia="宋体"/>
      <w:sz w:val="18"/>
      <w:szCs w:val="18"/>
    </w:rPr>
  </w:style>
  <w:style w:type="paragraph" w:customStyle="1" w:styleId="273">
    <w:name w:val="xl3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宋体"/>
      <w:sz w:val="18"/>
      <w:szCs w:val="18"/>
    </w:rPr>
  </w:style>
  <w:style w:type="paragraph" w:customStyle="1" w:styleId="274">
    <w:name w:val="xl30"/>
    <w:basedOn w:val="1"/>
    <w:uiPriority w:val="0"/>
    <w:pPr>
      <w:widowControl/>
      <w:spacing w:before="100" w:beforeAutospacing="1" w:after="100" w:afterAutospacing="1"/>
      <w:jc w:val="left"/>
    </w:pPr>
    <w:rPr>
      <w:rFonts w:ascii="宋体" w:hAnsi="宋体" w:eastAsia="宋体"/>
      <w:sz w:val="18"/>
      <w:szCs w:val="18"/>
    </w:rPr>
  </w:style>
  <w:style w:type="paragraph" w:customStyle="1" w:styleId="275">
    <w:name w:val="Default"/>
    <w:uiPriority w:val="0"/>
    <w:pPr>
      <w:widowControl w:val="0"/>
    </w:pPr>
    <w:rPr>
      <w:rFonts w:hint="default" w:ascii="仿宋" w:hAnsi="Times New Roman" w:eastAsia="仿宋" w:cs="仿宋"/>
      <w:color w:val="000000"/>
      <w:sz w:val="24"/>
      <w:szCs w:val="24"/>
      <w:lang w:val="en-US" w:eastAsia="zh-CN" w:bidi="ar-SA"/>
    </w:rPr>
  </w:style>
  <w:style w:type="paragraph" w:customStyle="1" w:styleId="276">
    <w:name w:val="xl34"/>
    <w:basedOn w:val="1"/>
    <w:uiPriority w:val="0"/>
    <w:pPr>
      <w:widowControl/>
      <w:pBdr>
        <w:bottom w:val="single" w:color="000000" w:sz="4" w:space="0"/>
        <w:right w:val="single" w:color="000000" w:sz="4" w:space="0"/>
      </w:pBdr>
      <w:spacing w:before="100" w:beforeAutospacing="1" w:after="100" w:afterAutospacing="1"/>
      <w:jc w:val="left"/>
    </w:pPr>
    <w:rPr>
      <w:rFonts w:eastAsia="宋体"/>
      <w:sz w:val="18"/>
      <w:szCs w:val="18"/>
    </w:rPr>
  </w:style>
  <w:style w:type="paragraph" w:customStyle="1" w:styleId="277">
    <w:name w:val=" Char"/>
    <w:basedOn w:val="189"/>
    <w:uiPriority w:val="0"/>
    <w:pPr>
      <w:spacing w:line="360" w:lineRule="auto"/>
    </w:pPr>
    <w:rPr>
      <w:rFonts w:ascii="Tahoma" w:hAnsi="Tahoma"/>
      <w:sz w:val="24"/>
    </w:rPr>
  </w:style>
  <w:style w:type="paragraph" w:customStyle="1" w:styleId="278">
    <w:name w:val="font9"/>
    <w:basedOn w:val="1"/>
    <w:uiPriority w:val="0"/>
    <w:pPr>
      <w:widowControl/>
      <w:spacing w:before="100" w:beforeAutospacing="1" w:after="100" w:afterAutospacing="1"/>
      <w:jc w:val="left"/>
    </w:pPr>
    <w:rPr>
      <w:rFonts w:eastAsia="宋体"/>
      <w:b/>
      <w:bCs/>
      <w:color w:val="000000"/>
      <w:sz w:val="18"/>
      <w:szCs w:val="18"/>
    </w:rPr>
  </w:style>
  <w:style w:type="paragraph" w:customStyle="1" w:styleId="279">
    <w:name w:val="xl58"/>
    <w:basedOn w:val="1"/>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sz w:val="18"/>
      <w:szCs w:val="18"/>
    </w:rPr>
  </w:style>
  <w:style w:type="paragraph" w:customStyle="1" w:styleId="280">
    <w:name w:val="xl70"/>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sz w:val="18"/>
      <w:szCs w:val="18"/>
    </w:rPr>
  </w:style>
  <w:style w:type="paragraph" w:customStyle="1" w:styleId="281">
    <w:name w:val="xl2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18"/>
      <w:szCs w:val="18"/>
    </w:rPr>
  </w:style>
  <w:style w:type="paragraph" w:customStyle="1" w:styleId="282">
    <w:name w:val="xl48"/>
    <w:basedOn w:val="1"/>
    <w:uiPriority w:val="0"/>
    <w:pPr>
      <w:widowControl/>
      <w:spacing w:before="100" w:beforeAutospacing="1" w:after="100" w:afterAutospacing="1"/>
      <w:jc w:val="center"/>
    </w:pPr>
    <w:rPr>
      <w:rFonts w:ascii="宋体" w:hAnsi="宋体" w:eastAsia="宋体"/>
      <w:sz w:val="28"/>
      <w:szCs w:val="28"/>
    </w:rPr>
  </w:style>
  <w:style w:type="paragraph" w:customStyle="1" w:styleId="283">
    <w:name w:val="font5"/>
    <w:basedOn w:val="1"/>
    <w:uiPriority w:val="0"/>
    <w:pPr>
      <w:widowControl/>
      <w:spacing w:before="100" w:beforeAutospacing="1" w:after="100" w:afterAutospacing="1"/>
      <w:jc w:val="left"/>
    </w:pPr>
    <w:rPr>
      <w:rFonts w:hint="eastAsia" w:ascii="宋体" w:hAnsi="宋体"/>
      <w:sz w:val="18"/>
      <w:szCs w:val="18"/>
    </w:rPr>
  </w:style>
  <w:style w:type="paragraph" w:customStyle="1" w:styleId="284">
    <w:name w:val="默认段落字体 Para Char Char Char Char Char Char Char Char Char1 Char Char Char Char Char Char Char"/>
    <w:basedOn w:val="189"/>
    <w:uiPriority w:val="0"/>
    <w:rPr>
      <w:rFonts w:ascii="Tahoma" w:hAnsi="Tahoma"/>
      <w:sz w:val="24"/>
    </w:rPr>
  </w:style>
  <w:style w:type="paragraph" w:customStyle="1" w:styleId="285">
    <w:name w:val="xl6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18"/>
      <w:szCs w:val="18"/>
    </w:rPr>
  </w:style>
  <w:style w:type="paragraph" w:customStyle="1" w:styleId="286">
    <w:name w:val="font13"/>
    <w:basedOn w:val="1"/>
    <w:uiPriority w:val="0"/>
    <w:pPr>
      <w:widowControl/>
      <w:spacing w:before="100" w:beforeAutospacing="1" w:after="100" w:afterAutospacing="1"/>
      <w:jc w:val="left"/>
    </w:pPr>
    <w:rPr>
      <w:rFonts w:eastAsia="宋体"/>
      <w:b/>
      <w:bCs/>
      <w:sz w:val="18"/>
      <w:szCs w:val="18"/>
    </w:rPr>
  </w:style>
  <w:style w:type="paragraph" w:customStyle="1" w:styleId="287">
    <w:name w:val="xl83"/>
    <w:basedOn w:val="1"/>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sz w:val="18"/>
      <w:szCs w:val="18"/>
    </w:rPr>
  </w:style>
  <w:style w:type="paragraph" w:customStyle="1" w:styleId="288">
    <w:name w:val="xl61"/>
    <w:basedOn w:val="1"/>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sz w:val="18"/>
      <w:szCs w:val="18"/>
    </w:rPr>
  </w:style>
  <w:style w:type="paragraph" w:customStyle="1" w:styleId="289">
    <w:name w:val="xl76"/>
    <w:basedOn w:val="1"/>
    <w:uiPriority w:val="0"/>
    <w:pPr>
      <w:widowControl/>
      <w:pBdr>
        <w:left w:val="single" w:color="000000" w:sz="4" w:space="0"/>
        <w:right w:val="single" w:color="000000" w:sz="4" w:space="0"/>
      </w:pBdr>
      <w:spacing w:before="100" w:beforeAutospacing="1" w:after="100" w:afterAutospacing="1"/>
      <w:jc w:val="left"/>
    </w:pPr>
    <w:rPr>
      <w:rFonts w:ascii="宋体" w:hAnsi="宋体" w:eastAsia="宋体"/>
      <w:b/>
      <w:bCs/>
      <w:sz w:val="18"/>
      <w:szCs w:val="18"/>
    </w:rPr>
  </w:style>
  <w:style w:type="paragraph" w:customStyle="1" w:styleId="290">
    <w:name w:val="xl55"/>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sz w:val="18"/>
      <w:szCs w:val="18"/>
    </w:rPr>
  </w:style>
  <w:style w:type="paragraph" w:customStyle="1" w:styleId="291">
    <w:name w:val="xl40"/>
    <w:basedOn w:val="1"/>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eastAsia="宋体"/>
      <w:sz w:val="18"/>
      <w:szCs w:val="18"/>
    </w:rPr>
  </w:style>
  <w:style w:type="paragraph" w:customStyle="1" w:styleId="292">
    <w:name w:val="xl65"/>
    <w:basedOn w:val="1"/>
    <w:uiPriority w:val="0"/>
    <w:pPr>
      <w:widowControl/>
      <w:pBdr>
        <w:left w:val="single" w:color="000000" w:sz="4" w:space="0"/>
      </w:pBdr>
      <w:spacing w:before="100" w:beforeAutospacing="1" w:after="100" w:afterAutospacing="1"/>
      <w:jc w:val="center"/>
    </w:pPr>
    <w:rPr>
      <w:rFonts w:ascii="宋体" w:hAnsi="宋体" w:eastAsia="宋体"/>
      <w:b/>
      <w:bCs/>
      <w:sz w:val="20"/>
      <w:szCs w:val="20"/>
    </w:rPr>
  </w:style>
  <w:style w:type="paragraph" w:customStyle="1" w:styleId="293">
    <w:name w:val="xl49"/>
    <w:basedOn w:val="1"/>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sz w:val="18"/>
      <w:szCs w:val="18"/>
    </w:rPr>
  </w:style>
  <w:style w:type="paragraph" w:customStyle="1" w:styleId="294">
    <w:name w:val="xl50"/>
    <w:basedOn w:val="1"/>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sz w:val="18"/>
      <w:szCs w:val="18"/>
    </w:rPr>
  </w:style>
  <w:style w:type="paragraph" w:customStyle="1" w:styleId="295">
    <w:name w:val="xl82"/>
    <w:basedOn w:val="1"/>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宋体" w:hAnsi="宋体" w:eastAsia="宋体"/>
      <w:color w:val="333333"/>
      <w:sz w:val="18"/>
      <w:szCs w:val="18"/>
    </w:rPr>
  </w:style>
  <w:style w:type="paragraph" w:customStyle="1" w:styleId="296">
    <w:name w:val="正文文本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97">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298">
    <w:name w:val="BodyText1"/>
    <w:basedOn w:val="1"/>
    <w:qFormat/>
    <w:uiPriority w:val="0"/>
    <w:pPr>
      <w:spacing w:line="60" w:lineRule="auto"/>
      <w:jc w:val="both"/>
    </w:pPr>
    <w:rPr>
      <w:rFonts w:ascii="仿宋" w:hAnsi="Calibri" w:eastAsia="仿宋"/>
      <w:sz w:val="32"/>
      <w:szCs w:val="22"/>
      <w:lang w:val="en-US" w:eastAsia="zh-CN" w:bidi="ar-SA"/>
    </w:rPr>
  </w:style>
  <w:style w:type="paragraph" w:customStyle="1" w:styleId="299">
    <w:name w:val="WPSOffice手动目录 1"/>
    <w:uiPriority w:val="0"/>
    <w:rPr>
      <w:rFonts w:hint="default" w:ascii="Times New Roman" w:hAnsi="Times New Roman" w:eastAsia="宋体" w:cs="Times New Roman"/>
      <w:sz w:val="20"/>
      <w:szCs w:val="20"/>
    </w:rPr>
  </w:style>
  <w:style w:type="paragraph" w:customStyle="1" w:styleId="300">
    <w:name w:val="Table Paragraph"/>
    <w:basedOn w:val="1"/>
    <w:uiPriority w:val="0"/>
    <w:rPr>
      <w:rFonts w:ascii="宋体" w:hAnsi="宋体" w:eastAsia="宋体" w:cs="宋体"/>
      <w:lang w:val="zh-CN" w:eastAsia="zh-CN" w:bidi="zh-CN"/>
    </w:rPr>
  </w:style>
  <w:style w:type="paragraph" w:customStyle="1" w:styleId="301">
    <w:name w:val="纯文本12"/>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66</Pages>
  <Words>2447</Words>
  <Characters>2736</Characters>
  <TotalTime>0</TotalTime>
  <ScaleCrop>false</ScaleCrop>
  <LinksUpToDate>false</LinksUpToDate>
  <CharactersWithSpaces>2780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2024-02-28T03:16:00Z</dcterms:created>
  <dc:creator>us</dc:creator>
  <cp:lastModifiedBy>尔尔.</cp:lastModifiedBy>
  <dcterms:modified xsi:type="dcterms:W3CDTF">2026-03-09T08:39:01Z</dcterms:modified>
  <dc:title>淮安市职业</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eyJoZGlkIjoiNmVlOGE4ZDNlNjcyMTIzNGMwOGNkMDkyNjJjYmEzN2QiLCJ1c2VySWQiOiI0MzU0NjYxOTcifQ==</vt:lpwstr>
  </property>
  <property fmtid="{D5CDD505-2E9C-101B-9397-08002B2CF9AE}" pid="3" name="KSOProductBuildVer">
    <vt:lpwstr>2052-12.1.0.25225</vt:lpwstr>
  </property>
  <property fmtid="{D5CDD505-2E9C-101B-9397-08002B2CF9AE}" pid="4" name="ICV">
    <vt:lpwstr>D06AA211837D4127BFDDCDF64146336D_12</vt:lpwstr>
  </property>
</Properties>
</file>