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mc:Ignorable="w14 wp14">
  <w:body>
    <w:p>
      <w:pPr>
        <w:rPr>
          <w:rFonts w:ascii="仿宋" w:eastAsia="仿宋" w:hAnsi="仿宋" w:cs="仿宋" w:hint="eastAsia"/>
          <w:b/>
          <w:sz w:val="72"/>
          <w:szCs w:val="72"/>
        </w:rPr>
      </w:pPr>
      <w:bookmarkStart w:id="0" w:name="_GoBack"/>
      <w:bookmarkEnd w:id="0"/>
    </w:p>
    <w:p>
      <w:pPr>
        <w:spacing w:line="1040" w:lineRule="exact"/>
        <w:jc w:val="center"/>
        <w:rPr>
          <w:rFonts w:ascii="仿宋" w:eastAsia="仿宋" w:hAnsi="仿宋" w:cs="仿宋" w:hint="eastAsia"/>
          <w:b/>
          <w:sz w:val="52"/>
          <w:szCs w:val="52"/>
        </w:rPr>
      </w:pPr>
      <w:r>
        <w:rPr>
          <w:rFonts w:ascii="仿宋" w:eastAsia="仿宋" w:hAnsi="仿宋" w:cs="仿宋" w:hint="eastAsia"/>
          <w:b/>
          <w:sz w:val="52"/>
          <w:szCs w:val="52"/>
        </w:rPr>
        <w:t xml:space="preserve">淮安市淮阴区政府采购</w:t>
      </w:r>
    </w:p>
    <w:p>
      <w:pPr>
        <w:spacing w:line="1040" w:lineRule="exact"/>
        <w:jc w:val="center"/>
        <w:rPr>
          <w:rFonts w:ascii="仿宋" w:eastAsia="仿宋" w:hAnsi="仿宋" w:cs="仿宋" w:hint="eastAsia"/>
          <w:b/>
          <w:sz w:val="52"/>
          <w:szCs w:val="52"/>
        </w:rPr>
      </w:pPr>
      <w:r>
        <w:rPr>
          <w:rFonts w:ascii="仿宋" w:eastAsia="仿宋" w:hAnsi="仿宋" w:cs="仿宋" w:hint="eastAsia"/>
          <w:b/>
          <w:sz w:val="52"/>
          <w:szCs w:val="52"/>
        </w:rPr>
        <w:t xml:space="preserve">“苏采云全流程不见面交易”</w:t>
      </w:r>
    </w:p>
    <w:p>
      <w:pPr>
        <w:spacing w:line="1040" w:lineRule="exact"/>
        <w:jc w:val="center"/>
        <w:rPr>
          <w:rFonts w:ascii="仿宋" w:eastAsia="仿宋" w:hAnsi="仿宋" w:cs="仿宋" w:hint="eastAsia"/>
          <w:b/>
          <w:sz w:val="52"/>
          <w:szCs w:val="52"/>
        </w:rPr>
      </w:pPr>
      <w:r>
        <w:rPr>
          <w:rFonts w:ascii="仿宋" w:eastAsia="仿宋" w:hAnsi="仿宋" w:cs="仿宋" w:hint="eastAsia"/>
          <w:b/>
          <w:sz w:val="52"/>
          <w:szCs w:val="52"/>
        </w:rPr>
        <w:t xml:space="preserve">公开招标文件</w:t>
      </w:r>
    </w:p>
    <w:p>
      <w:pPr>
        <w:tabs>
          <w:tab w:val="center" w:pos="4621"/>
        </w:tabs>
        <w:jc w:val="left"/>
        <w:rPr>
          <w:rFonts w:ascii="仿宋" w:eastAsia="仿宋" w:hAnsi="仿宋" w:cs="仿宋" w:hint="eastAsia"/>
          <w:b/>
          <w:sz w:val="72"/>
        </w:rPr>
      </w:pPr>
    </w:p>
    <w:p>
      <w:pPr>
        <w:spacing w:line="760" w:lineRule="exact"/>
        <w:rPr>
          <w:rFonts w:ascii="仿宋" w:eastAsia="仿宋" w:hAnsi="仿宋" w:cs="仿宋" w:hint="eastAsia"/>
          <w:b/>
          <w:sz w:val="32"/>
        </w:rPr>
      </w:pPr>
    </w:p>
    <w:p>
      <w:pPr>
        <w:spacing w:line="760" w:lineRule="exact"/>
        <w:ind w:firstLine="551"/>
        <w:rPr>
          <w:rFonts w:ascii="仿宋" w:eastAsia="仿宋" w:hAnsi="仿宋" w:cs="仿宋" w:hint="eastAsia"/>
          <w:b/>
          <w:spacing w:val="-20"/>
          <w:sz w:val="32"/>
          <w:szCs w:val="32"/>
        </w:rPr>
      </w:pPr>
    </w:p>
    <w:p>
      <w:pPr>
        <w:spacing w:line="760" w:lineRule="exact"/>
        <w:ind w:firstLine="551"/>
        <w:rPr>
          <w:rFonts w:ascii="仿宋" w:eastAsia="仿宋" w:hAnsi="仿宋" w:cs="仿宋" w:hint="eastAsia"/>
          <w:b/>
          <w:spacing w:val="-20"/>
          <w:sz w:val="32"/>
          <w:szCs w:val="32"/>
        </w:rPr>
      </w:pPr>
    </w:p>
    <w:p>
      <w:pPr>
        <w:spacing w:line="760" w:lineRule="exact"/>
        <w:ind w:firstLine="551"/>
        <w:rPr>
          <w:rFonts w:ascii="仿宋" w:eastAsia="仿宋" w:hAnsi="仿宋" w:cs="仿宋" w:hint="eastAsia"/>
          <w:b/>
          <w:spacing w:val="-20"/>
          <w:sz w:val="32"/>
          <w:szCs w:val="32"/>
        </w:rPr>
      </w:pPr>
      <w:r>
        <w:rPr>
          <w:rFonts w:ascii="仿宋" w:eastAsia="仿宋" w:hAnsi="仿宋" w:cs="仿宋" w:hint="eastAsia"/>
          <w:b/>
          <w:spacing w:val="-20"/>
          <w:sz w:val="32"/>
          <w:szCs w:val="32"/>
        </w:rPr>
        <w:t xml:space="preserve">项目名称:</w:t>
      </w:r>
      <w:r>
        <w:rPr>
          <w:rFonts w:ascii="仿宋" w:eastAsia="仿宋" w:hAnsi="仿宋" w:cs="仿宋" w:hint="eastAsia"/>
          <w:b/>
          <w:sz w:val="32"/>
          <w:szCs w:val="32"/>
        </w:rPr>
        <w:t xml:space="preserve">数据中心机房建设项目 </w:t>
      </w:r>
    </w:p>
    <w:p>
      <w:pPr>
        <w:spacing w:line="760" w:lineRule="exact"/>
        <w:ind w:firstLine="315"/>
        <w:rPr>
          <w:rFonts w:ascii="仿宋" w:eastAsia="仿宋" w:hAnsi="仿宋" w:cs="仿宋" w:hint="eastAsia"/>
          <w:b/>
          <w:sz w:val="32"/>
          <w:szCs w:val="32"/>
        </w:rPr>
      </w:pPr>
    </w:p>
    <w:p>
      <w:pPr>
        <w:spacing w:line="760" w:lineRule="exact"/>
        <w:ind w:left="1747" w:hanging="1392"/>
        <w:rPr>
          <w:rFonts w:ascii="仿宋" w:eastAsia="仿宋" w:hAnsi="仿宋" w:cs="仿宋" w:hint="eastAsia"/>
          <w:b/>
          <w:spacing w:val="-20"/>
          <w:sz w:val="32"/>
          <w:szCs w:val="32"/>
        </w:rPr>
      </w:pPr>
      <w:r>
        <w:rPr>
          <w:rFonts w:ascii="仿宋" w:eastAsia="仿宋" w:hAnsi="仿宋" w:cs="仿宋" w:hint="eastAsia"/>
          <w:b/>
          <w:spacing w:val="-20"/>
          <w:sz w:val="32"/>
          <w:szCs w:val="32"/>
        </w:rPr>
        <w:t xml:space="preserve"> 项目编号：JSZC-320804-JZCG-G2024-0002</w:t>
      </w:r>
    </w:p>
    <w:p>
      <w:pPr>
        <w:spacing w:line="760" w:lineRule="exact"/>
        <w:ind w:firstLine="636"/>
        <w:rPr>
          <w:rFonts w:ascii="仿宋" w:eastAsia="仿宋" w:hAnsi="仿宋" w:cs="仿宋" w:hint="eastAsia"/>
          <w:b/>
          <w:sz w:val="32"/>
          <w:szCs w:val="32"/>
        </w:rPr>
      </w:pPr>
    </w:p>
    <w:p>
      <w:pPr>
        <w:ind w:left="-359" w:firstLine="360"/>
        <w:rPr>
          <w:rFonts w:ascii="仿宋" w:eastAsia="仿宋" w:hAnsi="仿宋" w:cs="仿宋" w:hint="eastAsia"/>
          <w:b/>
          <w:sz w:val="32"/>
          <w:szCs w:val="32"/>
        </w:rPr>
      </w:pPr>
    </w:p>
    <w:p>
      <w:pPr>
        <w:rPr>
          <w:rFonts w:ascii="仿宋" w:eastAsia="仿宋" w:hAnsi="仿宋" w:cs="仿宋" w:hint="eastAsia"/>
          <w:b/>
          <w:sz w:val="32"/>
          <w:szCs w:val="32"/>
        </w:rPr>
      </w:pPr>
    </w:p>
    <w:p>
      <w:pPr>
        <w:rPr>
          <w:rFonts w:ascii="仿宋" w:eastAsia="仿宋" w:hAnsi="仿宋" w:cs="仿宋" w:hint="eastAsia"/>
          <w:b/>
          <w:sz w:val="32"/>
        </w:rPr>
      </w:pPr>
    </w:p>
    <w:p>
      <w:pPr>
        <w:rPr>
          <w:rFonts w:ascii="仿宋" w:eastAsia="仿宋" w:hAnsi="仿宋" w:cs="仿宋" w:hint="eastAsia"/>
        </w:rPr>
      </w:pPr>
    </w:p>
    <w:p>
      <w:pPr>
        <w:spacing w:line="600" w:lineRule="exact"/>
        <w:jc w:val="center"/>
        <w:rPr>
          <w:rFonts w:ascii="仿宋" w:eastAsia="仿宋" w:hAnsi="仿宋" w:cs="仿宋" w:hint="eastAsia"/>
          <w:b/>
          <w:sz w:val="36"/>
          <w:szCs w:val="36"/>
        </w:rPr>
      </w:pPr>
    </w:p>
    <w:p>
      <w:pPr>
        <w:spacing w:line="600" w:lineRule="exact"/>
        <w:jc w:val="center"/>
        <w:rPr>
          <w:rFonts w:ascii="仿宋" w:eastAsia="仿宋" w:hAnsi="仿宋" w:cs="仿宋" w:hint="eastAsia"/>
          <w:b/>
          <w:sz w:val="36"/>
          <w:szCs w:val="36"/>
          <w:u w:val="single"/>
        </w:rPr>
      </w:pPr>
      <w:r>
        <w:rPr>
          <w:rFonts w:ascii="仿宋" w:eastAsia="仿宋" w:hAnsi="仿宋" w:cs="仿宋" w:hint="eastAsia"/>
          <w:b/>
          <w:sz w:val="36"/>
          <w:szCs w:val="36"/>
        </w:rPr>
        <w:t xml:space="preserve">淮安市公共资源交易中心淮阴分中心</w:t>
      </w:r>
    </w:p>
    <w:p>
      <w:pPr>
        <w:jc w:val="center"/>
        <w:rPr>
          <w:rFonts w:ascii="仿宋" w:eastAsia="仿宋" w:hAnsi="仿宋" w:cs="仿宋" w:hint="eastAsia"/>
          <w:sz w:val="24"/>
        </w:rPr>
      </w:pPr>
      <w:r>
        <w:rPr>
          <w:rFonts w:ascii="仿宋" w:eastAsia="仿宋" w:hAnsi="仿宋" w:cs="仿宋" w:hint="eastAsia"/>
          <w:b/>
          <w:sz w:val="36"/>
          <w:szCs w:val="36"/>
        </w:rPr>
        <w:t xml:space="preserve">二〇二四年四月</w:t>
      </w:r>
    </w:p>
    <w:p>
      <w:pPr>
        <w:spacing w:line="520" w:lineRule="exact"/>
        <w:rPr>
          <w:rFonts w:ascii="仿宋" w:eastAsia="仿宋" w:hAnsi="仿宋" w:cs="仿宋" w:hint="eastAsia"/>
          <w:b/>
          <w:sz w:val="36"/>
          <w:szCs w:val="36"/>
        </w:rPr>
      </w:pPr>
    </w:p>
    <w:p>
      <w:pPr>
        <w:spacing w:line="360" w:lineRule="auto"/>
        <w:jc w:val="center"/>
        <w:rPr>
          <w:rFonts w:ascii="仿宋" w:eastAsia="仿宋" w:hAnsi="仿宋" w:cs="仿宋" w:hint="eastAsia"/>
          <w:b/>
          <w:sz w:val="24"/>
        </w:rPr>
      </w:pPr>
    </w:p>
    <w:p>
      <w:pPr>
        <w:spacing w:line="360" w:lineRule="auto"/>
        <w:jc w:val="center"/>
        <w:rPr>
          <w:rFonts w:ascii="仿宋" w:eastAsia="仿宋" w:hAnsi="仿宋" w:cs="仿宋" w:hint="eastAsia"/>
          <w:b/>
          <w:sz w:val="36"/>
          <w:szCs w:val="36"/>
        </w:rPr>
        <w:sectPr>
          <w:headerReference w:type="default" r:id="rId4"/>
          <w:footerReference w:type="default" r:id="rId5"/>
          <w:pgSz w:w="11906" w:h="16839" w:orient="portrait"/>
          <w:pgMar w:top="1267" w:right="1416" w:bottom="1156" w:left="1785" w:header="882" w:footer="996" w:gutter="0"/>
          <w:pgBorders/>
          <w:cols w:num="1" w:space="1701">
            <w:col w:w="8705" w:space="1701"/>
          </w:cols>
          <w:docGrid w:linePitch="360" w:charSpace="0"/>
        </w:sectPr>
      </w:pPr>
    </w:p>
    <w:p>
      <w:pPr>
        <w:spacing w:line="360" w:lineRule="auto"/>
        <w:jc w:val="center"/>
        <w:rPr>
          <w:rFonts w:ascii="仿宋" w:eastAsia="仿宋" w:hAnsi="仿宋" w:cs="仿宋" w:hint="eastAsia"/>
          <w:sz w:val="36"/>
          <w:szCs w:val="36"/>
        </w:rPr>
      </w:pPr>
      <w:r>
        <w:rPr>
          <w:rFonts w:ascii="仿宋" w:eastAsia="仿宋" w:hAnsi="仿宋" w:cs="仿宋" w:hint="eastAsia"/>
          <w:b/>
          <w:sz w:val="36"/>
          <w:szCs w:val="36"/>
        </w:rPr>
        <w:t xml:space="preserve">第一章   投标邀请</w:t>
      </w:r>
    </w:p>
    <w:p>
      <w:pPr>
        <w:spacing w:line="360" w:lineRule="auto"/>
        <w:ind w:firstLine="460"/>
        <w:rPr>
          <w:rFonts w:ascii="仿宋" w:eastAsia="仿宋" w:hAnsi="仿宋" w:cs="仿宋" w:hint="eastAsia"/>
          <w:sz w:val="24"/>
        </w:rPr>
      </w:pPr>
      <w:r>
        <w:rPr>
          <w:rFonts w:ascii="仿宋" w:eastAsia="仿宋" w:hAnsi="仿宋" w:cs="仿宋" w:hint="eastAsia"/>
          <w:sz w:val="24"/>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866140</wp:posOffset>
                </wp:positionV>
                <wp:extent cx="5607050" cy="902970"/>
                <wp:effectExtent l="0" t="0" r="0" b="0"/>
                <wp:wrapNone/>
                <wp:docPr id="9" name="矩形 9"/>
                <wp:cNvGraphicFramePr/>
                <a:graphic xmlns:a="http://schemas.openxmlformats.org/drawingml/2006/main">
                  <a:graphicData uri="http://schemas.microsoft.com/office/word/2010/wordprocessingShape">
                    <wps:wsp xmlns:wps="http://schemas.microsoft.com/office/word/2010/wordprocessingShape">
                      <wps:cNvSpPr/>
                      <wps:spPr bwMode="auto">
                        <a:xfrm>
                          <a:off x="0" y="0"/>
                          <a:ext cx="5607050" cy="902970"/>
                        </a:xfrm>
                        <a:prstGeom prst="rect">
                          <a:avLst/>
                        </a:prstGeom>
                        <a:noFill/>
                        <a:ln>
                          <a:solidFill>
                            <a:srgbClr val="000000"/>
                          </a:solidFill>
                        </a:ln>
                      </wps:spPr>
                      <wps:txbx>
                        <w:txbxContent>
                          <w:p>
                            <w:pPr>
                              <w:spacing w:line="400" w:lineRule="exact"/>
                              <w:ind w:firstLine="484"/>
                              <w:rPr>
                                <w:rFonts w:ascii="仿宋" w:eastAsia="仿宋" w:hAnsi="仿宋" w:hint="eastAsia"/>
                                <w:sz w:val="24"/>
                              </w:rPr>
                            </w:pPr>
                            <w:r>
                              <w:rPr>
                                <w:rFonts w:ascii="仿宋" w:eastAsia="仿宋" w:hAnsi="仿宋" w:hint="eastAsia"/>
                                <w:sz w:val="24"/>
                              </w:rPr>
                              <w:t xml:space="preserve">项目概况:</w:t>
                            </w:r>
                            <w:r>
                              <w:rPr>
                                <w:rFonts w:ascii="仿宋" w:eastAsia="仿宋" w:hAnsi="仿宋" w:hint="eastAsia"/>
                                <w:b/>
                                <w:sz w:val="24"/>
                                <w:u w:val="single"/>
                              </w:rPr>
                              <w:t xml:space="preserve">数据中心机房建设项目</w:t>
                            </w:r>
                            <w:r>
                              <w:rPr>
                                <w:rFonts w:ascii="仿宋" w:eastAsia="仿宋" w:hAnsi="仿宋" w:hint="eastAsia"/>
                                <w:sz w:val="24"/>
                              </w:rPr>
                              <w:t xml:space="preserve">招标项目的潜在投标人应在淮安市政府采购网</w:t>
                            </w:r>
                            <w:hyperlink r:id="rId6" w:history="1">
                              <w:r>
                                <w:rPr>
                                  <w:rFonts w:ascii="仿宋" w:eastAsia="仿宋" w:hAnsi="仿宋" w:hint="eastAsia"/>
                                  <w:sz w:val="24"/>
                                </w:rPr>
                                <w:t xml:space="preserve">）自行免费下载招标文件，并于2</w:t>
                              </w:r>
                              <w:r>
                                <w:rPr>
                                  <w:rFonts w:ascii="仿宋" w:eastAsia="仿宋" w:hAnsi="仿宋"/>
                                  <w:sz w:val="24"/>
                                </w:rPr>
                                <w:t xml:space="preserve">02</w:t>
                              </w:r>
                              <w:r>
                                <w:rPr>
                                  <w:rFonts w:ascii="仿宋" w:eastAsia="仿宋" w:hAnsi="仿宋" w:hint="eastAsia"/>
                                  <w:sz w:val="24"/>
                                </w:rPr>
                                <w:t xml:space="preserve">4年</w:t>
                              </w:r>
                              <w:r>
                                <w:rPr>
                                  <w:rFonts w:ascii="仿宋" w:eastAsia="仿宋" w:hAnsi="仿宋"/>
                                  <w:sz w:val="24"/>
                                </w:rPr>
                                <w:t xml:space="preserve">" </w:t>
                              </w:r>
                              <w:r>
                                <w:rPr>
                                  <w:rStyle w:val="超链接1"/>
                                  <w:rFonts w:ascii="仿宋" w:eastAsia="仿宋" w:hAnsi="仿宋" w:hint="eastAsia"/>
                                  <w:color w:val="000000"/>
                                  <w:sz w:val="24"/>
                                </w:rPr>
                                <w:t xml:space="preserve">自行免费下载招标文件，并于2</w:t>
                              </w:r>
                              <w:r>
                                <w:rPr>
                                  <w:rStyle w:val="超链接1"/>
                                  <w:rFonts w:ascii="仿宋" w:eastAsia="仿宋" w:hAnsi="仿宋"/>
                                  <w:color w:val="000000"/>
                                  <w:sz w:val="24"/>
                                </w:rPr>
                                <w:t xml:space="preserve">02</w:t>
                              </w:r>
                              <w:r>
                                <w:rPr>
                                  <w:rStyle w:val="超链接1"/>
                                  <w:rFonts w:ascii="仿宋" w:eastAsia="仿宋" w:hAnsi="仿宋" w:hint="eastAsia"/>
                                  <w:color w:val="000000"/>
                                  <w:sz w:val="24"/>
                                </w:rPr>
                                <w:t xml:space="preserve">4年</w:t>
                              </w:r>
                            </w:hyperlink>
                            <w:r>
                              <w:rPr>
                                <w:rFonts w:ascii="仿宋" w:eastAsia="仿宋" w:hAnsi="仿宋" w:hint="eastAsia"/>
                                <w:sz w:val="24"/>
                              </w:rPr>
                              <w:t xml:space="preserve">5月7日9点</w:t>
                            </w:r>
                            <w:r>
                              <w:rPr>
                                <w:rFonts w:ascii="仿宋" w:eastAsia="仿宋" w:hAnsi="仿宋"/>
                                <w:sz w:val="24"/>
                              </w:rPr>
                              <w:t xml:space="preserve">00</w:t>
                            </w:r>
                            <w:r>
                              <w:rPr>
                                <w:rFonts w:ascii="仿宋" w:eastAsia="仿宋" w:hAnsi="仿宋" w:hint="eastAsia"/>
                                <w:sz w:val="24"/>
                              </w:rPr>
                              <w:t xml:space="preserve">分（北京时间）前提交投标文件。</w:t>
                            </w:r>
                          </w:p>
                          <w:p>
                            <w:pPr/>
                          </w:p>
                        </w:txbxContent>
                      </wps:txbx>
                      <wps:bodyPr wrap="square" upright="1"/>
                    </wps:wsp>
                  </a:graphicData>
                </a:graphic>
              </wp:anchor>
            </w:drawing>
          </mc:Choice>
          <mc:Fallback>
            <w:pict>
              <v:shapetype id="_x0000_t202" coordsize="21600,21600" o:spt="202" path="m,l,21600r21600,l21600,xe">
                <v:stroke joinstyle="miter"/>
                <v:path gradientshapeok="t" o:connecttype="rect"/>
              </v:shapetype>
              <v:shape id="矩形 9" o:spid="_x0000_s1025" type="#_x0000_t202" style="width:441.5pt;height:71.1pt;margin-top:68.2pt;margin-left:-1.65pt;mso-wrap-distance-bottom:0;mso-wrap-distance-left:9pt;mso-wrap-distance-right:9pt;mso-wrap-distance-top:0;mso-wrap-style:square;position:absolute;v-text-anchor:top;z-index:251658240" filled="f" fillcolor="this" stroked="t" strokecolor="black">
                <v:textbox>
                  <w:txbxContent>
                    <w:p>
                      <w:pPr>
                        <w:spacing w:line="400" w:lineRule="exact"/>
                        <w:ind w:firstLine="484"/>
                        <w:rPr>
                          <w:rFonts w:ascii="仿宋" w:eastAsia="仿宋" w:hAnsi="仿宋" w:hint="eastAsia"/>
                          <w:sz w:val="24"/>
                        </w:rPr>
                      </w:pPr>
                      <w:r>
                        <w:rPr>
                          <w:rFonts w:ascii="仿宋" w:eastAsia="仿宋" w:hAnsi="仿宋" w:hint="eastAsia"/>
                          <w:sz w:val="24"/>
                        </w:rPr>
                        <w:t xml:space="preserve">项目概况:</w:t>
                      </w:r>
                      <w:r>
                        <w:rPr>
                          <w:rFonts w:ascii="仿宋" w:eastAsia="仿宋" w:hAnsi="仿宋" w:hint="eastAsia"/>
                          <w:b/>
                          <w:sz w:val="24"/>
                          <w:u w:val="single"/>
                        </w:rPr>
                        <w:t xml:space="preserve">数据中心机房建设项目</w:t>
                      </w:r>
                      <w:r>
                        <w:rPr>
                          <w:rFonts w:ascii="仿宋" w:eastAsia="仿宋" w:hAnsi="仿宋" w:hint="eastAsia"/>
                          <w:sz w:val="24"/>
                        </w:rPr>
                        <w:t xml:space="preserve">招标项目的潜在投标人应在淮安市政府采购网</w:t>
                      </w:r>
                      <w:r>
                        <w:rPr>
                          <w:rFonts w:ascii="仿宋" w:eastAsia="仿宋" w:hAnsi="仿宋"/>
                          <w:sz w:val="24"/>
                        </w:rPr>
                        <w:fldChar w:fldCharType="begin"/>
                      </w:r>
                      <w:r>
                        <w:rPr>
                          <w:rFonts w:ascii="仿宋" w:eastAsia="仿宋" w:hAnsi="仿宋"/>
                          <w:sz w:val="24"/>
                        </w:rPr>
                        <w:instrText xml:space="preserve"> HYPERLINK "http://czj.huaian.gov.cn/col/13924_326175/index.html</w:instrText>
                      </w:r>
                      <w:r>
                        <w:rPr>
                          <w:rFonts w:ascii="仿宋" w:eastAsia="仿宋" w:hAnsi="仿宋" w:hint="eastAsia"/>
                          <w:sz w:val="24"/>
                        </w:rPr>
                        <w:instrText xml:space="preserve">）自行免费下载招标文件，并于2</w:instrText>
                      </w:r>
                      <w:r>
                        <w:rPr>
                          <w:rFonts w:ascii="仿宋" w:eastAsia="仿宋" w:hAnsi="仿宋"/>
                          <w:sz w:val="24"/>
                        </w:rPr>
                        <w:instrText xml:space="preserve">02</w:instrText>
                      </w:r>
                      <w:r>
                        <w:rPr>
                          <w:rFonts w:ascii="仿宋" w:eastAsia="仿宋" w:hAnsi="仿宋" w:hint="eastAsia"/>
                          <w:sz w:val="24"/>
                        </w:rPr>
                        <w:instrText xml:space="preserve">4年</w:instrText>
                      </w:r>
                      <w:r>
                        <w:rPr>
                          <w:rFonts w:ascii="仿宋" w:eastAsia="仿宋" w:hAnsi="仿宋"/>
                          <w:sz w:val="24"/>
                        </w:rPr>
                        <w:instrText xml:space="preserve">" </w:instrText>
                      </w:r>
                      <w:r>
                        <w:rPr>
                          <w:rFonts w:ascii="仿宋" w:eastAsia="仿宋" w:hAnsi="仿宋"/>
                          <w:sz w:val="24"/>
                        </w:rPr>
                        <w:fldChar w:fldCharType="separate"/>
                      </w:r>
                      <w:r>
                        <w:rPr>
                          <w:rStyle w:val="超链接1"/>
                          <w:rFonts w:ascii="仿宋" w:eastAsia="仿宋" w:hAnsi="仿宋" w:hint="eastAsia"/>
                          <w:color w:val="000000"/>
                          <w:sz w:val="24"/>
                        </w:rPr>
                        <w:t xml:space="preserve">自行免费下载招标文件，并于2</w:t>
                      </w:r>
                      <w:r>
                        <w:rPr>
                          <w:rStyle w:val="超链接1"/>
                          <w:rFonts w:ascii="仿宋" w:eastAsia="仿宋" w:hAnsi="仿宋"/>
                          <w:color w:val="000000"/>
                          <w:sz w:val="24"/>
                        </w:rPr>
                        <w:t xml:space="preserve">02</w:t>
                      </w:r>
                      <w:r>
                        <w:rPr>
                          <w:rStyle w:val="超链接1"/>
                          <w:rFonts w:ascii="仿宋" w:eastAsia="仿宋" w:hAnsi="仿宋" w:hint="eastAsia"/>
                          <w:color w:val="000000"/>
                          <w:sz w:val="24"/>
                        </w:rPr>
                        <w:t xml:space="preserve">4年</w:t>
                      </w:r>
                      <w:r>
                        <w:rPr>
                          <w:rFonts w:ascii="仿宋" w:eastAsia="仿宋" w:hAnsi="仿宋"/>
                          <w:sz w:val="24"/>
                        </w:rPr>
                        <w:fldChar w:fldCharType="end"/>
                      </w:r>
                      <w:r>
                        <w:rPr>
                          <w:rFonts w:ascii="仿宋" w:eastAsia="仿宋" w:hAnsi="仿宋" w:hint="eastAsia"/>
                          <w:sz w:val="24"/>
                        </w:rPr>
                        <w:t xml:space="preserve">5月7日9点</w:t>
                      </w:r>
                      <w:r>
                        <w:rPr>
                          <w:rFonts w:ascii="仿宋" w:eastAsia="仿宋" w:hAnsi="仿宋"/>
                          <w:sz w:val="24"/>
                        </w:rPr>
                        <w:t xml:space="preserve">00</w:t>
                      </w:r>
                      <w:r>
                        <w:rPr>
                          <w:rFonts w:ascii="仿宋" w:eastAsia="仿宋" w:hAnsi="仿宋" w:hint="eastAsia"/>
                          <w:sz w:val="24"/>
                        </w:rPr>
                        <w:t xml:space="preserve">分（北京时间）前提交投标文件。</w:t>
                      </w:r>
                    </w:p>
                    <w:p>
                      <w:pPr/>
                    </w:p>
                  </w:txbxContent>
                </v:textbox>
              </v:shape>
            </w:pict>
          </mc:Fallback>
        </mc:AlternateContent>
      </w:r>
      <w:r>
        <w:rPr>
          <w:rFonts w:ascii="仿宋" w:eastAsia="仿宋" w:hAnsi="仿宋" w:cs="仿宋" w:hint="eastAsia"/>
          <w:sz w:val="24"/>
        </w:rPr>
        <w:t xml:space="preserve">受</w:t>
      </w:r>
      <w:r>
        <w:rPr>
          <w:rFonts w:ascii="仿宋" w:eastAsia="仿宋" w:hAnsi="仿宋" w:cs="仿宋" w:hint="eastAsia"/>
          <w:b/>
          <w:bCs/>
          <w:sz w:val="24"/>
          <w:u w:val="single"/>
        </w:rPr>
        <w:t xml:space="preserve">淮安市公安局淮阴分局</w:t>
      </w:r>
      <w:r>
        <w:rPr>
          <w:rFonts w:ascii="仿宋" w:eastAsia="仿宋" w:hAnsi="仿宋" w:cs="仿宋" w:hint="eastAsia"/>
          <w:sz w:val="24"/>
        </w:rPr>
        <w:t xml:space="preserve">的委托，淮安市公共资源交易中心淮阴分中心就该单位</w:t>
      </w:r>
      <w:r>
        <w:rPr>
          <w:rFonts w:ascii="仿宋" w:eastAsia="仿宋" w:hAnsi="仿宋" w:cs="仿宋" w:hint="eastAsia"/>
          <w:b/>
          <w:bCs/>
          <w:sz w:val="24"/>
          <w:u w:val="single"/>
        </w:rPr>
        <w:t xml:space="preserve">数据中心机房建设项目 </w:t>
      </w:r>
      <w:r>
        <w:rPr>
          <w:rFonts w:ascii="仿宋" w:eastAsia="仿宋" w:hAnsi="仿宋" w:cs="仿宋" w:hint="eastAsia"/>
          <w:sz w:val="24"/>
        </w:rPr>
        <w:t xml:space="preserve">政府采购项目进行“全流程不见面交易”采购，现邀请符合条件的投标人参加投标。</w:t>
      </w:r>
    </w:p>
    <w:p>
      <w:pPr>
        <w:spacing w:line="360" w:lineRule="auto"/>
        <w:ind w:firstLine="460"/>
        <w:rPr>
          <w:rFonts w:ascii="仿宋" w:eastAsia="仿宋" w:hAnsi="仿宋" w:cs="仿宋" w:hint="eastAsia"/>
          <w:sz w:val="24"/>
        </w:rPr>
      </w:pPr>
    </w:p>
    <w:p>
      <w:pPr>
        <w:spacing w:line="360" w:lineRule="auto"/>
        <w:ind w:firstLine="460"/>
        <w:rPr>
          <w:rFonts w:ascii="仿宋" w:eastAsia="仿宋" w:hAnsi="仿宋" w:cs="仿宋" w:hint="eastAsia"/>
          <w:sz w:val="24"/>
        </w:rPr>
      </w:pPr>
    </w:p>
    <w:p>
      <w:pPr>
        <w:spacing w:line="360" w:lineRule="auto"/>
        <w:ind w:firstLine="460"/>
        <w:rPr>
          <w:rFonts w:ascii="仿宋" w:eastAsia="仿宋" w:hAnsi="仿宋" w:cs="仿宋" w:hint="eastAsia"/>
          <w:sz w:val="24"/>
        </w:rPr>
      </w:pPr>
    </w:p>
    <w:p>
      <w:pPr>
        <w:spacing w:line="460" w:lineRule="exact"/>
        <w:rPr>
          <w:rFonts w:ascii="仿宋" w:eastAsia="仿宋" w:hAnsi="仿宋" w:cs="仿宋" w:hint="eastAsia"/>
          <w:b/>
          <w:sz w:val="24"/>
        </w:rPr>
      </w:pPr>
      <w:bookmarkStart w:id="1" w:name="OLE_LINK5"/>
      <w:bookmarkStart w:id="2" w:name="OLE_LINK2"/>
      <w:r>
        <w:rPr>
          <w:rFonts w:ascii="仿宋" w:eastAsia="仿宋" w:hAnsi="仿宋" w:cs="仿宋" w:hint="eastAsia"/>
          <w:b/>
          <w:sz w:val="24"/>
        </w:rPr>
        <w:t xml:space="preserve">一、项目基本情况</w:t>
      </w:r>
    </w:p>
    <w:p>
      <w:pPr>
        <w:spacing w:line="460" w:lineRule="exact"/>
        <w:ind w:firstLine="484"/>
        <w:rPr>
          <w:rFonts w:ascii="仿宋" w:eastAsia="仿宋" w:hAnsi="仿宋" w:cs="仿宋" w:hint="eastAsia"/>
          <w:sz w:val="24"/>
        </w:rPr>
      </w:pPr>
      <w:r>
        <w:rPr>
          <w:rFonts w:ascii="仿宋" w:eastAsia="仿宋" w:hAnsi="仿宋" w:cs="仿宋" w:hint="eastAsia"/>
          <w:sz w:val="24"/>
        </w:rPr>
        <w:t xml:space="preserve">项目编号:JSZC-320804-JZCG-G2024-0002</w:t>
      </w:r>
    </w:p>
    <w:p>
      <w:pPr>
        <w:spacing w:line="460" w:lineRule="exact"/>
        <w:ind w:firstLine="484"/>
        <w:rPr>
          <w:rFonts w:ascii="仿宋" w:eastAsia="仿宋" w:hAnsi="仿宋" w:cs="仿宋" w:hint="eastAsia"/>
          <w:sz w:val="24"/>
        </w:rPr>
      </w:pPr>
      <w:r>
        <w:rPr>
          <w:rFonts w:ascii="仿宋" w:eastAsia="仿宋" w:hAnsi="仿宋" w:cs="仿宋" w:hint="eastAsia"/>
          <w:sz w:val="24"/>
        </w:rPr>
        <w:t xml:space="preserve">项目名称:数据中心机房建设项目  </w:t>
      </w:r>
    </w:p>
    <w:p>
      <w:pPr>
        <w:spacing w:line="460" w:lineRule="exact"/>
        <w:ind w:firstLine="484"/>
        <w:rPr>
          <w:rFonts w:ascii="仿宋" w:eastAsia="仿宋" w:hAnsi="仿宋" w:cs="仿宋" w:hint="eastAsia"/>
          <w:sz w:val="24"/>
        </w:rPr>
      </w:pPr>
      <w:r>
        <w:rPr>
          <w:rFonts w:ascii="仿宋" w:eastAsia="仿宋" w:hAnsi="仿宋" w:cs="仿宋" w:hint="eastAsia"/>
          <w:sz w:val="24"/>
        </w:rPr>
        <w:t xml:space="preserve">预算金额:6800000元</w:t>
      </w:r>
    </w:p>
    <w:p>
      <w:pPr>
        <w:spacing w:line="460" w:lineRule="exact"/>
        <w:ind w:firstLine="484"/>
        <w:rPr>
          <w:rFonts w:ascii="仿宋" w:eastAsia="仿宋" w:hAnsi="仿宋" w:cs="仿宋" w:hint="eastAsia"/>
          <w:sz w:val="24"/>
        </w:rPr>
      </w:pPr>
      <w:r>
        <w:rPr>
          <w:rFonts w:ascii="仿宋" w:eastAsia="仿宋" w:hAnsi="仿宋" w:cs="仿宋" w:hint="eastAsia"/>
          <w:sz w:val="24"/>
        </w:rPr>
        <w:t xml:space="preserve">最高限价:6700000元</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采购需求:</w:t>
      </w:r>
      <w:r>
        <w:rPr>
          <w:rFonts w:ascii="Tahoma" w:hAnsi="Tahoma" w:cs="Tahoma"/>
          <w:color w:val="333333"/>
          <w:sz w:val="18"/>
          <w:szCs w:val="18"/>
        </w:rPr>
        <w:t xml:space="preserve"> </w:t>
      </w:r>
      <w:r>
        <w:rPr>
          <w:rFonts w:ascii="仿宋" w:eastAsia="仿宋" w:hAnsi="仿宋" w:cs="仿宋" w:hint="eastAsia"/>
          <w:spacing w:val="-1"/>
          <w:sz w:val="24"/>
        </w:rPr>
        <w:t xml:space="preserve">第一部分：机房装饰装修（平面布置、框架结构及机房配套装饰）、机房电气系统（动力配电）、机房UPS系统（不间断电源）、机房防雷接地系统、机房冷通道系统、机房新风系统、机房综合布线系统、机房安防及动力环境监控系统、机房气体灭火系统、机房给排水系统等货物的采购、安装、本机调试、联网调试等集成服务内容，以及包括软硬件的系统深化设计、包装及运输、出厂检验、到货验收、分部验收、单位验收、试运行、合同项目完成终验、质保、巡检、故障响应、维保、备品备件供应、技术培训等技术服务内容；第二部分：办公区域装修、电气、给排水等工程的实施，货物的采购、安装、本机调试、联网调试等服务内容；</w:t>
      </w:r>
      <w:r>
        <w:rPr>
          <w:rFonts w:ascii="仿宋" w:eastAsia="仿宋" w:hAnsi="仿宋" w:cs="仿宋" w:hint="eastAsia"/>
          <w:sz w:val="24"/>
        </w:rPr>
        <w:t xml:space="preserve">具体详见第五章采购需求。</w:t>
      </w:r>
    </w:p>
    <w:p>
      <w:pPr>
        <w:spacing w:line="460" w:lineRule="exact"/>
        <w:ind w:firstLine="484"/>
        <w:rPr>
          <w:rFonts w:ascii="仿宋" w:eastAsia="仿宋" w:hAnsi="仿宋" w:cs="宋体" w:hint="eastAsia"/>
          <w:sz w:val="24"/>
        </w:rPr>
      </w:pPr>
      <w:r>
        <w:rPr>
          <w:rFonts w:ascii="仿宋" w:eastAsia="仿宋" w:hAnsi="仿宋" w:cs="仿宋" w:hint="eastAsia"/>
          <w:sz w:val="24"/>
        </w:rPr>
        <w:t xml:space="preserve">合同履行期限:</w:t>
      </w:r>
      <w:r>
        <w:rPr>
          <w:rFonts w:ascii="仿宋" w:eastAsia="仿宋" w:hAnsi="仿宋" w:cs="宋体" w:hint="eastAsia"/>
          <w:sz w:val="24"/>
        </w:rPr>
        <w:t xml:space="preserve">在合同签定后待收到甲方开工令之日起</w:t>
      </w:r>
      <w:r>
        <w:rPr>
          <w:rFonts w:ascii="仿宋" w:eastAsia="仿宋" w:hAnsi="仿宋" w:cs="宋体" w:hint="eastAsia"/>
          <w:sz w:val="24"/>
          <w:u w:val="single"/>
        </w:rPr>
        <w:t xml:space="preserve"> 90 </w:t>
      </w:r>
      <w:r>
        <w:rPr>
          <w:rFonts w:ascii="仿宋" w:eastAsia="仿宋" w:hAnsi="仿宋" w:cs="宋体" w:hint="eastAsia"/>
          <w:sz w:val="24"/>
        </w:rPr>
        <w:t xml:space="preserve">个日历天安装完成且验收合格。</w:t>
      </w:r>
    </w:p>
    <w:p>
      <w:pPr>
        <w:spacing w:line="460" w:lineRule="exact"/>
        <w:ind w:firstLine="484"/>
        <w:rPr>
          <w:rFonts w:ascii="仿宋" w:eastAsia="仿宋" w:hAnsi="仿宋" w:cs="仿宋" w:hint="eastAsia"/>
          <w:sz w:val="24"/>
        </w:rPr>
      </w:pPr>
      <w:r>
        <w:rPr>
          <w:rFonts w:ascii="仿宋" w:eastAsia="仿宋" w:hAnsi="仿宋" w:cs="仿宋" w:hint="eastAsia"/>
          <w:sz w:val="24"/>
        </w:rPr>
        <w:t xml:space="preserve">本项目（是/否）接受联合体投标：不接受联合体。</w:t>
      </w:r>
    </w:p>
    <w:p>
      <w:pPr>
        <w:spacing w:line="460" w:lineRule="exact"/>
        <w:rPr>
          <w:rFonts w:ascii="仿宋" w:eastAsia="仿宋" w:hAnsi="仿宋" w:cs="仿宋" w:hint="eastAsia"/>
          <w:b/>
          <w:sz w:val="24"/>
        </w:rPr>
      </w:pPr>
      <w:r>
        <w:rPr>
          <w:rFonts w:ascii="仿宋" w:eastAsia="仿宋" w:hAnsi="仿宋" w:cs="仿宋" w:hint="eastAsia"/>
          <w:b/>
          <w:sz w:val="24"/>
        </w:rPr>
        <w:t xml:space="preserve">二、申请人的资格要求:</w:t>
      </w:r>
    </w:p>
    <w:p>
      <w:pPr>
        <w:spacing w:line="460" w:lineRule="exact"/>
        <w:rPr>
          <w:rFonts w:ascii="仿宋" w:eastAsia="仿宋" w:hAnsi="仿宋" w:cs="仿宋" w:hint="eastAsia"/>
          <w:sz w:val="24"/>
        </w:rPr>
      </w:pPr>
      <w:r>
        <w:rPr>
          <w:rFonts w:ascii="仿宋" w:eastAsia="仿宋" w:hAnsi="仿宋" w:cs="仿宋" w:hint="eastAsia"/>
          <w:sz w:val="24"/>
        </w:rPr>
        <w:t xml:space="preserve">（一）满足《中华人民共和国政府采购法》第二十二条规定；</w:t>
      </w:r>
    </w:p>
    <w:p>
      <w:pPr>
        <w:spacing w:line="440" w:lineRule="exact"/>
        <w:rPr>
          <w:rFonts w:ascii="仿宋" w:eastAsia="仿宋" w:hAnsi="仿宋" w:cs="仿宋"/>
          <w:sz w:val="24"/>
        </w:rPr>
      </w:pPr>
      <w:r>
        <w:rPr>
          <w:rFonts w:ascii="仿宋" w:eastAsia="仿宋" w:hAnsi="仿宋" w:cs="仿宋"/>
          <w:spacing w:val="-14"/>
          <w:sz w:val="24"/>
        </w:rPr>
        <w:t xml:space="preserve">1</w:t>
      </w:r>
      <w:r>
        <w:rPr>
          <w:rFonts w:ascii="仿宋" w:eastAsia="仿宋" w:hAnsi="仿宋" w:cs="仿宋"/>
          <w:spacing w:val="-7"/>
          <w:sz w:val="24"/>
        </w:rPr>
        <w:t xml:space="preserve">、</w:t>
      </w:r>
      <w:r>
        <w:rPr>
          <w:rFonts w:ascii="仿宋" w:eastAsia="仿宋" w:hAnsi="仿宋" w:cs="仿宋" w:hint="eastAsia"/>
          <w:spacing w:val="-7"/>
          <w:sz w:val="24"/>
        </w:rPr>
        <w:t xml:space="preserve">投标人</w:t>
      </w:r>
      <w:r>
        <w:rPr>
          <w:rFonts w:ascii="仿宋" w:eastAsia="仿宋" w:hAnsi="仿宋" w:cs="仿宋"/>
          <w:spacing w:val="-7"/>
          <w:sz w:val="24"/>
        </w:rPr>
        <w:t xml:space="preserve">提供下列材料之一 :</w:t>
      </w:r>
    </w:p>
    <w:p>
      <w:pPr>
        <w:spacing w:line="440" w:lineRule="exact"/>
        <w:ind w:firstLine="346"/>
        <w:rPr>
          <w:rFonts w:ascii="仿宋" w:eastAsia="仿宋" w:hAnsi="仿宋" w:cs="仿宋"/>
          <w:sz w:val="24"/>
        </w:rPr>
      </w:pPr>
      <w:r>
        <w:rPr>
          <w:rFonts w:ascii="仿宋" w:eastAsia="仿宋" w:hAnsi="仿宋" w:cs="仿宋"/>
          <w:spacing w:val="8"/>
          <w:sz w:val="24"/>
        </w:rPr>
        <w:t xml:space="preserve">(</w:t>
      </w:r>
      <w:r>
        <w:rPr>
          <w:rFonts w:ascii="仿宋" w:eastAsia="仿宋" w:hAnsi="仿宋" w:cs="仿宋"/>
          <w:spacing w:val="6"/>
          <w:sz w:val="24"/>
        </w:rPr>
        <w:t xml:space="preserve">1</w:t>
      </w:r>
      <w:r>
        <w:rPr>
          <w:rFonts w:ascii="仿宋" w:eastAsia="仿宋" w:hAnsi="仿宋" w:cs="仿宋"/>
          <w:spacing w:val="4"/>
          <w:sz w:val="24"/>
        </w:rPr>
        <w:t xml:space="preserve">) </w:t>
      </w:r>
      <w:r>
        <w:rPr>
          <w:rFonts w:ascii="仿宋" w:eastAsia="仿宋" w:hAnsi="仿宋" w:cs="仿宋" w:hint="eastAsia"/>
          <w:spacing w:val="4"/>
          <w:sz w:val="24"/>
        </w:rPr>
        <w:t xml:space="preserve">投标人</w:t>
      </w:r>
      <w:r>
        <w:rPr>
          <w:rFonts w:ascii="仿宋" w:eastAsia="仿宋" w:hAnsi="仿宋" w:cs="仿宋"/>
          <w:spacing w:val="4"/>
          <w:sz w:val="24"/>
        </w:rPr>
        <w:t xml:space="preserve">提供法定代表人资格证明 (原件、必须提供，格式按照示</w:t>
      </w:r>
      <w:r>
        <w:rPr>
          <w:rFonts w:ascii="仿宋" w:eastAsia="仿宋" w:hAnsi="仿宋" w:cs="仿宋"/>
          <w:spacing w:val="6"/>
          <w:sz w:val="24"/>
        </w:rPr>
        <w:t xml:space="preserve">范格</w:t>
      </w:r>
      <w:r>
        <w:rPr>
          <w:rFonts w:ascii="仿宋" w:eastAsia="仿宋" w:hAnsi="仿宋" w:cs="仿宋"/>
          <w:spacing w:val="4"/>
          <w:sz w:val="24"/>
        </w:rPr>
        <w:t xml:space="preserve">式</w:t>
      </w:r>
      <w:r>
        <w:rPr>
          <w:rFonts w:ascii="仿宋" w:eastAsia="仿宋" w:hAnsi="仿宋" w:cs="仿宋"/>
          <w:spacing w:val="3"/>
          <w:sz w:val="24"/>
        </w:rPr>
        <w:t xml:space="preserve">一)和法定代表人身份证 (原件扫描件并加盖</w:t>
      </w:r>
      <w:r>
        <w:rPr>
          <w:rFonts w:ascii="仿宋" w:eastAsia="仿宋" w:hAnsi="仿宋" w:cs="仿宋" w:hint="eastAsia"/>
          <w:spacing w:val="3"/>
          <w:sz w:val="24"/>
        </w:rPr>
        <w:t xml:space="preserve">投标人</w:t>
      </w:r>
      <w:r>
        <w:rPr>
          <w:rFonts w:ascii="仿宋" w:eastAsia="仿宋" w:hAnsi="仿宋" w:cs="仿宋"/>
          <w:spacing w:val="3"/>
          <w:sz w:val="24"/>
        </w:rPr>
        <w:t xml:space="preserve">电子签章) ；</w:t>
      </w:r>
    </w:p>
    <w:p>
      <w:pPr>
        <w:spacing w:line="440" w:lineRule="exact"/>
        <w:ind w:firstLine="359"/>
        <w:rPr>
          <w:rFonts w:ascii="仿宋" w:eastAsia="仿宋" w:hAnsi="仿宋" w:cs="仿宋"/>
          <w:sz w:val="24"/>
        </w:rPr>
      </w:pPr>
      <w:r>
        <w:rPr>
          <w:rFonts w:ascii="仿宋" w:eastAsia="仿宋" w:hAnsi="仿宋" w:cs="仿宋"/>
          <w:spacing w:val="1"/>
          <w:sz w:val="24"/>
        </w:rPr>
        <w:t xml:space="preserve">(2) </w:t>
      </w:r>
      <w:r>
        <w:rPr>
          <w:rFonts w:ascii="仿宋" w:eastAsia="仿宋" w:hAnsi="仿宋" w:cs="仿宋" w:hint="eastAsia"/>
          <w:spacing w:val="1"/>
          <w:sz w:val="24"/>
        </w:rPr>
        <w:t xml:space="preserve">投标人</w:t>
      </w:r>
      <w:r>
        <w:rPr>
          <w:rFonts w:ascii="仿宋" w:eastAsia="仿宋" w:hAnsi="仿宋" w:cs="仿宋"/>
          <w:spacing w:val="1"/>
          <w:sz w:val="24"/>
        </w:rPr>
        <w:t xml:space="preserve">提供授权委托书(原件、必须提</w:t>
      </w:r>
      <w:r>
        <w:rPr>
          <w:rFonts w:ascii="仿宋" w:eastAsia="仿宋" w:hAnsi="仿宋" w:cs="仿宋"/>
          <w:sz w:val="24"/>
        </w:rPr>
        <w:t xml:space="preserve">供， 格式按照示范格式二) </w:t>
      </w:r>
      <w:r>
        <w:rPr>
          <w:rFonts w:ascii="仿宋" w:eastAsia="仿宋" w:hAnsi="仿宋" w:cs="仿宋"/>
          <w:spacing w:val="1"/>
          <w:sz w:val="24"/>
        </w:rPr>
        <w:t xml:space="preserve">和受托人</w:t>
      </w:r>
      <w:r>
        <w:rPr>
          <w:rFonts w:ascii="仿宋" w:eastAsia="仿宋" w:hAnsi="仿宋" w:cs="仿宋"/>
          <w:sz w:val="24"/>
        </w:rPr>
        <w:t xml:space="preserve">身份证 (原件扫描件并加盖</w:t>
      </w:r>
      <w:r>
        <w:rPr>
          <w:rFonts w:ascii="仿宋" w:eastAsia="仿宋" w:hAnsi="仿宋" w:cs="仿宋" w:hint="eastAsia"/>
          <w:sz w:val="24"/>
        </w:rPr>
        <w:t xml:space="preserve">投标人</w:t>
      </w:r>
      <w:r>
        <w:rPr>
          <w:rFonts w:ascii="仿宋" w:eastAsia="仿宋" w:hAnsi="仿宋" w:cs="仿宋"/>
          <w:sz w:val="24"/>
        </w:rPr>
        <w:t xml:space="preserve">电子签章) 。</w:t>
      </w:r>
    </w:p>
    <w:p>
      <w:pPr>
        <w:spacing w:line="440" w:lineRule="exact"/>
        <w:rPr>
          <w:rFonts w:ascii="仿宋" w:eastAsia="仿宋" w:hAnsi="仿宋" w:cs="仿宋"/>
          <w:sz w:val="24"/>
        </w:rPr>
      </w:pPr>
      <w:r>
        <w:rPr>
          <w:rFonts w:ascii="仿宋" w:eastAsia="仿宋" w:hAnsi="仿宋" w:cs="仿宋"/>
          <w:spacing w:val="3"/>
          <w:sz w:val="24"/>
        </w:rPr>
        <w:t xml:space="preserve">2</w:t>
      </w:r>
      <w:r>
        <w:rPr>
          <w:rFonts w:ascii="仿宋" w:eastAsia="仿宋" w:hAnsi="仿宋" w:cs="仿宋"/>
          <w:spacing w:val="2"/>
          <w:sz w:val="24"/>
        </w:rPr>
        <w:t xml:space="preserve">、</w:t>
      </w:r>
      <w:r>
        <w:rPr>
          <w:rFonts w:ascii="仿宋" w:eastAsia="仿宋" w:hAnsi="仿宋" w:cs="仿宋"/>
          <w:sz w:val="24"/>
        </w:rPr>
        <w:t xml:space="preserve">A</w:t>
      </w:r>
      <w:r>
        <w:rPr>
          <w:rFonts w:ascii="仿宋" w:eastAsia="仿宋" w:hAnsi="仿宋" w:cs="仿宋"/>
          <w:spacing w:val="2"/>
          <w:sz w:val="24"/>
        </w:rPr>
        <w:t xml:space="preserve">.</w:t>
      </w:r>
      <w:r>
        <w:rPr>
          <w:rFonts w:ascii="仿宋" w:eastAsia="仿宋" w:hAnsi="仿宋" w:cs="仿宋" w:hint="eastAsia"/>
          <w:spacing w:val="2"/>
          <w:sz w:val="24"/>
        </w:rPr>
        <w:t xml:space="preserve">投标人</w:t>
      </w:r>
      <w:r>
        <w:rPr>
          <w:rFonts w:ascii="仿宋" w:eastAsia="仿宋" w:hAnsi="仿宋" w:cs="仿宋"/>
          <w:spacing w:val="2"/>
          <w:sz w:val="24"/>
        </w:rPr>
        <w:t xml:space="preserve">为企业的:</w:t>
      </w:r>
    </w:p>
    <w:p>
      <w:pPr>
        <w:spacing w:line="440" w:lineRule="exact"/>
        <w:ind w:firstLine="429"/>
        <w:rPr>
          <w:rFonts w:ascii="仿宋" w:eastAsia="仿宋" w:hAnsi="仿宋" w:cs="仿宋"/>
          <w:sz w:val="24"/>
        </w:rPr>
      </w:pPr>
      <w:r>
        <w:rPr>
          <w:rFonts w:ascii="仿宋" w:eastAsia="仿宋" w:hAnsi="仿宋" w:cs="仿宋"/>
          <w:spacing w:val="23"/>
          <w:sz w:val="24"/>
        </w:rPr>
        <w:t xml:space="preserve">(</w:t>
      </w:r>
      <w:r>
        <w:rPr>
          <w:rFonts w:ascii="仿宋" w:eastAsia="仿宋" w:hAnsi="仿宋" w:cs="仿宋"/>
          <w:spacing w:val="14"/>
          <w:sz w:val="24"/>
        </w:rPr>
        <w:t xml:space="preserve">1) 提供营业执照(三证合一)(原件扫描件并加盖</w:t>
      </w:r>
      <w:r>
        <w:rPr>
          <w:rFonts w:ascii="仿宋" w:eastAsia="仿宋" w:hAnsi="仿宋" w:cs="仿宋" w:hint="eastAsia"/>
          <w:spacing w:val="14"/>
          <w:sz w:val="24"/>
        </w:rPr>
        <w:t xml:space="preserve">投标人</w:t>
      </w:r>
      <w:r>
        <w:rPr>
          <w:rFonts w:ascii="仿宋" w:eastAsia="仿宋" w:hAnsi="仿宋" w:cs="仿宋"/>
          <w:spacing w:val="14"/>
          <w:sz w:val="24"/>
        </w:rPr>
        <w:t xml:space="preserve">电子签章，必须提</w:t>
      </w:r>
      <w:r>
        <w:rPr>
          <w:rFonts w:ascii="仿宋" w:eastAsia="仿宋" w:hAnsi="仿宋" w:cs="仿宋" w:hint="eastAsia"/>
          <w:spacing w:val="14"/>
          <w:sz w:val="24"/>
        </w:rPr>
        <w:t xml:space="preserve">供）。</w:t>
      </w:r>
    </w:p>
    <w:p>
      <w:pPr>
        <w:spacing w:line="440" w:lineRule="exact"/>
        <w:ind w:firstLine="242"/>
        <w:rPr>
          <w:rFonts w:ascii="仿宋" w:eastAsia="仿宋" w:hAnsi="仿宋" w:cs="仿宋" w:hint="eastAsia"/>
          <w:spacing w:val="1"/>
          <w:sz w:val="24"/>
        </w:rPr>
      </w:pPr>
      <w:r>
        <w:rPr>
          <w:rFonts w:ascii="仿宋" w:eastAsia="仿宋" w:hAnsi="仿宋" w:cs="仿宋" w:hint="eastAsia"/>
          <w:spacing w:val="1"/>
          <w:sz w:val="24"/>
        </w:rPr>
        <w:t xml:space="preserve">B.投标人为事业单位的:</w:t>
      </w:r>
    </w:p>
    <w:p>
      <w:pPr>
        <w:spacing w:line="440" w:lineRule="exact"/>
        <w:ind w:firstLine="359"/>
        <w:rPr>
          <w:rFonts w:ascii="仿宋" w:eastAsia="仿宋" w:hAnsi="仿宋" w:cs="仿宋" w:hint="eastAsia"/>
          <w:spacing w:val="1"/>
          <w:sz w:val="24"/>
        </w:rPr>
      </w:pPr>
      <w:r>
        <w:rPr>
          <w:rFonts w:ascii="仿宋" w:eastAsia="仿宋" w:hAnsi="仿宋" w:cs="仿宋" w:hint="eastAsia"/>
          <w:spacing w:val="1"/>
          <w:sz w:val="24"/>
        </w:rPr>
        <w:t xml:space="preserve">(1)提供事业法人证书 (原件扫描件并加盖投标人电子签章， 必须提供) 。</w:t>
      </w:r>
    </w:p>
    <w:p>
      <w:pPr>
        <w:spacing w:line="440" w:lineRule="exact"/>
        <w:ind w:firstLine="121"/>
        <w:rPr>
          <w:rFonts w:ascii="仿宋" w:eastAsia="仿宋" w:hAnsi="仿宋" w:cs="仿宋" w:hint="eastAsia"/>
          <w:spacing w:val="1"/>
          <w:sz w:val="24"/>
        </w:rPr>
      </w:pPr>
      <w:r>
        <w:rPr>
          <w:rFonts w:ascii="仿宋" w:eastAsia="仿宋" w:hAnsi="仿宋" w:cs="仿宋" w:hint="eastAsia"/>
          <w:spacing w:val="1"/>
          <w:sz w:val="24"/>
        </w:rPr>
        <w:t xml:space="preserve">3、投标人符合《中华人民共和国政府采购法》第二十二条规定条件的承诺函(格式详见示范格式三)；</w:t>
      </w:r>
    </w:p>
    <w:p>
      <w:pPr>
        <w:spacing w:line="460" w:lineRule="exact"/>
        <w:rPr>
          <w:rFonts w:ascii="仿宋" w:eastAsia="仿宋" w:hAnsi="仿宋" w:cs="仿宋" w:hint="eastAsia"/>
          <w:sz w:val="24"/>
        </w:rPr>
      </w:pPr>
      <w:r>
        <w:rPr>
          <w:rFonts w:ascii="仿宋" w:eastAsia="仿宋" w:hAnsi="仿宋" w:cs="仿宋" w:hint="eastAsia"/>
          <w:sz w:val="24"/>
        </w:rPr>
        <w:t xml:space="preserve">（二）落实政府采购政策需满足的资格要求:</w:t>
      </w:r>
    </w:p>
    <w:p>
      <w:pPr>
        <w:spacing w:line="460" w:lineRule="exact"/>
        <w:ind w:firstLine="484"/>
        <w:rPr>
          <w:rFonts w:ascii="仿宋" w:eastAsia="仿宋" w:hAnsi="仿宋" w:cs="仿宋" w:hint="eastAsia"/>
          <w:sz w:val="24"/>
          <w:u w:val="single"/>
        </w:rPr>
      </w:pPr>
      <w:r>
        <w:rPr>
          <w:rFonts w:ascii="仿宋" w:eastAsia="仿宋" w:hAnsi="仿宋" w:cs="仿宋" w:hint="eastAsia"/>
          <w:sz w:val="24"/>
        </w:rPr>
        <w:t xml:space="preserve">本项目采购标的对应的中小企业划分标准所属行业为</w:t>
      </w:r>
      <w:r>
        <w:rPr>
          <w:rFonts w:ascii="仿宋" w:eastAsia="仿宋" w:hAnsi="仿宋" w:hint="eastAsia"/>
          <w:color w:val="000000"/>
          <w:sz w:val="24"/>
          <w:u w:val="single"/>
        </w:rPr>
        <w:t xml:space="preserve">信息传输业</w:t>
      </w:r>
      <w:r>
        <w:rPr>
          <w:rFonts w:ascii="仿宋" w:eastAsia="仿宋" w:hAnsi="仿宋" w:cs="仿宋" w:hint="eastAsia"/>
          <w:sz w:val="24"/>
        </w:rPr>
        <w:t xml:space="preserve">。</w:t>
      </w:r>
    </w:p>
    <w:p>
      <w:pPr>
        <w:spacing w:line="460" w:lineRule="exact"/>
        <w:ind w:firstLine="480"/>
        <w:rPr>
          <w:rFonts w:ascii="仿宋" w:eastAsia="仿宋" w:hAnsi="仿宋" w:cs="仿宋" w:hint="eastAsia"/>
          <w:sz w:val="24"/>
          <w:lang w:val="zh-CN"/>
        </w:rPr>
      </w:pPr>
      <w:r>
        <w:rPr>
          <w:rFonts w:ascii="仿宋" w:eastAsia="仿宋" w:hAnsi="仿宋" w:cs="仿宋" w:hint="eastAsia"/>
          <w:sz w:val="24"/>
          <w:lang w:val="zh-CN"/>
        </w:rPr>
        <w:t xml:space="preserve">本项目</w:t>
      </w:r>
      <w:r>
        <w:rPr>
          <w:rFonts w:ascii="仿宋" w:eastAsia="仿宋" w:hAnsi="仿宋" w:cs="仿宋" w:hint="eastAsia"/>
          <w:sz w:val="24"/>
        </w:rPr>
        <w:t xml:space="preserve">按照</w:t>
      </w:r>
      <w:r>
        <w:rPr>
          <w:rFonts w:ascii="仿宋" w:eastAsia="仿宋" w:hAnsi="仿宋" w:cs="仿宋" w:hint="eastAsia"/>
          <w:sz w:val="24"/>
          <w:lang w:val="zh-CN"/>
        </w:rPr>
        <w:t xml:space="preserve">以下</w:t>
      </w:r>
      <w:r>
        <w:rPr>
          <w:rFonts w:ascii="仿宋" w:eastAsia="仿宋" w:hAnsi="仿宋" w:cs="仿宋" w:hint="eastAsia"/>
          <w:b/>
          <w:bCs/>
          <w:sz w:val="24"/>
          <w:lang w:val="zh-CN"/>
        </w:rPr>
        <w:t xml:space="preserve">第</w:t>
      </w:r>
      <w:r>
        <w:rPr>
          <w:rFonts w:ascii="仿宋" w:eastAsia="仿宋" w:hAnsi="仿宋" w:cs="仿宋" w:hint="eastAsia"/>
          <w:b/>
          <w:bCs/>
          <w:sz w:val="24"/>
          <w:u w:val="single"/>
          <w:lang w:val="zh-CN"/>
        </w:rPr>
        <w:t xml:space="preserve">3</w:t>
      </w:r>
      <w:r>
        <w:rPr>
          <w:rFonts w:ascii="仿宋" w:eastAsia="仿宋" w:hAnsi="仿宋" w:cs="仿宋" w:hint="eastAsia"/>
          <w:b/>
          <w:bCs/>
          <w:sz w:val="24"/>
          <w:lang w:val="zh-CN"/>
        </w:rPr>
        <w:t xml:space="preserve">种</w:t>
      </w:r>
      <w:r>
        <w:rPr>
          <w:rFonts w:ascii="仿宋" w:eastAsia="仿宋" w:hAnsi="仿宋" w:cs="仿宋" w:hint="eastAsia"/>
          <w:sz w:val="24"/>
          <w:lang w:val="zh-CN"/>
        </w:rPr>
        <w:t xml:space="preserve">方式落实政府采购促进中小企业发展的要求：</w:t>
      </w:r>
    </w:p>
    <w:p>
      <w:pPr>
        <w:spacing w:line="460" w:lineRule="exact"/>
        <w:ind w:firstLine="480"/>
        <w:rPr>
          <w:rFonts w:ascii="仿宋" w:eastAsia="仿宋" w:hAnsi="仿宋" w:cs="仿宋" w:hint="eastAsia"/>
          <w:sz w:val="24"/>
        </w:rPr>
      </w:pPr>
      <w:r>
        <w:rPr>
          <w:rFonts w:ascii="仿宋" w:eastAsia="仿宋" w:hAnsi="仿宋" w:cs="仿宋" w:hint="eastAsia"/>
          <w:sz w:val="24"/>
          <w:lang w:val="zh-CN"/>
        </w:rPr>
        <w:t xml:space="preserve">1、</w:t>
      </w:r>
      <w:r>
        <w:rPr>
          <w:rFonts w:ascii="仿宋" w:eastAsia="仿宋" w:hAnsi="仿宋" w:cs="仿宋" w:hint="eastAsia"/>
          <w:sz w:val="24"/>
        </w:rPr>
        <w:t xml:space="preserve">本项目为专门面向中小企业采购的项目。</w:t>
      </w:r>
    </w:p>
    <w:p>
      <w:pPr>
        <w:spacing w:line="460" w:lineRule="exact"/>
        <w:ind w:firstLine="480"/>
        <w:rPr>
          <w:rFonts w:ascii="仿宋" w:eastAsia="仿宋" w:hAnsi="仿宋" w:cs="仿宋" w:hint="eastAsia"/>
          <w:sz w:val="24"/>
          <w:lang w:val="zh-CN"/>
        </w:rPr>
      </w:pPr>
      <w:r>
        <w:rPr>
          <w:rFonts w:ascii="仿宋" w:eastAsia="仿宋" w:hAnsi="仿宋" w:cs="仿宋" w:hint="eastAsia"/>
          <w:sz w:val="24"/>
        </w:rPr>
        <w:t xml:space="preserve">2、</w:t>
      </w:r>
      <w:r>
        <w:rPr>
          <w:rFonts w:ascii="仿宋" w:eastAsia="仿宋" w:hAnsi="仿宋" w:cs="仿宋" w:hint="eastAsia"/>
          <w:sz w:val="24"/>
          <w:lang w:val="zh-CN"/>
        </w:rPr>
        <w:t xml:space="preserve">本项目通过以下第</w:t>
      </w:r>
      <w:r>
        <w:rPr>
          <w:rFonts w:ascii="仿宋" w:eastAsia="仿宋" w:hAnsi="仿宋" w:cs="仿宋" w:hint="eastAsia"/>
          <w:b/>
          <w:bCs/>
          <w:sz w:val="24"/>
          <w:u w:val="single"/>
        </w:rPr>
        <w:t xml:space="preserve">   </w:t>
      </w:r>
      <w:r>
        <w:rPr>
          <w:rFonts w:ascii="仿宋" w:eastAsia="仿宋" w:hAnsi="仿宋" w:cs="仿宋" w:hint="eastAsia"/>
          <w:sz w:val="24"/>
          <w:lang w:val="zh-CN"/>
        </w:rPr>
        <w:t xml:space="preserve">种方式预留部分采购份额</w:t>
      </w:r>
      <w:r>
        <w:rPr>
          <w:rFonts w:ascii="仿宋" w:eastAsia="仿宋" w:hAnsi="仿宋" w:cs="仿宋" w:hint="eastAsia"/>
          <w:sz w:val="24"/>
        </w:rPr>
        <w:t xml:space="preserve">采购</w:t>
      </w:r>
      <w:r>
        <w:rPr>
          <w:rFonts w:ascii="仿宋" w:eastAsia="仿宋" w:hAnsi="仿宋" w:cs="仿宋" w:hint="eastAsia"/>
          <w:sz w:val="24"/>
          <w:lang w:val="zh-CN"/>
        </w:rPr>
        <w:t xml:space="preserve">中小企业</w:t>
      </w:r>
      <w:r>
        <w:rPr>
          <w:rFonts w:ascii="仿宋" w:eastAsia="仿宋" w:hAnsi="仿宋" w:cs="仿宋" w:hint="eastAsia"/>
          <w:sz w:val="24"/>
        </w:rPr>
        <w:t xml:space="preserve">服务</w:t>
      </w:r>
      <w:r>
        <w:rPr>
          <w:rFonts w:ascii="仿宋" w:eastAsia="仿宋" w:hAnsi="仿宋" w:cs="仿宋" w:hint="eastAsia"/>
          <w:sz w:val="24"/>
          <w:lang w:val="zh-CN"/>
        </w:rPr>
        <w:t xml:space="preserve">：</w:t>
      </w:r>
    </w:p>
    <w:p>
      <w:pPr>
        <w:spacing w:line="460" w:lineRule="exact"/>
        <w:ind w:firstLine="480"/>
        <w:rPr>
          <w:rFonts w:ascii="仿宋" w:eastAsia="仿宋" w:hAnsi="仿宋" w:cs="仿宋" w:hint="eastAsia"/>
          <w:sz w:val="24"/>
          <w:lang w:val="zh-CN"/>
        </w:rPr>
      </w:pPr>
      <w:r>
        <w:rPr>
          <w:rFonts w:ascii="仿宋" w:eastAsia="仿宋" w:hAnsi="仿宋" w:cs="仿宋" w:hint="eastAsia"/>
          <w:sz w:val="24"/>
          <w:lang w:val="zh-CN"/>
        </w:rPr>
        <w:t xml:space="preserve">（1）本项目要求投标人以联合体形式参加，中小企业合同金额应当达到的比例为</w:t>
      </w:r>
      <w:r>
        <w:rPr>
          <w:rFonts w:ascii="仿宋" w:eastAsia="仿宋" w:hAnsi="仿宋" w:cs="仿宋" w:hint="eastAsia"/>
          <w:sz w:val="24"/>
          <w:u w:val="single"/>
          <w:lang w:val="zh-CN"/>
        </w:rPr>
        <w:t xml:space="preserve">    </w:t>
      </w:r>
      <w:r>
        <w:rPr>
          <w:rFonts w:ascii="仿宋" w:eastAsia="仿宋" w:hAnsi="仿宋" w:cs="仿宋" w:hint="eastAsia"/>
          <w:sz w:val="24"/>
        </w:rPr>
        <w:t xml:space="preserve">%</w:t>
      </w:r>
      <w:r>
        <w:rPr>
          <w:rFonts w:ascii="仿宋" w:eastAsia="仿宋" w:hAnsi="仿宋" w:cs="仿宋" w:hint="eastAsia"/>
          <w:sz w:val="24"/>
          <w:lang w:val="zh-CN"/>
        </w:rPr>
        <w:t xml:space="preserve">，其中小微企业所占比例应为</w:t>
      </w:r>
      <w:r>
        <w:rPr>
          <w:rFonts w:ascii="仿宋" w:eastAsia="仿宋" w:hAnsi="仿宋" w:cs="仿宋" w:hint="eastAsia"/>
          <w:sz w:val="24"/>
          <w:u w:val="single"/>
          <w:lang w:val="zh-CN"/>
        </w:rPr>
        <w:t xml:space="preserve">   </w:t>
      </w:r>
      <w:r>
        <w:rPr>
          <w:rFonts w:ascii="仿宋" w:eastAsia="仿宋" w:hAnsi="仿宋" w:cs="仿宋" w:hint="eastAsia"/>
          <w:sz w:val="24"/>
          <w:lang w:val="zh-CN"/>
        </w:rPr>
        <w:t xml:space="preserve"> </w:t>
      </w:r>
      <w:r>
        <w:rPr>
          <w:rFonts w:ascii="仿宋" w:eastAsia="仿宋" w:hAnsi="仿宋" w:cs="仿宋" w:hint="eastAsia"/>
          <w:sz w:val="24"/>
        </w:rPr>
        <w:t xml:space="preserve">%</w:t>
      </w:r>
      <w:r>
        <w:rPr>
          <w:rFonts w:ascii="仿宋" w:eastAsia="仿宋" w:hAnsi="仿宋" w:cs="仿宋" w:hint="eastAsia"/>
          <w:sz w:val="24"/>
          <w:lang w:val="zh-CN"/>
        </w:rPr>
        <w:t xml:space="preserve">（两项比例均应符合《政府采购促进中小企业发展管理办法》第八条规定）。</w:t>
      </w:r>
    </w:p>
    <w:p>
      <w:pPr>
        <w:spacing w:line="460" w:lineRule="exact"/>
        <w:ind w:firstLine="480"/>
        <w:rPr>
          <w:rFonts w:ascii="仿宋" w:eastAsia="仿宋" w:hAnsi="仿宋" w:cs="仿宋" w:hint="eastAsia"/>
          <w:sz w:val="24"/>
          <w:lang w:val="zh-CN"/>
        </w:rPr>
      </w:pPr>
      <w:r>
        <w:rPr>
          <w:rFonts w:ascii="仿宋" w:eastAsia="仿宋" w:hAnsi="仿宋" w:cs="仿宋" w:hint="eastAsia"/>
          <w:sz w:val="24"/>
          <w:lang w:val="zh-CN"/>
        </w:rPr>
        <w:t xml:space="preserve">（2）本项目要求投标人进行合同分包，中小企业合同金额应当达到的比例为</w:t>
      </w:r>
      <w:r>
        <w:rPr>
          <w:rFonts w:ascii="仿宋" w:eastAsia="仿宋" w:hAnsi="仿宋" w:cs="仿宋" w:hint="eastAsia"/>
          <w:sz w:val="24"/>
          <w:u w:val="single"/>
          <w:lang w:val="zh-CN"/>
        </w:rPr>
        <w:t xml:space="preserve">   </w:t>
      </w:r>
      <w:r>
        <w:rPr>
          <w:rFonts w:ascii="仿宋" w:eastAsia="仿宋" w:hAnsi="仿宋" w:cs="仿宋" w:hint="eastAsia"/>
          <w:sz w:val="24"/>
        </w:rPr>
        <w:t xml:space="preserve">%</w:t>
      </w:r>
      <w:r>
        <w:rPr>
          <w:rFonts w:ascii="仿宋" w:eastAsia="仿宋" w:hAnsi="仿宋" w:cs="仿宋" w:hint="eastAsia"/>
          <w:sz w:val="24"/>
          <w:lang w:val="zh-CN"/>
        </w:rPr>
        <w:t xml:space="preserve">，其中小微企业所占比例应为</w:t>
      </w:r>
      <w:r>
        <w:rPr>
          <w:rFonts w:ascii="仿宋" w:eastAsia="仿宋" w:hAnsi="仿宋" w:cs="仿宋" w:hint="eastAsia"/>
          <w:sz w:val="24"/>
          <w:u w:val="single"/>
          <w:lang w:val="zh-CN"/>
        </w:rPr>
        <w:t xml:space="preserve">   </w:t>
      </w:r>
      <w:r>
        <w:rPr>
          <w:rFonts w:ascii="仿宋" w:eastAsia="仿宋" w:hAnsi="仿宋" w:cs="仿宋" w:hint="eastAsia"/>
          <w:sz w:val="24"/>
        </w:rPr>
        <w:t xml:space="preserve">%</w:t>
      </w:r>
      <w:r>
        <w:rPr>
          <w:rFonts w:ascii="仿宋" w:eastAsia="仿宋" w:hAnsi="仿宋" w:cs="仿宋" w:hint="eastAsia"/>
          <w:sz w:val="24"/>
          <w:lang w:val="zh-CN"/>
        </w:rPr>
        <w:t xml:space="preserve">（两项比例均应符合《政府采购促进中小企业发展管理办法》第八条规定）。</w:t>
      </w:r>
    </w:p>
    <w:p>
      <w:pPr>
        <w:spacing w:line="460" w:lineRule="exact"/>
        <w:ind w:firstLine="482"/>
        <w:rPr>
          <w:rFonts w:ascii="仿宋" w:eastAsia="仿宋" w:hAnsi="仿宋" w:cs="仿宋" w:hint="eastAsia"/>
          <w:sz w:val="24"/>
          <w:lang w:val="zh-CN"/>
        </w:rPr>
      </w:pPr>
      <w:r>
        <w:rPr>
          <w:rFonts w:ascii="仿宋" w:eastAsia="仿宋" w:hAnsi="仿宋" w:cs="仿宋" w:hint="eastAsia"/>
          <w:b/>
          <w:sz w:val="24"/>
          <w:lang w:val="zh-CN"/>
        </w:rPr>
        <w:t xml:space="preserve">3、本项目为非预留份额的采购项目，</w:t>
      </w:r>
      <w:r>
        <w:rPr>
          <w:rFonts w:ascii="仿宋" w:eastAsia="仿宋" w:hAnsi="仿宋" w:cs="仿宋" w:hint="eastAsia"/>
          <w:b/>
          <w:sz w:val="24"/>
        </w:rPr>
        <w:t xml:space="preserve">对小微企业报价给予扣除，用扣除后的价格参加评审，具体详见第二章“投标人须知”第35.1项</w:t>
      </w:r>
      <w:r>
        <w:rPr>
          <w:rFonts w:ascii="仿宋" w:eastAsia="仿宋" w:hAnsi="仿宋" w:cs="仿宋" w:hint="eastAsia"/>
          <w:b/>
          <w:sz w:val="24"/>
          <w:lang w:val="zh-CN"/>
        </w:rPr>
        <w:t xml:space="preserve">。</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注:监狱企业、残疾人福利性单位视同小微企业。</w:t>
      </w:r>
    </w:p>
    <w:p>
      <w:pPr>
        <w:spacing w:line="460" w:lineRule="exact"/>
        <w:rPr>
          <w:rFonts w:ascii="仿宋" w:eastAsia="仿宋" w:hAnsi="仿宋" w:cs="仿宋" w:hint="eastAsia"/>
          <w:b/>
          <w:sz w:val="24"/>
        </w:rPr>
      </w:pPr>
      <w:r>
        <w:rPr>
          <w:rFonts w:ascii="仿宋" w:eastAsia="仿宋" w:hAnsi="仿宋" w:cs="仿宋" w:hint="eastAsia"/>
          <w:b/>
          <w:sz w:val="24"/>
        </w:rPr>
        <w:t xml:space="preserve">（三）本项目的特定资格要求:</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1、具备电子与智能化工程专业承包二级及以上或机电工程施工总承包二级及以上或建筑机电安装工程专业承包二级及以上并取得安全生产许可证（本条所列三项资质具备其一即可，有效期内）；</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（四）拒绝下述条件的投标人参加本次采购活动:</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1、投标人单位负责人为同一人或者存在直接控股、管理关系的不同投标人，不得同时参加同一合同项下的政府采购活动。</w:t>
      </w:r>
    </w:p>
    <w:p>
      <w:pPr>
        <w:spacing w:line="460" w:lineRule="exact"/>
        <w:ind w:firstLine="480"/>
        <w:rPr>
          <w:rFonts w:ascii="仿宋" w:eastAsia="仿宋" w:hAnsi="仿宋" w:cs="仿宋" w:hint="eastAsia"/>
          <w:b/>
          <w:i/>
          <w:sz w:val="24"/>
        </w:rPr>
      </w:pPr>
      <w:r>
        <w:rPr>
          <w:rFonts w:ascii="仿宋" w:eastAsia="仿宋" w:hAnsi="仿宋" w:cs="仿宋" w:hint="eastAsia"/>
          <w:sz w:val="24"/>
        </w:rPr>
        <w:t xml:space="preserve">2、凡为采购项目提供整体设计、规范编制或者项目管理、监理、检测等服务的投标人，不得再参加本项目的采购活动。</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3、投标人被“信用中国”网站、“中国政府采购网”列入失信被执行人、重大税收违法案件当事人名单、政府采购严重违法失信行为记录名单。</w:t>
      </w:r>
    </w:p>
    <w:p>
      <w:pPr>
        <w:spacing w:line="360" w:lineRule="auto"/>
        <w:ind w:firstLine="487"/>
        <w:rPr>
          <w:rFonts w:ascii="仿宋" w:eastAsia="仿宋" w:hAnsi="仿宋" w:cs="仿宋" w:hint="eastAsia"/>
          <w:b/>
          <w:bCs/>
          <w:sz w:val="24"/>
        </w:rPr>
      </w:pPr>
      <w:r>
        <w:rPr>
          <w:rFonts w:ascii="仿宋" w:eastAsia="仿宋" w:hAnsi="仿宋" w:cs="仿宋" w:hint="eastAsia"/>
          <w:b/>
          <w:bCs/>
          <w:sz w:val="24"/>
        </w:rPr>
        <w:t xml:space="preserve">三、获取招标文件</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时间: 2024年04月11日至2024年05月06日，每天上午00:00-12:00,下午12:00-23:59 （北京时间，法定节假日除外）。</w:t>
      </w:r>
    </w:p>
    <w:p>
      <w:pPr>
        <w:spacing w:line="460" w:lineRule="exact"/>
        <w:ind w:firstLine="480"/>
        <w:rPr>
          <w:rFonts w:ascii="仿宋" w:eastAsia="仿宋" w:hAnsi="仿宋" w:cs="仿宋" w:hint="eastAsia"/>
          <w:sz w:val="24"/>
        </w:rPr>
      </w:pPr>
      <w:r>
        <w:rPr>
          <w:rFonts w:ascii="仿宋" w:eastAsia="仿宋" w:hAnsi="仿宋" w:cs="仿宋" w:hint="eastAsia"/>
          <w:sz w:val="24"/>
        </w:rPr>
        <w:t xml:space="preserve">地点：江苏政府采购网或淮安市政府采购网</w:t>
      </w:r>
    </w:p>
    <w:p>
      <w:pPr>
        <w:spacing w:line="460" w:lineRule="exact"/>
        <w:ind w:firstLine="436"/>
        <w:jc w:val="left"/>
        <w:rPr>
          <w:rFonts w:ascii="仿宋" w:eastAsia="仿宋" w:hAnsi="仿宋" w:cs="仿宋" w:hint="eastAsia"/>
          <w:sz w:val="24"/>
        </w:rPr>
      </w:pPr>
      <w:r>
        <w:rPr>
          <w:rFonts w:ascii="仿宋" w:eastAsia="仿宋" w:hAnsi="仿宋" w:cs="仿宋" w:hint="eastAsia"/>
          <w:sz w:val="24"/>
        </w:rPr>
        <w:t xml:space="preserve">获取方式:投标人登录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售价：0元</w:t>
      </w:r>
    </w:p>
    <w:p>
      <w:pPr>
        <w:spacing w:line="360" w:lineRule="auto"/>
        <w:ind w:firstLine="487"/>
        <w:rPr>
          <w:rFonts w:ascii="仿宋" w:eastAsia="仿宋" w:hAnsi="仿宋" w:cs="仿宋" w:hint="eastAsia"/>
          <w:b/>
          <w:bCs/>
          <w:sz w:val="24"/>
        </w:rPr>
      </w:pPr>
      <w:r>
        <w:rPr>
          <w:rFonts w:ascii="仿宋" w:eastAsia="仿宋" w:hAnsi="仿宋" w:cs="仿宋" w:hint="eastAsia"/>
          <w:b/>
          <w:bCs/>
          <w:sz w:val="24"/>
        </w:rPr>
        <w:t xml:space="preserve">四、提交投标文件截止时间、开标时间和地点</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2024年05月07日9点00分（北京时间）</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地点:淮安市公共资源交易中心淮阴分中心二楼不见面开标室</w:t>
      </w:r>
    </w:p>
    <w:p>
      <w:pPr>
        <w:spacing w:line="360" w:lineRule="auto"/>
        <w:ind w:firstLine="487"/>
        <w:rPr>
          <w:rFonts w:ascii="仿宋" w:eastAsia="仿宋" w:hAnsi="仿宋" w:cs="仿宋" w:hint="eastAsia"/>
          <w:b/>
          <w:bCs/>
          <w:sz w:val="24"/>
        </w:rPr>
      </w:pPr>
      <w:r>
        <w:rPr>
          <w:rFonts w:ascii="仿宋" w:eastAsia="仿宋" w:hAnsi="仿宋" w:cs="仿宋" w:hint="eastAsia"/>
          <w:b/>
          <w:bCs/>
          <w:sz w:val="24"/>
        </w:rPr>
        <w:t xml:space="preserve">五、公告期限</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自本公告发布之日起五个工作日。</w:t>
      </w:r>
    </w:p>
    <w:p>
      <w:pPr>
        <w:spacing w:line="360" w:lineRule="auto"/>
        <w:ind w:firstLine="471"/>
        <w:rPr>
          <w:rFonts w:ascii="仿宋" w:eastAsia="仿宋" w:hAnsi="仿宋" w:cs="仿宋" w:hint="eastAsia"/>
          <w:b/>
          <w:bCs/>
          <w:sz w:val="24"/>
        </w:rPr>
      </w:pPr>
      <w:r>
        <w:rPr>
          <w:rFonts w:ascii="仿宋" w:eastAsia="仿宋" w:hAnsi="仿宋" w:cs="仿宋" w:hint="eastAsia"/>
          <w:b/>
          <w:bCs/>
          <w:spacing w:val="-4"/>
          <w:sz w:val="24"/>
        </w:rPr>
        <w:t xml:space="preserve">六、</w:t>
      </w:r>
      <w:r>
        <w:rPr>
          <w:rFonts w:ascii="仿宋" w:eastAsia="仿宋" w:hAnsi="仿宋" w:cs="仿宋" w:hint="eastAsia"/>
          <w:b/>
          <w:bCs/>
          <w:spacing w:val="-2"/>
          <w:sz w:val="24"/>
        </w:rPr>
        <w:t xml:space="preserve">其他补充事宜</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1、本项目不收取投标保证金。</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2、本项目仅采购非进口产品（注:本文件所称进口产品是指通过中国海关报关验放进入中国境内且产自关境外的产品）。</w:t>
      </w:r>
    </w:p>
    <w:p>
      <w:pPr>
        <w:spacing w:line="360" w:lineRule="auto"/>
        <w:ind w:firstLine="484"/>
        <w:jc w:val="left"/>
        <w:rPr>
          <w:rFonts w:ascii="仿宋" w:eastAsia="仿宋" w:hAnsi="仿宋" w:cs="仿宋" w:hint="eastAsia"/>
          <w:sz w:val="24"/>
        </w:rPr>
      </w:pPr>
      <w:r>
        <w:rPr>
          <w:rFonts w:ascii="仿宋" w:eastAsia="仿宋" w:hAnsi="仿宋" w:cs="仿宋" w:hint="eastAsia"/>
          <w:sz w:val="24"/>
        </w:rPr>
        <w:t xml:space="preserve">3、根据省财政厅《关于更换全省政府采购交易系统C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p>
    <w:p>
      <w:pPr>
        <w:spacing w:line="360" w:lineRule="auto"/>
        <w:ind w:firstLine="484"/>
        <w:jc w:val="left"/>
        <w:rPr>
          <w:rFonts w:ascii="仿宋" w:eastAsia="仿宋" w:hAnsi="仿宋" w:cs="仿宋" w:hint="eastAsia"/>
          <w:sz w:val="24"/>
        </w:rPr>
      </w:pPr>
      <w:r>
        <w:rPr>
          <w:rFonts w:ascii="仿宋" w:eastAsia="仿宋" w:hAnsi="仿宋" w:cs="仿宋" w:hint="eastAsia"/>
          <w:sz w:val="24"/>
        </w:rPr>
        <w:t xml:space="preserve">具体办理指南和操作手册见链接：http://www.ccgp-jiangsu.gov.cn/jiangsu/zlxz/ee/ee3a4bc5a3454aa2b0d9312230633ce9.html。</w:t>
      </w:r>
    </w:p>
    <w:p>
      <w:pPr>
        <w:spacing w:line="360" w:lineRule="auto"/>
        <w:ind w:firstLine="424"/>
        <w:rPr>
          <w:rFonts w:ascii="仿宋" w:eastAsia="仿宋" w:hAnsi="仿宋" w:cs="仿宋" w:hint="eastAsia"/>
          <w:sz w:val="24"/>
        </w:rPr>
      </w:pPr>
      <w:r>
        <w:rPr>
          <w:rFonts w:ascii="仿宋" w:eastAsia="仿宋" w:hAnsi="仿宋" w:cs="仿宋" w:hint="eastAsia"/>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4、有关本次招标的事项若存在变动或修改，敬请及时关注“江苏省政府采购网” “淮安市政府采购网”、“淮安市公共资源交易网”发布的更正公告。</w:t>
      </w:r>
    </w:p>
    <w:p>
      <w:pPr>
        <w:spacing w:line="360" w:lineRule="auto"/>
        <w:ind w:firstLine="487"/>
        <w:rPr>
          <w:rFonts w:ascii="仿宋" w:eastAsia="仿宋" w:hAnsi="仿宋" w:cs="仿宋" w:hint="eastAsia"/>
          <w:b/>
          <w:bCs/>
          <w:sz w:val="24"/>
        </w:rPr>
      </w:pPr>
      <w:r>
        <w:rPr>
          <w:rFonts w:ascii="仿宋" w:eastAsia="仿宋" w:hAnsi="仿宋" w:cs="仿宋" w:hint="eastAsia"/>
          <w:b/>
          <w:bCs/>
          <w:sz w:val="24"/>
        </w:rPr>
        <w:t xml:space="preserve">七、对本次采购提出询问，请按以下方式联系。</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1、采购人信息</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名称:淮安市公安局淮阴分局  </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地址:</w:t>
      </w:r>
      <w:r>
        <w:rPr>
          <w:rFonts w:eastAsia="仿宋" w:hint="eastAsia"/>
          <w:sz w:val="24"/>
        </w:rPr>
        <w:t xml:space="preserve"> 淮安市淮阴区淮河路101号</w:t>
      </w:r>
    </w:p>
    <w:p>
      <w:pPr>
        <w:spacing w:line="360" w:lineRule="auto"/>
        <w:ind w:firstLine="484"/>
        <w:rPr>
          <w:rFonts w:ascii="仿宋" w:eastAsia="仿宋" w:hAnsi="仿宋" w:cs="仿宋" w:hint="eastAsia"/>
          <w:color w:val="000000"/>
          <w:sz w:val="24"/>
        </w:rPr>
      </w:pPr>
      <w:r>
        <w:rPr>
          <w:rFonts w:ascii="仿宋" w:eastAsia="仿宋" w:hAnsi="仿宋" w:cs="仿宋" w:hint="eastAsia"/>
          <w:sz w:val="24"/>
        </w:rPr>
        <w:t xml:space="preserve">联系方式:</w:t>
      </w:r>
      <w:r>
        <w:rPr>
          <w:rFonts w:eastAsia="仿宋" w:hint="eastAsia"/>
          <w:sz w:val="24"/>
        </w:rPr>
        <w:t xml:space="preserve"> 邵先生</w:t>
      </w:r>
      <w:r>
        <w:rPr>
          <w:rFonts w:eastAsia="仿宋"/>
          <w:sz w:val="24"/>
        </w:rPr>
        <w:t xml:space="preserve">     </w:t>
      </w:r>
      <w:r>
        <w:rPr>
          <w:rFonts w:eastAsia="仿宋" w:hint="eastAsia"/>
          <w:sz w:val="24"/>
        </w:rPr>
        <w:t xml:space="preserve"> </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电话：0517-</w:t>
      </w:r>
      <w:r>
        <w:rPr>
          <w:rFonts w:eastAsia="仿宋" w:hint="eastAsia"/>
          <w:sz w:val="24"/>
        </w:rPr>
        <w:t xml:space="preserve">84977795</w:t>
      </w:r>
    </w:p>
    <w:p>
      <w:pPr>
        <w:spacing w:line="360" w:lineRule="auto"/>
        <w:ind w:firstLine="484"/>
        <w:rPr>
          <w:rFonts w:ascii="仿宋" w:eastAsia="仿宋" w:hAnsi="仿宋" w:cs="仿宋" w:hint="eastAsia"/>
          <w:sz w:val="24"/>
        </w:rPr>
      </w:pPr>
      <w:r>
        <w:rPr>
          <w:rFonts w:ascii="仿宋" w:eastAsia="仿宋" w:hAnsi="仿宋" w:cs="仿宋" w:hint="eastAsia"/>
          <w:sz w:val="24"/>
        </w:rPr>
        <w:t xml:space="preserve">2、采购代理机构信息</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名称:淮安市公共资源交易中心淮阴分中心</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地址: 淮安市淮阴区长江东路 170 号</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联系方式: 厉女士</w:t>
      </w:r>
      <w:r>
        <w:rPr>
          <w:rFonts w:ascii="仿宋" w:eastAsia="仿宋" w:hAnsi="仿宋" w:cs="仿宋" w:hint="eastAsia"/>
          <w:sz w:val="24"/>
        </w:rPr>
        <w:tab/>
      </w:r>
      <w:r>
        <w:rPr>
          <w:rFonts w:ascii="仿宋" w:eastAsia="仿宋" w:hAnsi="仿宋" w:cs="仿宋" w:hint="eastAsia"/>
          <w:sz w:val="24"/>
        </w:rPr>
        <w:t xml:space="preserve">     电话：0517-80859003</w:t>
      </w:r>
    </w:p>
    <w:p>
      <w:pPr>
        <w:spacing w:line="360" w:lineRule="auto"/>
        <w:ind w:firstLine="424"/>
        <w:rPr>
          <w:rFonts w:ascii="仿宋" w:eastAsia="仿宋" w:hAnsi="仿宋" w:cs="仿宋" w:hint="eastAsia"/>
          <w:sz w:val="24"/>
        </w:rPr>
      </w:pPr>
      <w:r>
        <w:rPr>
          <w:rFonts w:ascii="仿宋" w:eastAsia="仿宋" w:hAnsi="仿宋" w:cs="仿宋" w:hint="eastAsia"/>
          <w:sz w:val="24"/>
        </w:rPr>
        <w:t xml:space="preserve">3、项目联系方式：</w:t>
      </w:r>
    </w:p>
    <w:p>
      <w:pPr>
        <w:spacing w:line="360" w:lineRule="auto"/>
        <w:ind w:firstLine="424"/>
        <w:rPr>
          <w:rFonts w:ascii="仿宋" w:eastAsia="仿宋" w:hAnsi="仿宋" w:cs="仿宋" w:hint="eastAsia"/>
          <w:sz w:val="24"/>
        </w:rPr>
      </w:pPr>
      <w:r>
        <w:rPr>
          <w:rFonts w:ascii="仿宋" w:eastAsia="仿宋" w:hAnsi="仿宋" w:cs="仿宋" w:hint="eastAsia"/>
          <w:sz w:val="24"/>
        </w:rPr>
        <w:t xml:space="preserve">联系人：厉女士         电话：0517-80859003</w:t>
      </w:r>
      <w:bookmarkEnd w:id="1"/>
      <w:bookmarkEnd w:id="2"/>
    </w:p>
    <w:p>
      <w:pPr>
        <w:spacing w:line="360" w:lineRule="auto"/>
        <w:jc w:val="center"/>
        <w:rPr>
          <w:rFonts w:ascii="仿宋" w:eastAsia="仿宋" w:hAnsi="仿宋" w:cs="仿宋" w:hint="eastAsia"/>
          <w:b/>
          <w:sz w:val="36"/>
          <w:szCs w:val="36"/>
        </w:rPr>
      </w:pPr>
      <w:r>
        <w:br w:type="page"/>
      </w:r>
      <w:r>
        <w:rPr>
          <w:rFonts w:ascii="仿宋" w:eastAsia="仿宋" w:hAnsi="仿宋" w:cs="仿宋" w:hint="eastAsia"/>
          <w:b/>
          <w:sz w:val="36"/>
          <w:szCs w:val="36"/>
        </w:rPr>
        <w:t xml:space="preserve">第二章  投标人须知</w:t>
      </w:r>
    </w:p>
    <w:p>
      <w:pPr>
        <w:spacing w:line="360" w:lineRule="auto"/>
        <w:rPr>
          <w:rFonts w:ascii="仿宋" w:eastAsia="仿宋" w:hAnsi="仿宋" w:cs="仿宋" w:hint="eastAsia"/>
          <w:b/>
          <w:sz w:val="32"/>
          <w:szCs w:val="32"/>
        </w:rPr>
      </w:pPr>
      <w:r>
        <w:rPr>
          <w:rFonts w:ascii="仿宋" w:eastAsia="仿宋" w:hAnsi="仿宋" w:cs="仿宋" w:hint="eastAsia"/>
          <w:b/>
          <w:sz w:val="32"/>
          <w:szCs w:val="32"/>
        </w:rPr>
        <w:t xml:space="preserve">一、总则</w:t>
      </w:r>
    </w:p>
    <w:p>
      <w:pPr>
        <w:spacing w:line="360" w:lineRule="auto"/>
        <w:rPr>
          <w:rFonts w:ascii="仿宋" w:eastAsia="仿宋" w:hAnsi="仿宋" w:cs="仿宋" w:hint="eastAsia"/>
          <w:sz w:val="24"/>
        </w:rPr>
      </w:pPr>
      <w:r>
        <w:rPr>
          <w:rFonts w:ascii="仿宋" w:eastAsia="仿宋" w:hAnsi="仿宋" w:cs="仿宋" w:hint="eastAsia"/>
          <w:sz w:val="24"/>
        </w:rPr>
        <w:t xml:space="preserve">1.适用范围</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本招标文件仅适用于本次投标邀请中所述项目的采购。</w:t>
      </w:r>
    </w:p>
    <w:p>
      <w:pPr>
        <w:spacing w:line="360" w:lineRule="auto"/>
        <w:rPr>
          <w:rFonts w:ascii="仿宋" w:eastAsia="仿宋" w:hAnsi="仿宋" w:cs="仿宋" w:hint="eastAsia"/>
          <w:sz w:val="24"/>
        </w:rPr>
      </w:pPr>
      <w:r>
        <w:rPr>
          <w:rFonts w:ascii="仿宋" w:eastAsia="仿宋" w:hAnsi="仿宋" w:cs="仿宋" w:hint="eastAsia"/>
          <w:sz w:val="24"/>
        </w:rPr>
        <w:t xml:space="preserve">2.合格的投标人</w:t>
      </w:r>
    </w:p>
    <w:p>
      <w:pPr>
        <w:spacing w:line="360" w:lineRule="auto"/>
        <w:ind w:firstLine="555"/>
        <w:rPr>
          <w:rFonts w:ascii="仿宋" w:eastAsia="仿宋" w:hAnsi="仿宋" w:cs="仿宋" w:hint="eastAsia"/>
          <w:sz w:val="24"/>
        </w:rPr>
      </w:pPr>
      <w:r>
        <w:rPr>
          <w:rFonts w:ascii="仿宋" w:eastAsia="仿宋" w:hAnsi="仿宋" w:cs="仿宋" w:hint="eastAsia"/>
          <w:sz w:val="24"/>
        </w:rPr>
        <w:t xml:space="preserve">2.1满足第一章投标邀请中投标人资格要求的规定。 </w:t>
      </w:r>
    </w:p>
    <w:p>
      <w:pPr>
        <w:spacing w:line="360" w:lineRule="auto"/>
        <w:ind w:firstLine="555"/>
        <w:rPr>
          <w:rFonts w:ascii="仿宋" w:eastAsia="仿宋" w:hAnsi="仿宋" w:cs="仿宋" w:hint="eastAsia"/>
          <w:sz w:val="24"/>
        </w:rPr>
      </w:pPr>
      <w:r>
        <w:rPr>
          <w:rFonts w:ascii="仿宋" w:eastAsia="仿宋" w:hAnsi="仿宋" w:cs="仿宋" w:hint="eastAsia"/>
          <w:sz w:val="24"/>
        </w:rPr>
        <w:t xml:space="preserve">2.2满足招标文件中实质性条款的规定。</w:t>
      </w:r>
    </w:p>
    <w:p>
      <w:pPr>
        <w:spacing w:line="360" w:lineRule="auto"/>
        <w:rPr>
          <w:rFonts w:ascii="仿宋" w:eastAsia="仿宋" w:hAnsi="仿宋" w:cs="仿宋" w:hint="eastAsia"/>
          <w:sz w:val="24"/>
        </w:rPr>
      </w:pPr>
      <w:r>
        <w:rPr>
          <w:rFonts w:ascii="仿宋" w:eastAsia="仿宋" w:hAnsi="仿宋" w:cs="仿宋" w:hint="eastAsia"/>
          <w:sz w:val="24"/>
        </w:rPr>
        <w:t xml:space="preserve">3.适用法律</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3.1《中华人民共和国政府采购法》、《中华人民共和国政府采购法实施条例》、《政府采购货物和服务招标投标管理办法》等有关法律、规章和规定等。</w:t>
      </w:r>
    </w:p>
    <w:p>
      <w:pPr>
        <w:spacing w:line="360" w:lineRule="auto"/>
        <w:rPr>
          <w:rFonts w:ascii="仿宋" w:eastAsia="仿宋" w:hAnsi="仿宋" w:cs="仿宋" w:hint="eastAsia"/>
          <w:sz w:val="24"/>
        </w:rPr>
      </w:pPr>
      <w:r>
        <w:rPr>
          <w:rFonts w:ascii="仿宋" w:eastAsia="仿宋" w:hAnsi="仿宋" w:cs="仿宋" w:hint="eastAsia"/>
          <w:sz w:val="24"/>
        </w:rPr>
        <w:t xml:space="preserve">4.投标费用</w:t>
      </w:r>
    </w:p>
    <w:p>
      <w:pPr>
        <w:spacing w:line="360" w:lineRule="auto"/>
        <w:ind w:firstLine="555"/>
        <w:rPr>
          <w:rFonts w:ascii="仿宋" w:eastAsia="仿宋" w:hAnsi="仿宋" w:cs="仿宋" w:hint="eastAsia"/>
          <w:sz w:val="24"/>
        </w:rPr>
      </w:pPr>
      <w:r>
        <w:rPr>
          <w:rFonts w:ascii="仿宋" w:eastAsia="仿宋" w:hAnsi="仿宋" w:cs="仿宋" w:hint="eastAsia"/>
          <w:sz w:val="24"/>
        </w:rPr>
        <w:t xml:space="preserve">4.1投标人应自行承担所有与参加投标有关的费用。不论投标的结果如何，淮安市公共资源交易中心淮阴分中心（以下简称淮阴分中心）和采购人在任何情况下均无义务和责任承担这些费用。</w:t>
      </w:r>
    </w:p>
    <w:p>
      <w:pPr>
        <w:pStyle w:val="正文文本缩进1"/>
        <w:spacing w:line="360" w:lineRule="auto"/>
        <w:ind w:firstLine="480"/>
        <w:jc w:val="left"/>
        <w:rPr>
          <w:rFonts w:ascii="仿宋" w:eastAsia="仿宋" w:hAnsi="仿宋" w:cs="仿宋" w:hint="eastAsia"/>
          <w:sz w:val="24"/>
        </w:rPr>
      </w:pPr>
      <w:r>
        <w:rPr>
          <w:rFonts w:ascii="仿宋" w:eastAsia="仿宋" w:hAnsi="仿宋" w:cs="仿宋" w:hint="eastAsia"/>
          <w:sz w:val="24"/>
        </w:rPr>
        <w:t xml:space="preserve">4.2本项目由江苏神州项目管理有限公司协助采购人作了前期咨询工作。因此各投标人在报价时必须将咨询费用包含在投标报价中，不需单独列项计取。咨询费参照国家计委计价格[2002]1980号所规定的收费标准75%收取。中标人在领取中标通知书之日向江苏神州项目管理有限公司一次性付清。</w:t>
      </w:r>
    </w:p>
    <w:p>
      <w:pPr>
        <w:pStyle w:val="正文文本缩进1"/>
        <w:spacing w:line="360" w:lineRule="auto"/>
        <w:ind w:firstLine="480"/>
        <w:rPr>
          <w:rFonts w:ascii="仿宋" w:eastAsia="仿宋" w:hAnsi="仿宋" w:cs="仿宋" w:hint="eastAsia"/>
          <w:sz w:val="24"/>
        </w:rPr>
      </w:pPr>
      <w:r>
        <w:rPr>
          <w:rFonts w:ascii="仿宋" w:eastAsia="仿宋" w:hAnsi="仿宋" w:cs="仿宋" w:hint="eastAsia"/>
          <w:sz w:val="24"/>
        </w:rPr>
        <w:t xml:space="preserve">4.3本次采购项目不收取标书工本费。</w:t>
      </w:r>
    </w:p>
    <w:p>
      <w:pPr>
        <w:spacing w:line="360" w:lineRule="auto"/>
        <w:rPr>
          <w:rFonts w:ascii="仿宋" w:eastAsia="仿宋" w:hAnsi="仿宋" w:cs="仿宋"/>
          <w:sz w:val="24"/>
        </w:rPr>
      </w:pPr>
      <w:r>
        <w:rPr>
          <w:rFonts w:ascii="仿宋" w:eastAsia="仿宋" w:hAnsi="仿宋" w:cs="仿宋" w:hint="eastAsia"/>
          <w:sz w:val="24"/>
        </w:rPr>
        <w:t xml:space="preserve">5.招标文件的约束力</w:t>
      </w:r>
    </w:p>
    <w:p>
      <w:pPr>
        <w:pStyle w:val="正文文本缩进1"/>
        <w:spacing w:line="360" w:lineRule="auto"/>
        <w:ind w:firstLine="480"/>
        <w:jc w:val="left"/>
        <w:rPr>
          <w:rFonts w:ascii="仿宋" w:eastAsia="仿宋" w:hAnsi="仿宋" w:cs="仿宋"/>
          <w:sz w:val="24"/>
        </w:rPr>
      </w:pPr>
      <w:r>
        <w:rPr>
          <w:rFonts w:ascii="仿宋" w:eastAsia="仿宋" w:hAnsi="仿宋" w:cs="仿宋" w:hint="eastAsia"/>
          <w:sz w:val="24"/>
        </w:rPr>
        <w:t xml:space="preserve">5.1投标人一旦参加本项目采购活动，即被认为接受了本招标文件的规定和约束。</w:t>
      </w:r>
    </w:p>
    <w:p>
      <w:pPr>
        <w:spacing w:line="360" w:lineRule="auto"/>
        <w:rPr>
          <w:rFonts w:ascii="仿宋" w:eastAsia="仿宋" w:hAnsi="仿宋" w:cs="仿宋" w:hint="eastAsia"/>
          <w:b/>
          <w:sz w:val="32"/>
          <w:szCs w:val="32"/>
        </w:rPr>
      </w:pPr>
      <w:r>
        <w:rPr>
          <w:rFonts w:ascii="仿宋" w:eastAsia="仿宋" w:hAnsi="仿宋" w:cs="仿宋" w:hint="eastAsia"/>
          <w:b/>
          <w:sz w:val="32"/>
          <w:szCs w:val="32"/>
        </w:rPr>
        <w:t xml:space="preserve">二、招标文件</w:t>
      </w:r>
    </w:p>
    <w:p>
      <w:pPr>
        <w:spacing w:line="360" w:lineRule="auto"/>
        <w:rPr>
          <w:rFonts w:ascii="仿宋" w:eastAsia="仿宋" w:hAnsi="仿宋" w:cs="仿宋" w:hint="eastAsia"/>
          <w:sz w:val="24"/>
        </w:rPr>
      </w:pPr>
      <w:r>
        <w:rPr>
          <w:rFonts w:ascii="仿宋" w:eastAsia="仿宋" w:hAnsi="仿宋" w:cs="仿宋" w:hint="eastAsia"/>
          <w:sz w:val="24"/>
        </w:rPr>
        <w:t xml:space="preserve">6.招标文件由以下部分组成:</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（1）投标邀请</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（2）投标人须知</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（3）评标标准</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（4）合同格式及条款</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（5）项目采购需求</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（6）投标文件</w:t>
      </w:r>
    </w:p>
    <w:p>
      <w:pPr>
        <w:spacing w:line="360" w:lineRule="auto"/>
        <w:ind w:firstLine="560"/>
        <w:rPr>
          <w:rFonts w:eastAsia="仿宋"/>
          <w:color w:val="000000"/>
          <w:sz w:val="24"/>
        </w:rPr>
      </w:pPr>
      <w:r>
        <w:rPr>
          <w:rFonts w:ascii="仿宋" w:eastAsia="仿宋" w:hAnsi="仿宋" w:hint="eastAsia"/>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spacing w:line="360" w:lineRule="auto"/>
        <w:rPr>
          <w:rFonts w:ascii="仿宋" w:eastAsia="仿宋" w:hAnsi="仿宋" w:cs="仿宋" w:hint="eastAsia"/>
          <w:sz w:val="24"/>
        </w:rPr>
      </w:pPr>
      <w:r>
        <w:rPr>
          <w:rFonts w:ascii="仿宋" w:eastAsia="仿宋" w:hAnsi="仿宋" w:cs="仿宋" w:hint="eastAsia"/>
          <w:sz w:val="24"/>
        </w:rPr>
        <w:t xml:space="preserve">7.招标文件的澄清</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7.1任何要求对招标文件进行澄清的投标人，</w:t>
      </w:r>
      <w:r>
        <w:rPr>
          <w:rFonts w:ascii="仿宋" w:eastAsia="仿宋" w:hAnsi="仿宋" w:hint="eastAsia"/>
          <w:color w:val="000000"/>
          <w:sz w:val="24"/>
        </w:rPr>
        <w:t xml:space="preserve">均应在投标截止时间十日前通过以书面形式并加盖公章通知采购人或淮阴分中心，采购人或淮阴分中心对投标截止时间前十日收到的任何澄清要求将以书面形式予以答复。</w:t>
      </w:r>
    </w:p>
    <w:p>
      <w:pPr>
        <w:spacing w:line="360" w:lineRule="auto"/>
        <w:rPr>
          <w:rFonts w:ascii="仿宋" w:eastAsia="仿宋" w:hAnsi="仿宋" w:cs="仿宋" w:hint="eastAsia"/>
          <w:sz w:val="24"/>
        </w:rPr>
      </w:pPr>
      <w:r>
        <w:rPr>
          <w:rFonts w:ascii="仿宋" w:eastAsia="仿宋" w:hAnsi="仿宋" w:cs="仿宋" w:hint="eastAsia"/>
          <w:sz w:val="24"/>
        </w:rPr>
        <w:t xml:space="preserve">8.招标文件的更正或补充</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8.1在投标截止时间十五日前，淮阴分中心可主动或在解答投标人提出的澄清问题时对招标文件用更正公告的方式进行修正。</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8.2对招标文件的更正将在江苏省政府采购网和淮安市政府采购网进行公告，更正公告将作为招标文件的组成部分，对所有参加本次投标的投标人都具有约束力。</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8.3为使投标人有足够的时间按招标文件的更正要求修正投标文件，淮阴分中心有权按照相关法定的要求推迟投标截止时间和开标日期。</w:t>
      </w:r>
    </w:p>
    <w:p>
      <w:pPr>
        <w:spacing w:line="360" w:lineRule="auto"/>
        <w:rPr>
          <w:rFonts w:ascii="仿宋" w:eastAsia="仿宋" w:hAnsi="仿宋" w:cs="仿宋" w:hint="eastAsia"/>
          <w:b/>
          <w:sz w:val="32"/>
          <w:szCs w:val="32"/>
        </w:rPr>
      </w:pPr>
      <w:r>
        <w:rPr>
          <w:rFonts w:ascii="仿宋" w:eastAsia="仿宋" w:hAnsi="仿宋" w:cs="仿宋" w:hint="eastAsia"/>
          <w:b/>
          <w:sz w:val="32"/>
          <w:szCs w:val="32"/>
        </w:rPr>
        <w:t xml:space="preserve">三、投标文件的编制</w:t>
      </w:r>
    </w:p>
    <w:p>
      <w:pPr>
        <w:spacing w:line="360" w:lineRule="auto"/>
        <w:rPr>
          <w:rFonts w:ascii="仿宋" w:eastAsia="仿宋" w:hAnsi="仿宋"/>
          <w:color w:val="000000"/>
          <w:sz w:val="24"/>
        </w:rPr>
      </w:pPr>
      <w:r>
        <w:rPr>
          <w:rFonts w:ascii="仿宋" w:eastAsia="仿宋" w:hAnsi="仿宋" w:hint="eastAsia"/>
          <w:color w:val="000000"/>
          <w:sz w:val="24"/>
        </w:rPr>
        <w:t xml:space="preserve">9.投标文件的语言及度量衡单位</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9.1投标人提交的投标文件以及投标人与采购人或</w:t>
      </w:r>
      <w:r>
        <w:rPr>
          <w:rFonts w:ascii="仿宋" w:eastAsia="仿宋" w:hAnsi="仿宋" w:cs="仿宋" w:hint="eastAsia"/>
          <w:sz w:val="24"/>
        </w:rPr>
        <w:t xml:space="preserve">淮阴分中心</w:t>
      </w:r>
      <w:r>
        <w:rPr>
          <w:rFonts w:ascii="仿宋" w:eastAsia="仿宋" w:hAnsi="仿宋" w:hint="eastAsia"/>
          <w:color w:val="000000"/>
          <w:sz w:val="24"/>
        </w:rPr>
        <w:t xml:space="preserve">就有关投标的所有来往通知、函件和文件均应使用</w:t>
      </w:r>
      <w:r>
        <w:rPr>
          <w:rFonts w:ascii="仿宋" w:eastAsia="仿宋" w:hAnsi="仿宋" w:hint="eastAsia"/>
          <w:bCs/>
          <w:color w:val="000000"/>
          <w:sz w:val="24"/>
        </w:rPr>
        <w:t xml:space="preserve">简体中文</w:t>
      </w:r>
      <w:r>
        <w:rPr>
          <w:rFonts w:ascii="仿宋" w:eastAsia="仿宋" w:hAnsi="仿宋" w:hint="eastAsia"/>
          <w:color w:val="000000"/>
          <w:sz w:val="24"/>
        </w:rPr>
        <w:t xml:space="preserve">。</w:t>
      </w:r>
    </w:p>
    <w:p>
      <w:pPr>
        <w:spacing w:line="360" w:lineRule="auto"/>
        <w:ind w:firstLine="560"/>
        <w:rPr>
          <w:rFonts w:ascii="仿宋" w:eastAsia="仿宋" w:hAnsi="仿宋" w:hint="eastAsia"/>
          <w:color w:val="000000"/>
          <w:sz w:val="24"/>
        </w:rPr>
      </w:pPr>
      <w:r>
        <w:rPr>
          <w:rFonts w:ascii="仿宋" w:eastAsia="仿宋" w:hAnsi="仿宋" w:hint="eastAsia"/>
          <w:color w:val="000000"/>
          <w:sz w:val="24"/>
        </w:rPr>
        <w:t xml:space="preserve">9.2除技术性能另有规定外，投标文件所使用的度量衡单位，均须采用国家法定计量单位。</w:t>
      </w:r>
    </w:p>
    <w:p>
      <w:pPr>
        <w:spacing w:line="360" w:lineRule="auto"/>
        <w:rPr>
          <w:rFonts w:ascii="仿宋" w:eastAsia="仿宋" w:hAnsi="仿宋"/>
          <w:color w:val="000000"/>
          <w:sz w:val="24"/>
        </w:rPr>
      </w:pPr>
      <w:bookmarkStart w:id="3" w:name="_Toc20823287"/>
      <w:bookmarkStart w:id="4" w:name="_Toc16938531"/>
      <w:bookmarkStart w:id="5" w:name="_Toc513029215"/>
      <w:bookmarkStart w:id="6" w:name="_Toc462564074"/>
      <w:r>
        <w:rPr>
          <w:rFonts w:ascii="仿宋" w:eastAsia="仿宋" w:hAnsi="仿宋" w:hint="eastAsia"/>
          <w:color w:val="000000"/>
          <w:sz w:val="24"/>
        </w:rPr>
        <w:t xml:space="preserve">10.投标文件构成</w:t>
      </w:r>
      <w:bookmarkEnd w:id="3"/>
      <w:bookmarkEnd w:id="4"/>
      <w:bookmarkEnd w:id="5"/>
      <w:bookmarkEnd w:id="6"/>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10.1投标人编写的投标文件应包括资格证明文件、符合性证明文件、投标分项报价表、技术要求响应及偏离表、商务要求响应及偏离表、其他证明文件、投标函、开标一览表等部分。</w:t>
      </w:r>
      <w:r>
        <w:rPr>
          <w:rFonts w:ascii="仿宋" w:eastAsia="仿宋" w:hAnsi="仿宋" w:hint="eastAsia"/>
          <w:color w:val="000000"/>
          <w:sz w:val="24"/>
          <w:lang w:val="zh-CN"/>
        </w:rPr>
        <w:t xml:space="preserve">请投标人根据本招标文件的要求在指定模块中上传响应的投标材料，未按招标文件要求在指定模块上传响应的投标材料的，</w:t>
      </w:r>
      <w:r>
        <w:rPr>
          <w:rFonts w:ascii="仿宋" w:eastAsia="仿宋" w:hAnsi="仿宋" w:hint="eastAsia"/>
          <w:color w:val="000000"/>
          <w:sz w:val="24"/>
        </w:rPr>
        <w:t xml:space="preserve">视同未提交该投标材料处理。</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10.2如标书制作工具中格式和内容与“淮安市政府采购网”发布的招标文件不一致，请以“淮安市政府采购网”发布的招标文件为准。</w:t>
      </w:r>
    </w:p>
    <w:p>
      <w:pPr>
        <w:spacing w:line="360" w:lineRule="auto"/>
        <w:rPr>
          <w:rFonts w:ascii="仿宋" w:eastAsia="仿宋" w:hAnsi="仿宋"/>
          <w:color w:val="000000"/>
          <w:sz w:val="24"/>
        </w:rPr>
      </w:pPr>
      <w:bookmarkStart w:id="7" w:name="_Toc513029219"/>
      <w:bookmarkStart w:id="8" w:name="_Toc14577357"/>
      <w:bookmarkStart w:id="9" w:name="_Toc49090509"/>
      <w:bookmarkStart w:id="10" w:name="_Toc14577354"/>
      <w:bookmarkStart w:id="11" w:name="_Toc49090507"/>
      <w:bookmarkStart w:id="12" w:name="_Toc513029216"/>
      <w:r>
        <w:rPr>
          <w:rFonts w:ascii="仿宋" w:eastAsia="仿宋" w:hAnsi="仿宋" w:hint="eastAsia"/>
          <w:color w:val="000000"/>
          <w:sz w:val="24"/>
        </w:rPr>
        <w:t xml:space="preserve">11.证明投标人及投标标的符合招标文件规定的文件</w:t>
      </w:r>
      <w:bookmarkEnd w:id="7"/>
      <w:bookmarkEnd w:id="8"/>
      <w:bookmarkEnd w:id="9"/>
      <w:bookmarkEnd w:id="10"/>
      <w:bookmarkEnd w:id="11"/>
      <w:bookmarkEnd w:id="12"/>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11.1投标人应按照招标文件要求提交证明文件，证明其及投标标的符合招标文件规定。</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11.2招标文件对证明文件无明确形式要求的，证明文件可以以文字资料、图纸和数据等形式提交。</w:t>
      </w:r>
    </w:p>
    <w:p>
      <w:pPr>
        <w:spacing w:line="360" w:lineRule="auto"/>
        <w:rPr>
          <w:rFonts w:ascii="仿宋" w:eastAsia="仿宋" w:hAnsi="仿宋"/>
          <w:color w:val="000000"/>
          <w:sz w:val="24"/>
        </w:rPr>
      </w:pPr>
      <w:r>
        <w:rPr>
          <w:rFonts w:ascii="仿宋" w:eastAsia="仿宋" w:hAnsi="仿宋" w:hint="eastAsia"/>
          <w:color w:val="000000"/>
          <w:sz w:val="24"/>
        </w:rPr>
        <w:t xml:space="preserve">12.投标分项报价</w:t>
      </w:r>
      <w:bookmarkStart w:id="13" w:name="_Hlt26670373"/>
      <w:bookmarkEnd w:id="13"/>
      <w:r>
        <w:rPr>
          <w:rFonts w:ascii="仿宋" w:eastAsia="仿宋" w:hAnsi="仿宋" w:hint="eastAsia"/>
          <w:color w:val="000000"/>
          <w:sz w:val="24"/>
        </w:rPr>
        <w:t xml:space="preserve">表</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12.1投</w:t>
      </w:r>
      <w:bookmarkStart w:id="14" w:name="_Hlt26954840"/>
      <w:bookmarkEnd w:id="14"/>
      <w:r>
        <w:rPr>
          <w:rFonts w:ascii="仿宋" w:eastAsia="仿宋" w:hAnsi="仿宋" w:hint="eastAsia"/>
          <w:color w:val="000000"/>
          <w:sz w:val="24"/>
        </w:rPr>
        <w:t xml:space="preserve">标人应按照招标文件规定格式填报投标分项报价表</w:t>
      </w:r>
      <w:bookmarkStart w:id="15" w:name="_Hlt26670399"/>
      <w:bookmarkEnd w:id="15"/>
      <w:r>
        <w:rPr>
          <w:rFonts w:ascii="仿宋" w:eastAsia="仿宋" w:hAnsi="仿宋" w:hint="eastAsia"/>
          <w:color w:val="000000"/>
          <w:sz w:val="24"/>
        </w:rPr>
        <w:t xml:space="preserve">。</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12.2投标货币。投标文件中的单价和总价无特殊规定的采用人民币报价，以元为单位标注。招标文件中另有规定的按规定执行。</w:t>
      </w:r>
    </w:p>
    <w:p>
      <w:pPr>
        <w:spacing w:line="360" w:lineRule="auto"/>
        <w:rPr>
          <w:rFonts w:ascii="仿宋" w:eastAsia="仿宋" w:hAnsi="仿宋"/>
          <w:color w:val="000000"/>
          <w:sz w:val="24"/>
        </w:rPr>
      </w:pPr>
      <w:r>
        <w:rPr>
          <w:rFonts w:ascii="仿宋" w:eastAsia="仿宋" w:hAnsi="仿宋" w:hint="eastAsia"/>
          <w:color w:val="000000"/>
          <w:sz w:val="24"/>
        </w:rPr>
        <w:t xml:space="preserve">13.技术要求响应及偏离表、商务要求响应及偏离表</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13.1投标人需对招标文件中的技术要求与商务要求逐项作出响应或偏离，并说明原因。</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13.2投标人可在投标文件中提供认为需要的其他技术文件或说明。</w:t>
      </w:r>
    </w:p>
    <w:p>
      <w:pPr>
        <w:spacing w:line="360" w:lineRule="auto"/>
        <w:rPr>
          <w:rFonts w:ascii="仿宋" w:eastAsia="仿宋" w:hAnsi="仿宋"/>
          <w:color w:val="000000"/>
          <w:sz w:val="24"/>
        </w:rPr>
      </w:pPr>
      <w:r>
        <w:rPr>
          <w:rFonts w:ascii="仿宋" w:eastAsia="仿宋" w:hAnsi="仿宋" w:hint="eastAsia"/>
          <w:color w:val="000000"/>
          <w:sz w:val="24"/>
        </w:rPr>
        <w:t xml:space="preserve">14.服务承诺、培训计划、人员安排及其他</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14.1 投标人需根据招标文件要求提供有关售后服务的管理制度，售后服务机构的分布情况，售后服务人员的数量、素质、技术水平及售后服务的反应能力等。</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14.2 投标人需根据招标文件要求提供培训计划。</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14.3投标人需根据招标文件要求提供所投标的的主要组成部分、功能设计、实现思路及关键技术等。</w:t>
      </w:r>
    </w:p>
    <w:p>
      <w:pPr>
        <w:spacing w:line="360" w:lineRule="auto"/>
        <w:rPr>
          <w:rFonts w:ascii="仿宋" w:eastAsia="仿宋" w:hAnsi="仿宋"/>
          <w:color w:val="000000"/>
          <w:sz w:val="24"/>
        </w:rPr>
      </w:pPr>
      <w:r>
        <w:rPr>
          <w:rFonts w:ascii="仿宋" w:eastAsia="仿宋" w:hAnsi="仿宋" w:hint="eastAsia"/>
          <w:color w:val="000000"/>
          <w:sz w:val="24"/>
        </w:rPr>
        <w:t xml:space="preserve">15.投标函和开标一览表</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15.1投标人应按照招标文件中提供的格式完整、正确填写投标函、开标一览表。</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15.2对于采用货币报价的项目，开标一览表中的投标总报价应与投标分项报价表中的投标总报价一致，如不一致，不作为无效投标处理，但评标时按开标一览表中价格为准。</w:t>
      </w:r>
    </w:p>
    <w:p>
      <w:pPr>
        <w:spacing w:line="360" w:lineRule="auto"/>
        <w:rPr>
          <w:rFonts w:ascii="仿宋" w:eastAsia="仿宋" w:hAnsi="仿宋"/>
          <w:color w:val="000000"/>
          <w:sz w:val="24"/>
        </w:rPr>
      </w:pPr>
      <w:r>
        <w:rPr>
          <w:rFonts w:ascii="仿宋" w:eastAsia="仿宋" w:hAnsi="仿宋" w:hint="eastAsia"/>
          <w:color w:val="000000"/>
          <w:sz w:val="24"/>
        </w:rPr>
        <w:t xml:space="preserve">16.投标有效期</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16.1投标有效期为从开标之日起计算的九十天。投标有效期比规定短的将被视为非响应投标而予以拒绝。</w:t>
      </w:r>
    </w:p>
    <w:p>
      <w:pPr>
        <w:spacing w:line="360" w:lineRule="auto"/>
        <w:rPr>
          <w:rFonts w:ascii="仿宋" w:eastAsia="仿宋" w:hAnsi="仿宋"/>
          <w:color w:val="000000"/>
          <w:sz w:val="24"/>
        </w:rPr>
      </w:pPr>
      <w:r>
        <w:rPr>
          <w:rFonts w:ascii="仿宋" w:eastAsia="仿宋" w:hAnsi="仿宋" w:hint="eastAsia"/>
          <w:color w:val="000000"/>
          <w:sz w:val="24"/>
        </w:rPr>
        <w:t xml:space="preserve">17.投标有效期的延长</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17.1在特殊情况下，</w:t>
      </w:r>
      <w:r>
        <w:rPr>
          <w:rFonts w:ascii="仿宋" w:eastAsia="仿宋" w:hAnsi="仿宋" w:cs="仿宋" w:hint="eastAsia"/>
          <w:sz w:val="24"/>
        </w:rPr>
        <w:t xml:space="preserve">淮阴分中心</w:t>
      </w:r>
      <w:r>
        <w:rPr>
          <w:rFonts w:ascii="仿宋" w:eastAsia="仿宋" w:hAnsi="仿宋" w:hint="eastAsia"/>
          <w:color w:val="000000"/>
          <w:sz w:val="24"/>
        </w:rPr>
        <w:t xml:space="preserve">于原投标有效期满之前，可向投标人提出延长投标有效期的要求，这种要求与答复均应采用书面形式。投标人可以拒绝接受这一要求而放弃投标。同意延长的投标人既不能要求也不允许修改其投标文件，受投标有效期约束的所有权利与义务均延长至新的有效期。</w:t>
      </w:r>
    </w:p>
    <w:p>
      <w:pPr>
        <w:spacing w:line="360" w:lineRule="auto"/>
        <w:rPr>
          <w:rFonts w:ascii="仿宋" w:eastAsia="仿宋" w:hAnsi="仿宋"/>
          <w:bCs/>
          <w:sz w:val="24"/>
        </w:rPr>
      </w:pPr>
      <w:r>
        <w:rPr>
          <w:rFonts w:ascii="仿宋" w:eastAsia="仿宋" w:hAnsi="仿宋" w:hint="eastAsia"/>
          <w:bCs/>
          <w:sz w:val="24"/>
        </w:rPr>
        <w:t xml:space="preserve">18.方案部分</w:t>
      </w:r>
    </w:p>
    <w:p>
      <w:pPr>
        <w:spacing w:line="360" w:lineRule="auto"/>
        <w:ind w:firstLine="560"/>
        <w:rPr>
          <w:rFonts w:ascii="仿宋" w:eastAsia="仿宋" w:hAnsi="仿宋"/>
          <w:color w:val="000000"/>
          <w:sz w:val="24"/>
        </w:rPr>
      </w:pPr>
      <w:r>
        <w:rPr>
          <w:rFonts w:ascii="仿宋" w:eastAsia="仿宋" w:hAnsi="仿宋" w:hint="eastAsia"/>
          <w:color w:val="000000"/>
          <w:sz w:val="24"/>
        </w:rPr>
        <w:t xml:space="preserve">18.1</w:t>
      </w:r>
      <w:r>
        <w:rPr>
          <w:rFonts w:ascii="仿宋" w:eastAsia="仿宋" w:hAnsi="仿宋"/>
          <w:color w:val="000000"/>
          <w:sz w:val="24"/>
        </w:rPr>
        <w:t xml:space="preserve">本项目评标标准中的方案部分具体要求详见评标标准</w:t>
      </w:r>
      <w:r>
        <w:rPr>
          <w:rFonts w:ascii="仿宋" w:eastAsia="仿宋" w:hAnsi="仿宋" w:hint="eastAsia"/>
          <w:color w:val="000000"/>
          <w:sz w:val="24"/>
        </w:rPr>
        <w:t xml:space="preserve">。</w:t>
      </w:r>
    </w:p>
    <w:p>
      <w:pPr>
        <w:spacing w:line="360" w:lineRule="auto"/>
        <w:rPr>
          <w:rFonts w:ascii="仿宋" w:eastAsia="仿宋" w:hAnsi="仿宋"/>
          <w:b/>
          <w:sz w:val="32"/>
          <w:szCs w:val="32"/>
        </w:rPr>
      </w:pPr>
      <w:r>
        <w:rPr>
          <w:rFonts w:ascii="仿宋" w:eastAsia="仿宋" w:hAnsi="仿宋" w:hint="eastAsia"/>
          <w:b/>
          <w:sz w:val="32"/>
          <w:szCs w:val="32"/>
        </w:rPr>
        <w:t xml:space="preserve">四、投标文件上传</w:t>
      </w:r>
    </w:p>
    <w:p>
      <w:pPr>
        <w:spacing w:line="360" w:lineRule="auto"/>
        <w:rPr>
          <w:rFonts w:ascii="仿宋" w:eastAsia="仿宋" w:hAnsi="仿宋"/>
          <w:sz w:val="24"/>
        </w:rPr>
      </w:pPr>
      <w:r>
        <w:rPr>
          <w:rFonts w:ascii="仿宋" w:eastAsia="仿宋" w:hAnsi="仿宋" w:hint="eastAsia"/>
          <w:sz w:val="24"/>
        </w:rPr>
        <w:t xml:space="preserve">19.投标文件的上传</w:t>
      </w:r>
    </w:p>
    <w:p>
      <w:pPr>
        <w:spacing w:line="360" w:lineRule="auto"/>
        <w:ind w:firstLine="560"/>
        <w:rPr>
          <w:rFonts w:ascii="仿宋" w:eastAsia="仿宋" w:hAnsi="仿宋"/>
          <w:sz w:val="24"/>
        </w:rPr>
      </w:pPr>
      <w:r>
        <w:rPr>
          <w:rFonts w:ascii="仿宋" w:eastAsia="仿宋" w:hAnsi="仿宋" w:hint="eastAsia"/>
          <w:sz w:val="24"/>
        </w:rPr>
        <w:t xml:space="preserve">19.1投标人应当按照《操作手册》规定，在投标截止时间前</w:t>
      </w:r>
      <w:r>
        <w:rPr>
          <w:rFonts w:ascii="仿宋" w:eastAsia="仿宋" w:hAnsi="仿宋"/>
          <w:sz w:val="24"/>
        </w:rPr>
        <w:t xml:space="preserve">制作</w:t>
      </w:r>
      <w:r>
        <w:rPr>
          <w:rFonts w:ascii="仿宋" w:eastAsia="仿宋" w:hAnsi="仿宋" w:hint="eastAsia"/>
          <w:sz w:val="24"/>
        </w:rPr>
        <w:t xml:space="preserve">并上传电子投标文件。</w:t>
      </w:r>
    </w:p>
    <w:p>
      <w:pPr>
        <w:spacing w:line="360" w:lineRule="auto"/>
        <w:ind w:firstLine="560"/>
        <w:rPr>
          <w:rFonts w:ascii="仿宋" w:eastAsia="仿宋" w:hAnsi="仿宋"/>
          <w:color w:val="000000"/>
          <w:sz w:val="24"/>
        </w:rPr>
      </w:pPr>
      <w:r>
        <w:rPr>
          <w:rFonts w:ascii="仿宋" w:eastAsia="仿宋" w:hAnsi="仿宋" w:hint="eastAsia"/>
          <w:sz w:val="24"/>
        </w:rPr>
        <w:t xml:space="preserve">19.2投标人上传的电子投标文件内容不清楚或不清晰的（含扫描</w:t>
      </w:r>
      <w:r>
        <w:rPr>
          <w:rFonts w:ascii="仿宋" w:eastAsia="仿宋" w:hAnsi="仿宋" w:cs="宋体" w:hint="eastAsia"/>
          <w:bCs/>
          <w:sz w:val="24"/>
        </w:rPr>
        <w:t xml:space="preserve">件），造成无法评审或部分影响评审的，</w:t>
      </w:r>
      <w:r>
        <w:rPr>
          <w:rFonts w:ascii="仿宋" w:eastAsia="仿宋" w:hAnsi="仿宋" w:cs="宋体" w:hint="eastAsia"/>
          <w:bCs/>
          <w:sz w:val="24"/>
          <w:lang w:val="zh-CN"/>
        </w:rPr>
        <w:t xml:space="preserve">责任由</w:t>
      </w:r>
      <w:r>
        <w:rPr>
          <w:rFonts w:ascii="仿宋" w:eastAsia="仿宋" w:hAnsi="仿宋" w:cs="宋体" w:hint="eastAsia"/>
          <w:bCs/>
          <w:sz w:val="24"/>
        </w:rPr>
        <w:t xml:space="preserve">投标人</w:t>
      </w:r>
      <w:r>
        <w:rPr>
          <w:rFonts w:ascii="仿宋" w:eastAsia="仿宋" w:hAnsi="仿宋" w:cs="宋体" w:hint="eastAsia"/>
          <w:bCs/>
          <w:sz w:val="24"/>
          <w:lang w:val="zh-CN"/>
        </w:rPr>
        <w:t xml:space="preserve">自负。</w:t>
      </w:r>
      <w:r>
        <w:rPr>
          <w:rFonts w:ascii="仿宋" w:eastAsia="仿宋" w:hAnsi="仿宋" w:hint="eastAsia"/>
          <w:color w:val="000000"/>
          <w:sz w:val="24"/>
        </w:rPr>
        <w:t xml:space="preserve">投标人应充分考虑到网络环境、网络带宽等风险因素，如因投标人自身原因造成的电子投标文件上传不成功的按照本招标文件第二章第27.1.2条规定作无效投标处理。</w:t>
      </w:r>
    </w:p>
    <w:p>
      <w:pPr>
        <w:spacing w:line="360" w:lineRule="auto"/>
        <w:ind w:firstLine="560"/>
        <w:rPr>
          <w:rFonts w:ascii="仿宋" w:eastAsia="仿宋" w:hAnsi="仿宋"/>
          <w:sz w:val="24"/>
        </w:rPr>
      </w:pPr>
      <w:r>
        <w:rPr>
          <w:rFonts w:ascii="仿宋" w:eastAsia="仿宋" w:hAnsi="仿宋" w:hint="eastAsia"/>
          <w:sz w:val="24"/>
        </w:rPr>
        <w:t xml:space="preserve">19.3投标人上传电子投标文件的时间不得迟于投标邀请中规定的截止时间。</w:t>
      </w:r>
    </w:p>
    <w:p>
      <w:pPr>
        <w:spacing w:line="360" w:lineRule="auto"/>
        <w:ind w:firstLine="560"/>
        <w:rPr>
          <w:rFonts w:ascii="仿宋" w:eastAsia="仿宋" w:hAnsi="仿宋" w:hint="eastAsia"/>
          <w:sz w:val="24"/>
        </w:rPr>
      </w:pPr>
      <w:r>
        <w:rPr>
          <w:rFonts w:ascii="仿宋" w:eastAsia="仿宋" w:hAnsi="仿宋" w:hint="eastAsia"/>
          <w:sz w:val="24"/>
        </w:rPr>
        <w:t xml:space="preserve">19.4淮阴分中心可以按第8条规定，通过修改招标文件有权酌情延长投标文件接收截止时间。在此情况下，投标人的所有权利和义务以及投标人受制约的截止日期均应以延长后新的截止日期为准。</w:t>
      </w:r>
    </w:p>
    <w:p>
      <w:pPr>
        <w:spacing w:line="360" w:lineRule="auto"/>
        <w:rPr>
          <w:rFonts w:ascii="仿宋" w:eastAsia="仿宋" w:hAnsi="仿宋"/>
          <w:sz w:val="24"/>
        </w:rPr>
      </w:pPr>
      <w:r>
        <w:rPr>
          <w:rFonts w:ascii="仿宋" w:eastAsia="仿宋" w:hAnsi="仿宋" w:hint="eastAsia"/>
          <w:sz w:val="24"/>
        </w:rPr>
        <w:t xml:space="preserve">20.投标文件被拒绝接收的情形</w:t>
      </w:r>
    </w:p>
    <w:p>
      <w:pPr>
        <w:spacing w:line="360" w:lineRule="auto"/>
        <w:ind w:firstLine="560"/>
        <w:rPr>
          <w:rFonts w:ascii="仿宋" w:eastAsia="仿宋" w:hAnsi="仿宋"/>
          <w:sz w:val="24"/>
        </w:rPr>
      </w:pPr>
      <w:r>
        <w:rPr>
          <w:rFonts w:ascii="仿宋" w:eastAsia="仿宋" w:hAnsi="仿宋" w:hint="eastAsia"/>
          <w:sz w:val="24"/>
        </w:rPr>
        <w:t xml:space="preserve">20.1在招标文件规定的提交投标文件截止时间后上传的电子投标文件。</w:t>
      </w:r>
    </w:p>
    <w:p>
      <w:pPr>
        <w:spacing w:line="360" w:lineRule="auto"/>
        <w:rPr>
          <w:rFonts w:ascii="仿宋" w:eastAsia="仿宋" w:hAnsi="仿宋"/>
          <w:b/>
          <w:sz w:val="24"/>
        </w:rPr>
      </w:pPr>
      <w:r>
        <w:rPr>
          <w:rFonts w:ascii="仿宋" w:eastAsia="仿宋" w:hAnsi="仿宋" w:hint="eastAsia"/>
          <w:sz w:val="24"/>
        </w:rPr>
        <w:t xml:space="preserve">21.投标文件的修改和撤回</w:t>
      </w:r>
    </w:p>
    <w:p>
      <w:pPr>
        <w:spacing w:line="360" w:lineRule="auto"/>
        <w:ind w:firstLine="560"/>
        <w:rPr>
          <w:rFonts w:ascii="仿宋" w:eastAsia="仿宋" w:hAnsi="仿宋"/>
          <w:color w:val="FF0000"/>
          <w:sz w:val="24"/>
        </w:rPr>
      </w:pPr>
      <w:r>
        <w:rPr>
          <w:rFonts w:ascii="仿宋" w:eastAsia="仿宋" w:hAnsi="仿宋" w:hint="eastAsia"/>
          <w:sz w:val="24"/>
        </w:rPr>
        <w:t xml:space="preserve">21.1投标人在上传电子投标文件后可以对其修改或撤回，但这种修改和撤回，必须在规定的开标时间之前，具体操作方法见《操作手册》。</w:t>
      </w:r>
    </w:p>
    <w:p>
      <w:pPr>
        <w:spacing w:line="360" w:lineRule="auto"/>
        <w:ind w:firstLine="560"/>
        <w:rPr>
          <w:rFonts w:ascii="仿宋" w:eastAsia="仿宋" w:hAnsi="仿宋"/>
          <w:sz w:val="24"/>
        </w:rPr>
      </w:pPr>
      <w:r>
        <w:rPr>
          <w:rFonts w:ascii="仿宋" w:eastAsia="仿宋" w:hAnsi="仿宋" w:hint="eastAsia"/>
          <w:sz w:val="24"/>
        </w:rPr>
        <w:t xml:space="preserve">21.2投标人不得在开标时间以后修改电子投标文件。</w:t>
      </w:r>
    </w:p>
    <w:p>
      <w:pPr>
        <w:spacing w:line="360" w:lineRule="auto"/>
        <w:ind w:firstLine="560"/>
        <w:rPr>
          <w:rFonts w:ascii="仿宋" w:eastAsia="仿宋" w:hAnsi="仿宋"/>
          <w:sz w:val="24"/>
        </w:rPr>
      </w:pPr>
      <w:r>
        <w:rPr>
          <w:rFonts w:ascii="仿宋" w:eastAsia="仿宋" w:hAnsi="仿宋" w:hint="eastAsia"/>
          <w:sz w:val="24"/>
        </w:rPr>
        <w:t xml:space="preserve">21.3投标人不得在提交电子投标文件截止时间起至投标有效期满前撤回电子投标文件。</w:t>
      </w:r>
    </w:p>
    <w:p>
      <w:pPr>
        <w:spacing w:line="360" w:lineRule="auto"/>
        <w:rPr>
          <w:rFonts w:ascii="仿宋" w:eastAsia="仿宋" w:hAnsi="仿宋"/>
          <w:b/>
          <w:sz w:val="32"/>
          <w:szCs w:val="32"/>
        </w:rPr>
      </w:pPr>
      <w:r>
        <w:rPr>
          <w:rFonts w:ascii="仿宋" w:eastAsia="仿宋" w:hAnsi="仿宋" w:hint="eastAsia"/>
          <w:b/>
          <w:sz w:val="32"/>
          <w:szCs w:val="32"/>
        </w:rPr>
        <w:t xml:space="preserve">五、开标及评标</w:t>
      </w:r>
    </w:p>
    <w:p>
      <w:pPr>
        <w:spacing w:line="360" w:lineRule="auto"/>
        <w:rPr>
          <w:rFonts w:ascii="仿宋" w:eastAsia="仿宋" w:hAnsi="仿宋"/>
          <w:sz w:val="24"/>
        </w:rPr>
      </w:pPr>
      <w:r>
        <w:rPr>
          <w:rFonts w:ascii="仿宋" w:eastAsia="仿宋" w:hAnsi="仿宋" w:hint="eastAsia"/>
          <w:sz w:val="24"/>
        </w:rPr>
        <w:t xml:space="preserve">22.开标</w:t>
      </w:r>
    </w:p>
    <w:p>
      <w:pPr>
        <w:spacing w:line="360" w:lineRule="auto"/>
        <w:ind w:firstLine="560"/>
        <w:rPr>
          <w:rFonts w:ascii="仿宋" w:eastAsia="仿宋" w:hAnsi="仿宋"/>
          <w:sz w:val="24"/>
        </w:rPr>
      </w:pPr>
      <w:r>
        <w:rPr>
          <w:rFonts w:ascii="仿宋" w:eastAsia="仿宋" w:hAnsi="仿宋" w:hint="eastAsia"/>
          <w:sz w:val="24"/>
        </w:rPr>
        <w:t xml:space="preserve">22.1 淮阴分中心将在招标公告中规定的时间和地点组织公开开标。投标人应当按照《操作手册》规定，</w:t>
      </w:r>
      <w:r>
        <w:rPr>
          <w:rFonts w:ascii="仿宋" w:eastAsia="仿宋" w:hAnsi="仿宋"/>
          <w:sz w:val="24"/>
        </w:rPr>
        <w:t xml:space="preserve">参加开标活动</w:t>
      </w:r>
      <w:r>
        <w:rPr>
          <w:rFonts w:ascii="仿宋" w:eastAsia="仿宋" w:hAnsi="仿宋" w:hint="eastAsia"/>
          <w:sz w:val="24"/>
        </w:rPr>
        <w:t xml:space="preserve">和在苏采云系统规定的时间内对投标文件进行解密。</w:t>
      </w:r>
    </w:p>
    <w:p>
      <w:pPr>
        <w:spacing w:line="360" w:lineRule="auto"/>
        <w:ind w:firstLine="560"/>
        <w:rPr>
          <w:rFonts w:ascii="仿宋" w:eastAsia="仿宋" w:hAnsi="仿宋"/>
          <w:sz w:val="24"/>
        </w:rPr>
      </w:pPr>
      <w:r>
        <w:rPr>
          <w:rFonts w:ascii="仿宋" w:eastAsia="仿宋" w:hAnsi="仿宋" w:hint="eastAsia"/>
          <w:sz w:val="24"/>
        </w:rPr>
        <w:t xml:space="preserve">22.2开标仪式由淮阴分中心组织。苏采云系统将自动对</w:t>
      </w:r>
      <w:r>
        <w:rPr>
          <w:rFonts w:ascii="仿宋" w:eastAsia="仿宋" w:hAnsi="仿宋"/>
          <w:sz w:val="24"/>
        </w:rPr>
        <w:t xml:space="preserve">项目进行开标，</w:t>
      </w:r>
      <w:r>
        <w:rPr>
          <w:rFonts w:ascii="仿宋" w:eastAsia="仿宋" w:hAnsi="仿宋" w:hint="eastAsia"/>
          <w:sz w:val="24"/>
        </w:rPr>
        <w:t xml:space="preserve">并宣布各投标人名称和投标价格。</w:t>
      </w:r>
    </w:p>
    <w:p>
      <w:pPr>
        <w:spacing w:line="360" w:lineRule="auto"/>
        <w:ind w:firstLine="560"/>
        <w:rPr>
          <w:rFonts w:ascii="仿宋" w:eastAsia="仿宋" w:hAnsi="仿宋"/>
          <w:sz w:val="24"/>
        </w:rPr>
      </w:pPr>
      <w:r>
        <w:rPr>
          <w:rFonts w:ascii="仿宋" w:eastAsia="仿宋" w:hAnsi="仿宋" w:hint="eastAsia"/>
          <w:sz w:val="24"/>
        </w:rPr>
        <w:t xml:space="preserve">22.3投标人在开标过程中涉及到的投标文件解密、开标结果确认等工作，应按照《操作手册》规定执行。</w:t>
      </w:r>
    </w:p>
    <w:p>
      <w:pPr>
        <w:spacing w:line="360" w:lineRule="auto"/>
        <w:ind w:firstLine="560"/>
        <w:rPr>
          <w:rFonts w:ascii="仿宋" w:eastAsia="仿宋" w:hAnsi="仿宋"/>
          <w:sz w:val="24"/>
        </w:rPr>
      </w:pPr>
      <w:r>
        <w:rPr>
          <w:rFonts w:ascii="仿宋" w:eastAsia="仿宋" w:hAnsi="仿宋" w:hint="eastAsia"/>
          <w:sz w:val="24"/>
        </w:rPr>
        <w:t xml:space="preserve">22.4投标人如果对开标过程和开标记录有疑义，应当根据《操作手册》规定提出，如苏采云系统中《开标记录表》宣布后5分钟内未提出的，视同认可开标结果。</w:t>
      </w:r>
    </w:p>
    <w:p>
      <w:pPr>
        <w:spacing w:line="360" w:lineRule="auto"/>
        <w:rPr>
          <w:rFonts w:ascii="仿宋" w:eastAsia="仿宋" w:hAnsi="仿宋"/>
          <w:sz w:val="24"/>
        </w:rPr>
      </w:pPr>
      <w:bookmarkStart w:id="16" w:name="_Toc16938547"/>
      <w:bookmarkStart w:id="17" w:name="_Toc20823303"/>
      <w:bookmarkStart w:id="18" w:name="_Toc513029231"/>
      <w:r>
        <w:rPr>
          <w:rFonts w:ascii="仿宋" w:eastAsia="仿宋" w:hAnsi="仿宋" w:hint="eastAsia"/>
          <w:sz w:val="24"/>
        </w:rPr>
        <w:t xml:space="preserve">23.评标委员会</w:t>
      </w:r>
    </w:p>
    <w:p>
      <w:pPr>
        <w:spacing w:line="360" w:lineRule="auto"/>
        <w:ind w:firstLine="480"/>
        <w:rPr>
          <w:rFonts w:ascii="仿宋" w:eastAsia="仿宋" w:hAnsi="仿宋"/>
          <w:sz w:val="24"/>
        </w:rPr>
      </w:pPr>
      <w:r>
        <w:rPr>
          <w:rFonts w:ascii="仿宋" w:eastAsia="仿宋" w:hAnsi="仿宋" w:hint="eastAsia"/>
          <w:sz w:val="24"/>
        </w:rPr>
        <w:t xml:space="preserve">23.1开标后，淮阴分中心将立即组织评标委员会（以下简称评委会）进行评标。</w:t>
      </w:r>
    </w:p>
    <w:p>
      <w:pPr>
        <w:spacing w:line="360" w:lineRule="auto"/>
        <w:rPr>
          <w:rFonts w:ascii="仿宋" w:eastAsia="仿宋" w:hAnsi="仿宋"/>
          <w:sz w:val="24"/>
        </w:rPr>
      </w:pPr>
      <w:r>
        <w:rPr>
          <w:rFonts w:ascii="仿宋" w:eastAsia="仿宋" w:hAnsi="仿宋" w:hint="eastAsia"/>
          <w:sz w:val="24"/>
        </w:rPr>
        <w:t xml:space="preserve">    23.2 评委会由采购人代表和有关技术、经济等方面的专家组成，且人员构成符合政府采购有关规定。</w:t>
      </w:r>
    </w:p>
    <w:p>
      <w:pPr>
        <w:spacing w:line="360" w:lineRule="auto"/>
        <w:ind w:firstLine="280"/>
        <w:rPr>
          <w:rFonts w:ascii="仿宋" w:eastAsia="仿宋" w:hAnsi="仿宋"/>
          <w:sz w:val="24"/>
        </w:rPr>
      </w:pPr>
      <w:r>
        <w:rPr>
          <w:rFonts w:ascii="仿宋" w:eastAsia="仿宋" w:hAnsi="仿宋" w:hint="eastAsia"/>
          <w:sz w:val="24"/>
        </w:rPr>
        <w:t xml:space="preserve">  23.3评委会独立工作，负责评审所有投标文件并确定中标候选人。</w:t>
      </w:r>
    </w:p>
    <w:p>
      <w:pPr>
        <w:spacing w:line="360" w:lineRule="auto"/>
        <w:rPr>
          <w:rFonts w:ascii="仿宋" w:eastAsia="仿宋" w:hAnsi="仿宋"/>
          <w:sz w:val="24"/>
        </w:rPr>
      </w:pPr>
      <w:r>
        <w:rPr>
          <w:rFonts w:ascii="仿宋" w:eastAsia="仿宋" w:hAnsi="仿宋" w:hint="eastAsia"/>
          <w:sz w:val="24"/>
        </w:rPr>
        <w:t xml:space="preserve">24．评标过程的保密与公正</w:t>
      </w:r>
      <w:bookmarkEnd w:id="16"/>
      <w:bookmarkEnd w:id="17"/>
      <w:bookmarkEnd w:id="18"/>
    </w:p>
    <w:p>
      <w:pPr>
        <w:spacing w:line="360" w:lineRule="auto"/>
        <w:ind w:firstLine="560"/>
        <w:rPr>
          <w:rFonts w:ascii="仿宋" w:eastAsia="仿宋" w:hAnsi="仿宋"/>
          <w:sz w:val="24"/>
        </w:rPr>
      </w:pPr>
      <w:r>
        <w:rPr>
          <w:rFonts w:ascii="仿宋" w:eastAsia="仿宋" w:hAnsi="仿宋" w:hint="eastAsia"/>
          <w:sz w:val="24"/>
        </w:rPr>
        <w:t xml:space="preserve">24.1凡是与审查、澄清、评价和比较投标的有关资料以及授标建议等，采购人、评委、淮阴分中心均不得向投标人或与评标无关的其他人员透露。</w:t>
      </w:r>
    </w:p>
    <w:p>
      <w:pPr>
        <w:spacing w:line="360" w:lineRule="auto"/>
        <w:ind w:firstLine="560"/>
        <w:rPr>
          <w:rFonts w:ascii="仿宋" w:eastAsia="仿宋" w:hAnsi="仿宋"/>
          <w:sz w:val="24"/>
        </w:rPr>
      </w:pPr>
      <w:r>
        <w:rPr>
          <w:rFonts w:ascii="仿宋" w:eastAsia="仿宋" w:hAnsi="仿宋" w:hint="eastAsia"/>
          <w:sz w:val="24"/>
        </w:rPr>
        <w:t xml:space="preserve">24.2在评标过程中，投标人不得以任何行为影响评标过程，否则其投标文件将被作为无效投标文件。</w:t>
      </w:r>
    </w:p>
    <w:p>
      <w:pPr>
        <w:spacing w:line="360" w:lineRule="auto"/>
        <w:ind w:firstLine="560"/>
        <w:rPr>
          <w:rFonts w:ascii="仿宋" w:eastAsia="仿宋" w:hAnsi="仿宋"/>
          <w:sz w:val="24"/>
        </w:rPr>
      </w:pPr>
      <w:r>
        <w:rPr>
          <w:rFonts w:ascii="仿宋" w:eastAsia="仿宋" w:hAnsi="仿宋"/>
          <w:sz w:val="24"/>
        </w:rPr>
        <w:t xml:space="preserve">2</w:t>
      </w:r>
      <w:r>
        <w:rPr>
          <w:rFonts w:ascii="仿宋" w:eastAsia="仿宋" w:hAnsi="仿宋" w:hint="eastAsia"/>
          <w:sz w:val="24"/>
        </w:rPr>
        <w:t xml:space="preserve">4.</w:t>
      </w:r>
      <w:r>
        <w:rPr>
          <w:rFonts w:ascii="仿宋" w:eastAsia="仿宋" w:hAnsi="仿宋"/>
          <w:sz w:val="24"/>
        </w:rPr>
        <w:t xml:space="preserve">3</w:t>
      </w:r>
      <w:r>
        <w:rPr>
          <w:rFonts w:ascii="仿宋" w:eastAsia="仿宋" w:hAnsi="仿宋" w:hint="eastAsia"/>
          <w:sz w:val="24"/>
        </w:rPr>
        <w:t xml:space="preserve">淮阴分中心和评标委员会不向未中标的投标人解释未中标原因，也不公布评标过程中的相关细节。</w:t>
      </w:r>
    </w:p>
    <w:p>
      <w:pPr>
        <w:spacing w:line="360" w:lineRule="auto"/>
        <w:ind w:firstLine="560"/>
        <w:rPr>
          <w:rFonts w:ascii="仿宋" w:eastAsia="仿宋" w:hAnsi="仿宋"/>
          <w:sz w:val="24"/>
        </w:rPr>
      </w:pPr>
      <w:r>
        <w:rPr>
          <w:rFonts w:ascii="仿宋" w:eastAsia="仿宋" w:hAnsi="仿宋" w:hint="eastAsia"/>
          <w:sz w:val="24"/>
        </w:rPr>
        <w:t xml:space="preserve">24.</w:t>
      </w:r>
      <w:r>
        <w:rPr>
          <w:rFonts w:ascii="仿宋" w:eastAsia="仿宋" w:hAnsi="仿宋"/>
          <w:sz w:val="24"/>
        </w:rPr>
        <w:t xml:space="preserve">4</w:t>
      </w:r>
      <w:r>
        <w:rPr>
          <w:rFonts w:ascii="仿宋" w:eastAsia="仿宋" w:hAnsi="仿宋" w:hint="eastAsia"/>
          <w:sz w:val="24"/>
        </w:rPr>
        <w:t xml:space="preserve"> 采用综合评分法的项目，未中标的投标人可于中标结果公告期限届满之日起通过苏采云系统查看自己的评审得分及排序情况。</w:t>
      </w:r>
    </w:p>
    <w:p>
      <w:pPr>
        <w:spacing w:line="360" w:lineRule="auto"/>
        <w:rPr>
          <w:rFonts w:ascii="仿宋" w:eastAsia="仿宋" w:hAnsi="仿宋"/>
          <w:sz w:val="24"/>
        </w:rPr>
      </w:pPr>
      <w:bookmarkStart w:id="19" w:name="_Toc513029232"/>
      <w:bookmarkStart w:id="20" w:name="_Toc20823304"/>
      <w:bookmarkStart w:id="21" w:name="_Toc16938548"/>
      <w:r>
        <w:rPr>
          <w:rFonts w:ascii="仿宋" w:eastAsia="仿宋" w:hAnsi="仿宋" w:hint="eastAsia"/>
          <w:sz w:val="24"/>
        </w:rPr>
        <w:t xml:space="preserve">25．投标文件的澄清</w:t>
      </w:r>
      <w:bookmarkEnd w:id="19"/>
      <w:bookmarkEnd w:id="20"/>
      <w:bookmarkEnd w:id="21"/>
    </w:p>
    <w:p>
      <w:pPr>
        <w:spacing w:line="360" w:lineRule="auto"/>
        <w:ind w:firstLine="560"/>
        <w:rPr>
          <w:rFonts w:ascii="仿宋" w:eastAsia="仿宋" w:hAnsi="仿宋"/>
          <w:sz w:val="24"/>
        </w:rPr>
      </w:pPr>
      <w:bookmarkStart w:id="22" w:name="_Toc513029233"/>
      <w:bookmarkStart w:id="23" w:name="_Toc20823305"/>
      <w:bookmarkStart w:id="24" w:name="_Toc16938549"/>
      <w:r>
        <w:rPr>
          <w:rFonts w:ascii="仿宋" w:eastAsia="仿宋" w:hAnsi="仿宋"/>
          <w:sz w:val="24"/>
        </w:rPr>
        <w:t xml:space="preserve">2</w:t>
      </w:r>
      <w:r>
        <w:rPr>
          <w:rFonts w:ascii="仿宋" w:eastAsia="仿宋" w:hAnsi="仿宋" w:hint="eastAsia"/>
          <w:sz w:val="24"/>
        </w:rPr>
        <w:t xml:space="preserve">5.</w:t>
      </w:r>
      <w:r>
        <w:rPr>
          <w:rFonts w:ascii="仿宋" w:eastAsia="仿宋" w:hAnsi="仿宋"/>
          <w:sz w:val="24"/>
        </w:rPr>
        <w:t xml:space="preserve">1</w:t>
      </w:r>
      <w:r>
        <w:rPr>
          <w:rFonts w:ascii="仿宋" w:eastAsia="仿宋" w:hAnsi="仿宋" w:hint="eastAsia"/>
          <w:sz w:val="24"/>
        </w:rPr>
        <w:t xml:space="preserve">评标期间，评委会对投标文件中含义不明确、同类问题表述不一致或者有明显文字和计算错误的内容，有权要求投标人作出必要的澄清、说明或者补正。</w:t>
      </w:r>
    </w:p>
    <w:p>
      <w:pPr>
        <w:spacing w:line="360" w:lineRule="auto"/>
        <w:ind w:firstLine="560"/>
        <w:rPr>
          <w:rFonts w:ascii="仿宋" w:eastAsia="仿宋" w:hAnsi="仿宋"/>
          <w:sz w:val="24"/>
        </w:rPr>
      </w:pPr>
      <w:r>
        <w:rPr>
          <w:rFonts w:ascii="仿宋" w:eastAsia="仿宋" w:hAnsi="仿宋" w:hint="eastAsia"/>
          <w:sz w:val="24"/>
        </w:rPr>
        <w:t xml:space="preserve">投标人的澄清、说明或者补正不得超出投标文件的范围或者改变投标文件的实质性内容。</w:t>
      </w:r>
    </w:p>
    <w:p>
      <w:pPr>
        <w:spacing w:line="360" w:lineRule="auto"/>
        <w:ind w:firstLine="560"/>
        <w:rPr>
          <w:rFonts w:ascii="仿宋" w:eastAsia="仿宋" w:hAnsi="仿宋"/>
          <w:sz w:val="24"/>
        </w:rPr>
      </w:pPr>
      <w:r>
        <w:rPr>
          <w:rFonts w:ascii="仿宋" w:eastAsia="仿宋" w:hAnsi="仿宋" w:hint="eastAsia"/>
          <w:sz w:val="24"/>
        </w:rPr>
        <w:t xml:space="preserve">评标</w:t>
      </w:r>
      <w:r>
        <w:rPr>
          <w:rFonts w:ascii="仿宋" w:eastAsia="仿宋" w:hAnsi="仿宋"/>
          <w:sz w:val="24"/>
        </w:rPr>
        <w:t xml:space="preserve">委员会并非对每个投标人都做澄清要求</w:t>
      </w:r>
      <w:r>
        <w:rPr>
          <w:rFonts w:ascii="仿宋" w:eastAsia="仿宋" w:hAnsi="仿宋" w:hint="eastAsia"/>
          <w:sz w:val="24"/>
        </w:rPr>
        <w:t xml:space="preserve">。</w:t>
      </w:r>
    </w:p>
    <w:p>
      <w:pPr>
        <w:spacing w:line="360" w:lineRule="auto"/>
        <w:ind w:firstLine="560"/>
        <w:rPr>
          <w:rFonts w:ascii="仿宋" w:eastAsia="仿宋" w:hAnsi="仿宋"/>
          <w:sz w:val="24"/>
        </w:rPr>
      </w:pPr>
      <w:r>
        <w:rPr>
          <w:rFonts w:ascii="仿宋" w:eastAsia="仿宋" w:hAnsi="仿宋" w:hint="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360" w:lineRule="auto"/>
        <w:ind w:firstLine="560"/>
        <w:rPr>
          <w:rFonts w:ascii="仿宋" w:eastAsia="仿宋" w:hAnsi="仿宋"/>
          <w:sz w:val="24"/>
        </w:rPr>
      </w:pPr>
      <w:r>
        <w:rPr>
          <w:rFonts w:ascii="仿宋" w:eastAsia="仿宋" w:hAnsi="仿宋" w:hint="eastAsia"/>
          <w:sz w:val="24"/>
        </w:rPr>
        <w:t xml:space="preserve">25.3 接到评委会澄清、说明和补正要求的投标人如未按规定做出澄清、说明和补正，其风险由投标人自行承担。</w:t>
      </w:r>
    </w:p>
    <w:p>
      <w:pPr>
        <w:spacing w:line="360" w:lineRule="auto"/>
        <w:rPr>
          <w:rFonts w:ascii="仿宋" w:eastAsia="仿宋" w:hAnsi="仿宋"/>
          <w:sz w:val="24"/>
        </w:rPr>
      </w:pPr>
      <w:r>
        <w:rPr>
          <w:rFonts w:ascii="仿宋" w:eastAsia="仿宋" w:hAnsi="仿宋" w:hint="eastAsia"/>
          <w:sz w:val="24"/>
        </w:rPr>
        <w:t xml:space="preserve">26.对投标文件的初审</w:t>
      </w:r>
      <w:bookmarkEnd w:id="22"/>
      <w:bookmarkEnd w:id="23"/>
      <w:bookmarkEnd w:id="24"/>
    </w:p>
    <w:p>
      <w:pPr>
        <w:spacing w:line="360" w:lineRule="auto"/>
        <w:ind w:firstLine="560"/>
        <w:rPr>
          <w:rFonts w:ascii="仿宋" w:eastAsia="仿宋" w:hAnsi="仿宋"/>
          <w:sz w:val="24"/>
        </w:rPr>
      </w:pPr>
      <w:r>
        <w:rPr>
          <w:rFonts w:ascii="仿宋" w:eastAsia="仿宋" w:hAnsi="仿宋" w:hint="eastAsia"/>
          <w:sz w:val="24"/>
        </w:rPr>
        <w:t xml:space="preserve">26.1投标文件初审分为资格审查和符合性审查。</w:t>
      </w:r>
    </w:p>
    <w:p>
      <w:pPr>
        <w:spacing w:line="360" w:lineRule="auto"/>
        <w:ind w:firstLine="560"/>
        <w:rPr>
          <w:rFonts w:ascii="仿宋" w:eastAsia="仿宋" w:hAnsi="仿宋"/>
          <w:sz w:val="24"/>
        </w:rPr>
      </w:pPr>
      <w:r>
        <w:rPr>
          <w:rFonts w:ascii="仿宋" w:eastAsia="仿宋" w:hAnsi="仿宋" w:hint="eastAsia"/>
          <w:sz w:val="24"/>
        </w:rPr>
        <w:t xml:space="preserve">26.1.1 资格审查：依据法律法规和招标文件的规定，由采购人对投标文件中的资格证明文件进行审查。资格审查的结论，采购人以书面形式向评委会进行反馈。</w:t>
      </w:r>
    </w:p>
    <w:p>
      <w:pPr>
        <w:spacing w:line="360" w:lineRule="auto"/>
        <w:ind w:firstLine="560"/>
        <w:rPr>
          <w:rFonts w:ascii="仿宋" w:eastAsia="仿宋" w:hAnsi="仿宋"/>
          <w:sz w:val="24"/>
        </w:rPr>
      </w:pPr>
      <w:r>
        <w:rPr>
          <w:rFonts w:ascii="仿宋" w:eastAsia="仿宋" w:hAnsi="仿宋" w:hint="eastAsia"/>
          <w:sz w:val="24"/>
        </w:rPr>
        <w:t xml:space="preserve">采购人在进行资格性审查的同时，将在“信用中国”网站（www.creditchina.gov.cn）查询投标人的信用记录，以确定投标人是否具备投标资格,查询结果留存并归档。</w:t>
      </w:r>
    </w:p>
    <w:p>
      <w:pPr>
        <w:spacing w:line="360" w:lineRule="auto"/>
        <w:ind w:firstLine="560"/>
        <w:rPr>
          <w:rFonts w:ascii="仿宋" w:eastAsia="仿宋" w:hAnsi="仿宋"/>
          <w:sz w:val="24"/>
        </w:rPr>
      </w:pPr>
      <w:r>
        <w:rPr>
          <w:rFonts w:ascii="仿宋" w:eastAsia="仿宋" w:hAnsi="仿宋" w:hint="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360" w:lineRule="auto"/>
        <w:ind w:firstLine="560"/>
        <w:rPr>
          <w:rFonts w:ascii="仿宋" w:eastAsia="仿宋" w:hAnsi="仿宋"/>
          <w:sz w:val="24"/>
        </w:rPr>
      </w:pPr>
      <w:r>
        <w:rPr>
          <w:rFonts w:ascii="仿宋" w:eastAsia="仿宋" w:hAnsi="仿宋" w:hint="eastAsia"/>
          <w:sz w:val="24"/>
        </w:rPr>
        <w:t xml:space="preserve">26.1.2 符合性审查：依据招标文件的规定，由评委会从投标文件的有效性、完整性和对招标文件的响应程度进行审查，以确定是否对招标文件的实质性要求作出响应。</w:t>
      </w:r>
    </w:p>
    <w:p>
      <w:pPr>
        <w:spacing w:line="360" w:lineRule="auto"/>
        <w:ind w:firstLine="560"/>
        <w:rPr>
          <w:rFonts w:ascii="仿宋" w:eastAsia="仿宋" w:hAnsi="仿宋"/>
          <w:sz w:val="24"/>
        </w:rPr>
      </w:pPr>
      <w:r>
        <w:rPr>
          <w:rFonts w:ascii="仿宋" w:eastAsia="仿宋" w:hAnsi="仿宋" w:hint="eastAsia"/>
          <w:sz w:val="24"/>
        </w:rPr>
        <w:t xml:space="preserve">26.1.3 未通过资格审查或符合性审查的投标人，淮阴分中心将在苏采云系统中告知未通过资格审查或符合性审查的原因，评审结束后，淮阴分中心将不再告知未通过资格审查或符合性审查的原因。</w:t>
      </w:r>
    </w:p>
    <w:p>
      <w:pPr>
        <w:spacing w:line="360" w:lineRule="auto"/>
        <w:ind w:firstLine="560"/>
        <w:rPr>
          <w:rFonts w:ascii="仿宋" w:eastAsia="仿宋" w:hAnsi="仿宋"/>
          <w:sz w:val="24"/>
        </w:rPr>
      </w:pPr>
      <w:r>
        <w:rPr>
          <w:rFonts w:ascii="仿宋" w:eastAsia="仿宋" w:hAnsi="仿宋"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p>
    <w:p>
      <w:pPr>
        <w:spacing w:line="360" w:lineRule="auto"/>
        <w:ind w:firstLine="560"/>
        <w:rPr>
          <w:rFonts w:ascii="仿宋" w:eastAsia="仿宋" w:hAnsi="仿宋"/>
          <w:sz w:val="24"/>
        </w:rPr>
      </w:pPr>
      <w:r>
        <w:rPr>
          <w:rFonts w:ascii="仿宋" w:eastAsia="仿宋" w:hAnsi="仿宋" w:hint="eastAsia"/>
          <w:sz w:val="24"/>
        </w:rPr>
        <w:t xml:space="preserve">所谓重大偏离或保留是指与招标文件规定的实质性要求存在负偏离，或者在实质上与招标文件不一致，而且限制了合同中买方和淮阴分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360" w:lineRule="auto"/>
        <w:ind w:firstLine="560"/>
        <w:rPr>
          <w:rFonts w:ascii="仿宋" w:eastAsia="仿宋" w:hAnsi="仿宋"/>
          <w:sz w:val="24"/>
        </w:rPr>
      </w:pPr>
      <w:r>
        <w:rPr>
          <w:rFonts w:ascii="仿宋" w:eastAsia="仿宋" w:hAnsi="仿宋" w:hint="eastAsia"/>
          <w:sz w:val="24"/>
        </w:rPr>
        <w:t xml:space="preserve">26.3如果投标文件实质上没有响应招标文件的要求，评委会将予以拒绝，投标人不得通过修改或撤销不合要求的偏离或保留而使其投标成为实质性响应的投标。</w:t>
      </w:r>
    </w:p>
    <w:p>
      <w:pPr>
        <w:spacing w:line="360" w:lineRule="auto"/>
        <w:ind w:firstLine="560"/>
        <w:rPr>
          <w:rFonts w:ascii="仿宋" w:eastAsia="仿宋" w:hAnsi="仿宋"/>
          <w:sz w:val="24"/>
        </w:rPr>
      </w:pPr>
      <w:r>
        <w:rPr>
          <w:rFonts w:ascii="仿宋" w:eastAsia="仿宋" w:hAnsi="仿宋" w:hint="eastAsia"/>
          <w:sz w:val="24"/>
        </w:rPr>
        <w:t xml:space="preserve">26.4评委会将对确定为实质性响应的投标进行进一步审核，看其是否有计算上或累加上的算术错误，修正错误的原则如下：</w:t>
      </w:r>
    </w:p>
    <w:p>
      <w:pPr>
        <w:spacing w:line="360" w:lineRule="auto"/>
        <w:ind w:firstLine="560"/>
        <w:rPr>
          <w:rFonts w:ascii="仿宋" w:eastAsia="仿宋" w:hAnsi="仿宋"/>
          <w:sz w:val="24"/>
        </w:rPr>
      </w:pPr>
      <w:r>
        <w:rPr>
          <w:rFonts w:ascii="仿宋" w:eastAsia="仿宋" w:hAnsi="仿宋" w:hint="eastAsia"/>
          <w:sz w:val="24"/>
        </w:rPr>
        <w:t xml:space="preserve">（1）投标文件中开标一览表内容与投标文件中相应内容不一致的，以开标一览表为准。</w:t>
      </w:r>
    </w:p>
    <w:p>
      <w:pPr>
        <w:spacing w:line="360" w:lineRule="auto"/>
        <w:ind w:firstLine="560"/>
        <w:rPr>
          <w:rFonts w:ascii="仿宋" w:eastAsia="仿宋" w:hAnsi="仿宋"/>
          <w:sz w:val="24"/>
        </w:rPr>
      </w:pPr>
      <w:r>
        <w:rPr>
          <w:rFonts w:ascii="仿宋" w:eastAsia="仿宋" w:hAnsi="仿宋" w:hint="eastAsia"/>
          <w:sz w:val="24"/>
        </w:rPr>
        <w:t xml:space="preserve">（2）大写金额和小写金额不一致的，以大写金额为准。</w:t>
      </w:r>
    </w:p>
    <w:p>
      <w:pPr>
        <w:spacing w:line="360" w:lineRule="auto"/>
        <w:ind w:firstLine="560"/>
        <w:rPr>
          <w:rFonts w:ascii="仿宋" w:eastAsia="仿宋" w:hAnsi="仿宋"/>
          <w:sz w:val="24"/>
        </w:rPr>
      </w:pPr>
      <w:r>
        <w:rPr>
          <w:rFonts w:ascii="仿宋" w:eastAsia="仿宋" w:hAnsi="仿宋" w:hint="eastAsia"/>
          <w:sz w:val="24"/>
        </w:rPr>
        <w:t xml:space="preserve">（3）单价金额小数点或者百分比有明显错位的，以开标一览表的总价为准，并修改单价。</w:t>
      </w:r>
    </w:p>
    <w:p>
      <w:pPr>
        <w:spacing w:line="360" w:lineRule="auto"/>
        <w:ind w:firstLine="560"/>
        <w:rPr>
          <w:rFonts w:ascii="仿宋" w:eastAsia="仿宋" w:hAnsi="仿宋"/>
          <w:sz w:val="24"/>
        </w:rPr>
      </w:pPr>
      <w:r>
        <w:rPr>
          <w:rFonts w:ascii="仿宋" w:eastAsia="仿宋" w:hAnsi="仿宋" w:hint="eastAsia"/>
          <w:sz w:val="24"/>
        </w:rPr>
        <w:t xml:space="preserve">（4）总价金额与按单价汇总金额不一致的，以单价金额计算结果为准。</w:t>
      </w:r>
    </w:p>
    <w:p>
      <w:pPr>
        <w:spacing w:line="360" w:lineRule="auto"/>
        <w:ind w:firstLine="560"/>
        <w:rPr>
          <w:rFonts w:ascii="仿宋" w:eastAsia="仿宋" w:hAnsi="仿宋"/>
          <w:sz w:val="24"/>
        </w:rPr>
      </w:pPr>
      <w:r>
        <w:rPr>
          <w:rFonts w:ascii="仿宋" w:eastAsia="仿宋" w:hAnsi="仿宋" w:hint="eastAsia"/>
          <w:sz w:val="24"/>
        </w:rPr>
        <w:t xml:space="preserve">同时出现两种以上错误的，按照前款规定的顺序修正。</w:t>
      </w:r>
    </w:p>
    <w:p>
      <w:pPr>
        <w:spacing w:line="360" w:lineRule="auto"/>
        <w:ind w:firstLine="560"/>
        <w:rPr>
          <w:rFonts w:ascii="仿宋" w:eastAsia="仿宋" w:hAnsi="仿宋"/>
          <w:sz w:val="24"/>
        </w:rPr>
      </w:pPr>
      <w:r>
        <w:rPr>
          <w:rFonts w:ascii="仿宋" w:eastAsia="仿宋" w:hAnsi="仿宋" w:hint="eastAsia"/>
          <w:sz w:val="24"/>
        </w:rPr>
        <w:t xml:space="preserve">26.5评委会将按上述修正错误的方法调整投标文件中的投标报价，并</w:t>
      </w:r>
      <w:r>
        <w:rPr>
          <w:rFonts w:ascii="仿宋" w:eastAsia="仿宋" w:hAnsi="仿宋"/>
          <w:sz w:val="24"/>
        </w:rPr>
        <w:t xml:space="preserve">通过</w:t>
      </w:r>
      <w:r>
        <w:rPr>
          <w:rFonts w:ascii="仿宋" w:eastAsia="仿宋" w:hAnsi="仿宋" w:hint="eastAsia"/>
          <w:sz w:val="24"/>
        </w:rPr>
        <w:t xml:space="preserve">苏采云系统告知</w:t>
      </w:r>
      <w:r>
        <w:rPr>
          <w:rFonts w:ascii="仿宋" w:eastAsia="仿宋" w:hAnsi="仿宋"/>
          <w:sz w:val="24"/>
        </w:rPr>
        <w:t xml:space="preserve">投标人，</w:t>
      </w:r>
      <w:r>
        <w:rPr>
          <w:rFonts w:ascii="仿宋" w:eastAsia="仿宋" w:hAnsi="仿宋" w:hint="eastAsia"/>
          <w:sz w:val="24"/>
        </w:rPr>
        <w:t xml:space="preserve">调整后的价格应对投标人具有约束力。如果投标人不接受修正后的价格，则其投标将被拒绝。</w:t>
      </w:r>
    </w:p>
    <w:p>
      <w:pPr>
        <w:spacing w:line="360" w:lineRule="auto"/>
        <w:ind w:firstLine="560"/>
        <w:rPr>
          <w:rFonts w:ascii="仿宋" w:eastAsia="仿宋" w:hAnsi="仿宋"/>
          <w:sz w:val="24"/>
        </w:rPr>
      </w:pPr>
      <w:bookmarkStart w:id="25" w:name="_Toc513029234"/>
      <w:bookmarkStart w:id="26" w:name="_Toc16938550"/>
      <w:bookmarkStart w:id="27" w:name="_Toc20823306"/>
      <w:r>
        <w:rPr>
          <w:rFonts w:ascii="仿宋" w:eastAsia="仿宋" w:hAnsi="仿宋" w:hint="eastAsia"/>
          <w:sz w:val="24"/>
        </w:rPr>
        <w:t xml:space="preserve">26.6</w:t>
      </w:r>
      <w:r>
        <w:rPr>
          <w:rFonts w:ascii="仿宋" w:eastAsia="仿宋" w:hAnsi="仿宋"/>
          <w:sz w:val="24"/>
        </w:rPr>
        <w:t xml:space="preserve">采用最低评标价法的采购项目，提供相同品牌产品的不同投标人参加同一合同项下投标的，以其中通过资格审查、符合性审查且报价最低的参加评标；报价相同的，由评标委员会</w:t>
      </w:r>
      <w:r>
        <w:rPr>
          <w:rFonts w:ascii="仿宋" w:eastAsia="仿宋" w:hAnsi="仿宋" w:hint="eastAsia"/>
          <w:sz w:val="24"/>
        </w:rPr>
        <w:t xml:space="preserve">按照招标文件规定的方式（招标文件未规定的通过</w:t>
      </w:r>
      <w:r>
        <w:rPr>
          <w:rFonts w:ascii="仿宋" w:eastAsia="仿宋" w:hAnsi="仿宋"/>
          <w:sz w:val="24"/>
        </w:rPr>
        <w:t xml:space="preserve">随机抽取</w:t>
      </w:r>
      <w:r>
        <w:rPr>
          <w:rFonts w:ascii="仿宋" w:eastAsia="仿宋" w:hAnsi="仿宋" w:hint="eastAsia"/>
          <w:sz w:val="24"/>
        </w:rPr>
        <w:t xml:space="preserve">的</w:t>
      </w:r>
      <w:r>
        <w:rPr>
          <w:rFonts w:ascii="仿宋" w:eastAsia="仿宋" w:hAnsi="仿宋"/>
          <w:sz w:val="24"/>
        </w:rPr>
        <w:t xml:space="preserve">方式</w:t>
      </w:r>
      <w:r>
        <w:rPr>
          <w:rFonts w:ascii="仿宋" w:eastAsia="仿宋" w:hAnsi="仿宋" w:hint="eastAsia"/>
          <w:sz w:val="24"/>
        </w:rPr>
        <w:t xml:space="preserve">）</w:t>
      </w:r>
      <w:r>
        <w:rPr>
          <w:rFonts w:ascii="仿宋" w:eastAsia="仿宋" w:hAnsi="仿宋"/>
          <w:sz w:val="24"/>
        </w:rPr>
        <w:t xml:space="preserve">确定一个参加评标的投标人，其他投标无效。</w:t>
      </w:r>
    </w:p>
    <w:p>
      <w:pPr>
        <w:spacing w:line="360" w:lineRule="auto"/>
        <w:ind w:firstLine="560"/>
        <w:rPr>
          <w:rFonts w:ascii="仿宋" w:eastAsia="仿宋" w:hAnsi="仿宋"/>
          <w:sz w:val="24"/>
        </w:rPr>
      </w:pPr>
      <w:r>
        <w:rPr>
          <w:rFonts w:ascii="仿宋" w:eastAsia="仿宋" w:hAnsi="仿宋"/>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仿宋" w:eastAsia="仿宋" w:hAnsi="仿宋" w:hint="eastAsia"/>
          <w:sz w:val="24"/>
        </w:rPr>
        <w:t xml:space="preserve">根据招标文件规定的方式（招标文件未规定的采取随机抽取的方式）</w:t>
      </w:r>
      <w:r>
        <w:rPr>
          <w:rFonts w:ascii="仿宋" w:eastAsia="仿宋" w:hAnsi="仿宋"/>
          <w:sz w:val="24"/>
        </w:rPr>
        <w:t xml:space="preserve">确定</w:t>
      </w:r>
      <w:r>
        <w:rPr>
          <w:rFonts w:ascii="仿宋" w:eastAsia="仿宋" w:hAnsi="仿宋" w:hint="eastAsia"/>
          <w:sz w:val="24"/>
        </w:rPr>
        <w:t xml:space="preserve">一个中标候选人</w:t>
      </w:r>
      <w:r>
        <w:rPr>
          <w:rFonts w:ascii="仿宋" w:eastAsia="仿宋" w:hAnsi="仿宋"/>
          <w:sz w:val="24"/>
        </w:rPr>
        <w:t xml:space="preserve">，其他同品牌投标人不作为中标候选人。</w:t>
      </w:r>
    </w:p>
    <w:p>
      <w:pPr>
        <w:spacing w:line="360" w:lineRule="auto"/>
        <w:ind w:firstLine="560"/>
        <w:rPr>
          <w:rFonts w:ascii="仿宋" w:eastAsia="仿宋" w:hAnsi="仿宋"/>
          <w:sz w:val="24"/>
        </w:rPr>
      </w:pPr>
      <w:r>
        <w:rPr>
          <w:rFonts w:ascii="仿宋" w:eastAsia="仿宋" w:hAnsi="仿宋"/>
          <w:sz w:val="24"/>
        </w:rPr>
        <w:t xml:space="preserve">非单一产品采购项目，招标文件中</w:t>
      </w:r>
      <w:r>
        <w:rPr>
          <w:rFonts w:ascii="仿宋" w:eastAsia="仿宋" w:hAnsi="仿宋" w:hint="eastAsia"/>
          <w:sz w:val="24"/>
        </w:rPr>
        <w:t xml:space="preserve">将载明其中的核心产品（</w:t>
      </w:r>
      <w:r>
        <w:rPr>
          <w:rFonts w:ascii="仿宋" w:eastAsia="仿宋" w:hAnsi="仿宋" w:cs="宋体" w:hint="eastAsia"/>
          <w:sz w:val="24"/>
        </w:rPr>
        <w:t xml:space="preserve">精密空调、机柜通道、模块化UPS</w:t>
      </w:r>
      <w:r>
        <w:rPr>
          <w:rFonts w:ascii="仿宋" w:eastAsia="仿宋" w:hAnsi="仿宋" w:hint="eastAsia"/>
          <w:sz w:val="24"/>
        </w:rPr>
        <w:t xml:space="preserve">）</w:t>
      </w:r>
      <w:r>
        <w:rPr>
          <w:rFonts w:ascii="仿宋" w:eastAsia="仿宋" w:hAnsi="仿宋"/>
          <w:sz w:val="24"/>
        </w:rPr>
        <w:t xml:space="preserve">。多家投标人提供的核心产品</w:t>
      </w:r>
      <w:r>
        <w:rPr>
          <w:rFonts w:ascii="仿宋" w:eastAsia="仿宋" w:hAnsi="仿宋" w:hint="eastAsia"/>
          <w:sz w:val="24"/>
        </w:rPr>
        <w:t xml:space="preserve">（</w:t>
      </w:r>
      <w:r>
        <w:rPr>
          <w:rFonts w:ascii="仿宋" w:eastAsia="仿宋" w:hAnsi="仿宋" w:cs="宋体" w:hint="eastAsia"/>
          <w:sz w:val="24"/>
        </w:rPr>
        <w:t xml:space="preserve">精密空调、机柜通道、模块化UPS</w:t>
      </w:r>
      <w:r>
        <w:rPr>
          <w:rFonts w:ascii="仿宋" w:eastAsia="仿宋" w:hAnsi="仿宋" w:hint="eastAsia"/>
          <w:sz w:val="24"/>
        </w:rPr>
        <w:t xml:space="preserve">）</w:t>
      </w:r>
      <w:r>
        <w:rPr>
          <w:rFonts w:ascii="仿宋" w:eastAsia="仿宋" w:hAnsi="仿宋"/>
          <w:sz w:val="24"/>
        </w:rPr>
        <w:t xml:space="preserve">品牌相同的，按前两款规定处理。</w:t>
      </w:r>
    </w:p>
    <w:p>
      <w:pPr>
        <w:spacing w:line="360" w:lineRule="auto"/>
        <w:ind w:firstLine="560"/>
        <w:rPr>
          <w:rFonts w:ascii="仿宋" w:eastAsia="仿宋" w:hAnsi="仿宋"/>
          <w:sz w:val="24"/>
        </w:rPr>
      </w:pPr>
      <w:r>
        <w:rPr>
          <w:rFonts w:ascii="仿宋" w:eastAsia="仿宋" w:hAnsi="仿宋" w:hint="eastAsia"/>
          <w:sz w:val="24"/>
        </w:rPr>
        <w:t xml:space="preserve">26.7投标人在开、评标全过程中应保持通讯畅通，及时登录苏采云系统查阅</w:t>
      </w:r>
      <w:r>
        <w:rPr>
          <w:rFonts w:ascii="仿宋" w:eastAsia="仿宋" w:hAnsi="仿宋"/>
          <w:sz w:val="24"/>
        </w:rPr>
        <w:t xml:space="preserve">、答复相关</w:t>
      </w:r>
      <w:r>
        <w:rPr>
          <w:rFonts w:ascii="仿宋" w:eastAsia="仿宋" w:hAnsi="仿宋" w:hint="eastAsia"/>
          <w:sz w:val="24"/>
        </w:rPr>
        <w:t xml:space="preserve">信息</w:t>
      </w:r>
      <w:r>
        <w:rPr>
          <w:rFonts w:ascii="仿宋" w:eastAsia="仿宋" w:hAnsi="仿宋"/>
          <w:sz w:val="24"/>
        </w:rPr>
        <w:t xml:space="preserve">，</w:t>
      </w:r>
      <w:r>
        <w:rPr>
          <w:rFonts w:ascii="仿宋" w:eastAsia="仿宋" w:hAnsi="仿宋" w:hint="eastAsia"/>
          <w:sz w:val="24"/>
        </w:rPr>
        <w:t xml:space="preserve">并安排专人与淮阴分中心及评标委员会联系。</w:t>
      </w:r>
    </w:p>
    <w:p>
      <w:pPr>
        <w:spacing w:line="360" w:lineRule="auto"/>
        <w:rPr>
          <w:rFonts w:ascii="仿宋" w:eastAsia="仿宋" w:hAnsi="仿宋"/>
          <w:sz w:val="24"/>
        </w:rPr>
      </w:pPr>
      <w:r>
        <w:rPr>
          <w:rFonts w:ascii="仿宋" w:eastAsia="仿宋" w:hAnsi="仿宋" w:hint="eastAsia"/>
          <w:sz w:val="24"/>
        </w:rPr>
        <w:t xml:space="preserve">2</w:t>
      </w:r>
      <w:bookmarkEnd w:id="25"/>
      <w:bookmarkEnd w:id="26"/>
      <w:bookmarkEnd w:id="27"/>
      <w:r>
        <w:rPr>
          <w:rFonts w:ascii="仿宋" w:eastAsia="仿宋" w:hAnsi="仿宋" w:hint="eastAsia"/>
          <w:sz w:val="24"/>
        </w:rPr>
        <w:t xml:space="preserve">7.无效投标条款和废标条款</w:t>
      </w:r>
    </w:p>
    <w:p>
      <w:pPr>
        <w:spacing w:line="360" w:lineRule="auto"/>
        <w:ind w:firstLine="560"/>
        <w:rPr>
          <w:rFonts w:ascii="仿宋" w:eastAsia="仿宋" w:hAnsi="仿宋"/>
          <w:sz w:val="24"/>
        </w:rPr>
      </w:pPr>
      <w:bookmarkStart w:id="28" w:name="_Toc20823307"/>
      <w:bookmarkStart w:id="29" w:name="_Toc513029235"/>
      <w:bookmarkStart w:id="30" w:name="_Toc16938551"/>
      <w:r>
        <w:rPr>
          <w:rFonts w:ascii="仿宋" w:eastAsia="仿宋" w:hAnsi="仿宋" w:hint="eastAsia"/>
          <w:sz w:val="24"/>
        </w:rPr>
        <w:t xml:space="preserve">27.1无效投标条款</w:t>
      </w:r>
    </w:p>
    <w:p>
      <w:pPr>
        <w:spacing w:line="360" w:lineRule="auto"/>
        <w:ind w:firstLine="560"/>
        <w:rPr>
          <w:rFonts w:ascii="仿宋" w:eastAsia="仿宋" w:hAnsi="仿宋"/>
          <w:sz w:val="24"/>
          <w:highlight w:val="none"/>
        </w:rPr>
      </w:pPr>
      <w:r>
        <w:rPr>
          <w:rFonts w:ascii="仿宋" w:eastAsia="仿宋" w:hAnsi="仿宋" w:hint="eastAsia"/>
          <w:sz w:val="24"/>
        </w:rPr>
        <w:t xml:space="preserve">27.1.1 </w:t>
      </w:r>
      <w:r>
        <w:rPr>
          <w:rFonts w:ascii="仿宋" w:eastAsia="仿宋" w:hAnsi="仿宋" w:hint="eastAsia"/>
          <w:sz w:val="24"/>
          <w:highlight w:val="none"/>
        </w:rPr>
        <w:t xml:space="preserve">投标人在苏采云系统规定的时间内未成功解密电子投标文件的。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2</w:t>
      </w:r>
      <w:r>
        <w:rPr>
          <w:rFonts w:ascii="仿宋" w:eastAsia="仿宋" w:hAnsi="仿宋" w:hint="eastAsia"/>
          <w:sz w:val="24"/>
          <w:highlight w:val="none"/>
        </w:rPr>
        <w:t xml:space="preserve"> 投标人未按照招标文件要求上传电子投标文件的。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3</w:t>
      </w:r>
      <w:r>
        <w:rPr>
          <w:rFonts w:ascii="仿宋" w:eastAsia="仿宋" w:hAnsi="仿宋" w:hint="eastAsia"/>
          <w:sz w:val="24"/>
          <w:highlight w:val="none"/>
        </w:rPr>
        <w:t xml:space="preserve">同一投标人提交两个</w:t>
      </w:r>
      <w:r>
        <w:rPr>
          <w:rFonts w:ascii="仿宋" w:eastAsia="仿宋" w:hAnsi="仿宋"/>
          <w:sz w:val="24"/>
          <w:highlight w:val="none"/>
        </w:rPr>
        <w:t xml:space="preserve">（</w:t>
      </w:r>
      <w:r>
        <w:rPr>
          <w:rFonts w:ascii="仿宋" w:eastAsia="仿宋" w:hAnsi="仿宋" w:hint="eastAsia"/>
          <w:sz w:val="24"/>
          <w:highlight w:val="none"/>
        </w:rPr>
        <w:t xml:space="preserve">含</w:t>
      </w:r>
      <w:r>
        <w:rPr>
          <w:rFonts w:ascii="仿宋" w:eastAsia="仿宋" w:hAnsi="仿宋"/>
          <w:sz w:val="24"/>
          <w:highlight w:val="none"/>
        </w:rPr>
        <w:t xml:space="preserve">两个）</w:t>
      </w:r>
      <w:r>
        <w:rPr>
          <w:rFonts w:ascii="仿宋" w:eastAsia="仿宋" w:hAnsi="仿宋" w:hint="eastAsia"/>
          <w:sz w:val="24"/>
          <w:highlight w:val="none"/>
        </w:rPr>
        <w:t xml:space="preserve">以上不同的</w:t>
      </w:r>
      <w:r>
        <w:rPr>
          <w:rFonts w:ascii="仿宋" w:eastAsia="仿宋" w:hAnsi="仿宋"/>
          <w:sz w:val="24"/>
          <w:highlight w:val="none"/>
        </w:rPr>
        <w:t xml:space="preserve">投标报价的。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4</w:t>
      </w:r>
      <w:r>
        <w:rPr>
          <w:rFonts w:ascii="仿宋" w:eastAsia="仿宋" w:hAnsi="仿宋" w:hint="eastAsia"/>
          <w:sz w:val="24"/>
          <w:highlight w:val="none"/>
        </w:rPr>
        <w:t xml:space="preserve">投标人不具备招标文件中规定资格要求的。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5</w:t>
      </w:r>
      <w:r>
        <w:rPr>
          <w:rFonts w:ascii="仿宋" w:eastAsia="仿宋" w:hAnsi="仿宋" w:hint="eastAsia"/>
          <w:sz w:val="24"/>
          <w:highlight w:val="none"/>
        </w:rPr>
        <w:t xml:space="preserve">投标人的报价超过了采购预算或最高限价的。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6</w:t>
      </w:r>
      <w:r>
        <w:rPr>
          <w:rFonts w:ascii="仿宋" w:eastAsia="仿宋" w:hAnsi="仿宋" w:hint="eastAsia"/>
          <w:sz w:val="24"/>
          <w:highlight w:val="none"/>
        </w:rPr>
        <w:t xml:space="preserve">未通过符合性审查的。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7</w:t>
      </w:r>
      <w:r>
        <w:rPr>
          <w:rFonts w:ascii="仿宋" w:eastAsia="仿宋" w:hAnsi="仿宋" w:hint="eastAsia"/>
          <w:sz w:val="24"/>
          <w:highlight w:val="none"/>
        </w:rPr>
        <w:t xml:space="preserve">不符合招标文件中规定的实质性要求和条件的（实质性要求和条件是指本招标文件中用带星号（“★”）的商务和技术要求）。</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8</w:t>
      </w:r>
      <w:r>
        <w:rPr>
          <w:rFonts w:ascii="仿宋" w:eastAsia="仿宋" w:hAnsi="仿宋" w:hint="eastAsia"/>
          <w:sz w:val="24"/>
          <w:highlight w:val="none"/>
        </w:rPr>
        <w:t xml:space="preserve"> 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9</w:t>
      </w:r>
      <w:r>
        <w:rPr>
          <w:rFonts w:ascii="仿宋" w:eastAsia="仿宋" w:hAnsi="仿宋" w:hint="eastAsia"/>
          <w:sz w:val="24"/>
          <w:highlight w:val="none"/>
        </w:rPr>
        <w:t xml:space="preserve">  投标文件含有采购人不能接受的附加条件的。</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w:t>
      </w:r>
      <w:r>
        <w:rPr>
          <w:rFonts w:ascii="仿宋" w:eastAsia="仿宋" w:hAnsi="仿宋"/>
          <w:sz w:val="24"/>
          <w:highlight w:val="none"/>
        </w:rPr>
        <w:t xml:space="preserve">10</w:t>
      </w:r>
      <w:r>
        <w:rPr>
          <w:rFonts w:ascii="仿宋" w:eastAsia="仿宋" w:hAnsi="仿宋" w:hint="eastAsia"/>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pPr>
        <w:spacing w:line="360" w:lineRule="auto"/>
        <w:ind w:firstLine="560"/>
        <w:rPr>
          <w:rFonts w:ascii="仿宋" w:eastAsia="仿宋" w:hAnsi="仿宋"/>
          <w:sz w:val="24"/>
          <w:highlight w:val="none"/>
        </w:rPr>
      </w:pPr>
      <w:r>
        <w:rPr>
          <w:rFonts w:ascii="仿宋" w:eastAsia="仿宋" w:hAnsi="仿宋" w:hint="eastAsia"/>
          <w:sz w:val="24"/>
          <w:highlight w:val="none"/>
        </w:rPr>
        <w:t xml:space="preserve">27.1.11投标文件未按照招标文件要求加盖CA电子公章的。</w:t>
      </w:r>
    </w:p>
    <w:p>
      <w:pPr>
        <w:spacing w:line="360" w:lineRule="auto"/>
        <w:ind w:firstLine="560"/>
        <w:rPr>
          <w:rFonts w:ascii="仿宋" w:eastAsia="仿宋" w:hAnsi="仿宋"/>
          <w:sz w:val="24"/>
        </w:rPr>
      </w:pPr>
      <w:r>
        <w:rPr>
          <w:rFonts w:ascii="仿宋" w:eastAsia="仿宋" w:hAnsi="仿宋" w:hint="eastAsia"/>
          <w:sz w:val="24"/>
          <w:highlight w:val="none"/>
        </w:rPr>
        <w:t xml:space="preserve">27.1.12其他法律、法规及本招标文件规定的属无效投标的情形。</w:t>
      </w:r>
    </w:p>
    <w:p>
      <w:pPr>
        <w:spacing w:line="360" w:lineRule="auto"/>
        <w:ind w:firstLine="560"/>
        <w:rPr>
          <w:rFonts w:ascii="仿宋" w:eastAsia="仿宋" w:hAnsi="仿宋"/>
          <w:sz w:val="24"/>
        </w:rPr>
      </w:pPr>
      <w:r>
        <w:rPr>
          <w:rFonts w:ascii="仿宋" w:eastAsia="仿宋" w:hAnsi="仿宋" w:hint="eastAsia"/>
          <w:sz w:val="24"/>
        </w:rPr>
        <w:t xml:space="preserve">27.2废标条款</w:t>
      </w:r>
    </w:p>
    <w:p>
      <w:pPr>
        <w:spacing w:line="360" w:lineRule="auto"/>
        <w:ind w:firstLine="560"/>
        <w:rPr>
          <w:rFonts w:ascii="仿宋" w:eastAsia="仿宋" w:hAnsi="仿宋"/>
          <w:sz w:val="24"/>
        </w:rPr>
      </w:pPr>
      <w:r>
        <w:rPr>
          <w:rFonts w:ascii="仿宋" w:eastAsia="仿宋" w:hAnsi="仿宋" w:hint="eastAsia"/>
          <w:sz w:val="24"/>
        </w:rPr>
        <w:t xml:space="preserve">27.2.1符合专业条件的供应商或者对招标文件作实质响应的供应商不足三家的。</w:t>
      </w:r>
    </w:p>
    <w:p>
      <w:pPr>
        <w:spacing w:line="360" w:lineRule="auto"/>
        <w:ind w:firstLine="560"/>
        <w:rPr>
          <w:rFonts w:ascii="仿宋" w:eastAsia="仿宋" w:hAnsi="仿宋"/>
          <w:sz w:val="24"/>
        </w:rPr>
      </w:pPr>
      <w:r>
        <w:rPr>
          <w:rFonts w:ascii="仿宋" w:eastAsia="仿宋" w:hAnsi="仿宋" w:hint="eastAsia"/>
          <w:sz w:val="24"/>
        </w:rPr>
        <w:t xml:space="preserve">27.2.2出现影响采购公正的违法、违规行为的。</w:t>
      </w:r>
    </w:p>
    <w:p>
      <w:pPr>
        <w:spacing w:line="360" w:lineRule="auto"/>
        <w:ind w:firstLine="560"/>
        <w:rPr>
          <w:rFonts w:ascii="仿宋" w:eastAsia="仿宋" w:hAnsi="仿宋"/>
          <w:sz w:val="24"/>
        </w:rPr>
      </w:pPr>
      <w:r>
        <w:rPr>
          <w:rFonts w:ascii="仿宋" w:eastAsia="仿宋" w:hAnsi="仿宋" w:hint="eastAsia"/>
          <w:sz w:val="24"/>
        </w:rPr>
        <w:t xml:space="preserve">27.2.3因重大变故，采购任务取消的。</w:t>
      </w:r>
    </w:p>
    <w:p>
      <w:pPr>
        <w:spacing w:line="360" w:lineRule="auto"/>
        <w:ind w:firstLine="560"/>
        <w:rPr>
          <w:rFonts w:ascii="仿宋" w:eastAsia="仿宋" w:hAnsi="仿宋"/>
          <w:sz w:val="24"/>
        </w:rPr>
      </w:pPr>
      <w:r>
        <w:rPr>
          <w:rFonts w:ascii="仿宋" w:eastAsia="仿宋" w:hAnsi="仿宋" w:hint="eastAsia"/>
          <w:sz w:val="24"/>
        </w:rPr>
        <w:t xml:space="preserve">27.2.4评标委员会认定招标文件存在歧义、重大缺陷导致评审工作无法进行。</w:t>
      </w:r>
    </w:p>
    <w:p>
      <w:pPr>
        <w:spacing w:line="360" w:lineRule="auto"/>
        <w:ind w:firstLine="560"/>
        <w:rPr>
          <w:rFonts w:ascii="仿宋" w:eastAsia="仿宋" w:hAnsi="仿宋"/>
          <w:sz w:val="24"/>
        </w:rPr>
      </w:pPr>
      <w:r>
        <w:rPr>
          <w:rFonts w:ascii="仿宋" w:eastAsia="仿宋" w:hAnsi="仿宋" w:hint="eastAsia"/>
          <w:sz w:val="24"/>
        </w:rPr>
        <w:t xml:space="preserve">27.2.5 因苏采云系统</w:t>
      </w:r>
      <w:r>
        <w:rPr>
          <w:rFonts w:ascii="仿宋" w:eastAsia="仿宋" w:hAnsi="仿宋"/>
          <w:sz w:val="24"/>
        </w:rPr>
        <w:t xml:space="preserve">系统故障原因造成开标不成功</w:t>
      </w:r>
      <w:r>
        <w:rPr>
          <w:rFonts w:ascii="仿宋" w:eastAsia="仿宋" w:hAnsi="仿宋" w:hint="eastAsia"/>
          <w:sz w:val="24"/>
        </w:rPr>
        <w:t xml:space="preserve">的</w:t>
      </w:r>
      <w:r>
        <w:rPr>
          <w:rFonts w:ascii="仿宋" w:eastAsia="仿宋" w:hAnsi="仿宋"/>
          <w:sz w:val="24"/>
        </w:rPr>
        <w:t xml:space="preserve">。</w:t>
      </w:r>
    </w:p>
    <w:p>
      <w:pPr>
        <w:spacing w:line="360" w:lineRule="auto"/>
        <w:ind w:firstLine="560"/>
        <w:rPr>
          <w:rFonts w:ascii="仿宋" w:eastAsia="仿宋" w:hAnsi="仿宋"/>
          <w:sz w:val="24"/>
        </w:rPr>
      </w:pPr>
      <w:r>
        <w:rPr>
          <w:rFonts w:ascii="仿宋" w:eastAsia="仿宋" w:hAnsi="仿宋" w:hint="eastAsia"/>
          <w:sz w:val="24"/>
        </w:rPr>
        <w:t xml:space="preserve">27.3 投标截止时间结束后参加投标的供应商不足三家的处理：</w:t>
      </w:r>
    </w:p>
    <w:p>
      <w:pPr>
        <w:spacing w:line="360" w:lineRule="auto"/>
        <w:ind w:firstLine="560"/>
        <w:rPr>
          <w:rFonts w:ascii="仿宋" w:eastAsia="仿宋" w:hAnsi="仿宋"/>
          <w:sz w:val="24"/>
        </w:rPr>
      </w:pPr>
      <w:r>
        <w:rPr>
          <w:rFonts w:ascii="仿宋" w:eastAsia="仿宋" w:hAnsi="仿宋" w:hint="eastAsia"/>
          <w:sz w:val="24"/>
        </w:rPr>
        <w:t xml:space="preserve">27.3.1如出现投标截止时间结束后参加投标的投标人或者在评标期间对招标文件做出实质响应的投标人不足三家情况，按政府采购相关规定执行。</w:t>
      </w:r>
      <w:bookmarkEnd w:id="28"/>
      <w:bookmarkEnd w:id="29"/>
      <w:bookmarkEnd w:id="30"/>
    </w:p>
    <w:p>
      <w:pPr>
        <w:spacing w:line="360" w:lineRule="auto"/>
        <w:rPr>
          <w:rFonts w:ascii="仿宋" w:eastAsia="仿宋" w:hAnsi="仿宋"/>
          <w:b/>
          <w:sz w:val="32"/>
          <w:szCs w:val="32"/>
        </w:rPr>
      </w:pPr>
      <w:bookmarkStart w:id="31" w:name="_Toc120614219"/>
      <w:r>
        <w:rPr>
          <w:rFonts w:ascii="仿宋" w:eastAsia="仿宋" w:hAnsi="仿宋" w:hint="eastAsia"/>
          <w:b/>
          <w:sz w:val="32"/>
          <w:szCs w:val="32"/>
        </w:rPr>
        <w:t xml:space="preserve">六、定标</w:t>
      </w:r>
      <w:bookmarkEnd w:id="31"/>
    </w:p>
    <w:p>
      <w:pPr>
        <w:spacing w:line="360" w:lineRule="auto"/>
        <w:ind w:firstLine="560"/>
        <w:rPr>
          <w:rFonts w:ascii="仿宋" w:eastAsia="仿宋" w:hAnsi="仿宋"/>
          <w:sz w:val="24"/>
        </w:rPr>
      </w:pPr>
      <w:bookmarkStart w:id="32" w:name="_Toc513029238"/>
      <w:bookmarkStart w:id="33" w:name="_Toc16938554"/>
      <w:bookmarkStart w:id="34" w:name="_Toc20823310"/>
      <w:r>
        <w:rPr>
          <w:rFonts w:ascii="仿宋" w:eastAsia="仿宋" w:hAnsi="仿宋" w:hint="eastAsia"/>
          <w:sz w:val="24"/>
        </w:rPr>
        <w:t xml:space="preserve">2</w:t>
      </w:r>
      <w:bookmarkEnd w:id="32"/>
      <w:r>
        <w:rPr>
          <w:rFonts w:ascii="仿宋" w:eastAsia="仿宋" w:hAnsi="仿宋" w:hint="eastAsia"/>
          <w:sz w:val="24"/>
        </w:rPr>
        <w:t xml:space="preserve">8.确定</w:t>
      </w:r>
      <w:bookmarkEnd w:id="33"/>
      <w:bookmarkEnd w:id="34"/>
      <w:r>
        <w:rPr>
          <w:rFonts w:ascii="仿宋" w:eastAsia="仿宋" w:hAnsi="仿宋" w:hint="eastAsia"/>
          <w:sz w:val="24"/>
        </w:rPr>
        <w:t xml:space="preserve">中标单位</w:t>
      </w:r>
    </w:p>
    <w:p>
      <w:pPr>
        <w:spacing w:line="360" w:lineRule="auto"/>
        <w:ind w:firstLine="560"/>
        <w:rPr>
          <w:rFonts w:ascii="仿宋" w:eastAsia="仿宋" w:hAnsi="仿宋"/>
          <w:sz w:val="24"/>
        </w:rPr>
      </w:pPr>
      <w:r>
        <w:rPr>
          <w:rFonts w:ascii="仿宋" w:eastAsia="仿宋" w:hAnsi="仿宋" w:hint="eastAsia"/>
          <w:sz w:val="24"/>
        </w:rPr>
        <w:t xml:space="preserve">28.1中标候选人的选取原则和数量见招标文件第三章规定。 </w:t>
      </w:r>
    </w:p>
    <w:p>
      <w:pPr>
        <w:spacing w:line="360" w:lineRule="auto"/>
        <w:ind w:firstLine="560"/>
        <w:rPr>
          <w:rFonts w:ascii="仿宋" w:eastAsia="仿宋" w:hAnsi="仿宋"/>
          <w:sz w:val="24"/>
        </w:rPr>
      </w:pPr>
      <w:r>
        <w:rPr>
          <w:rFonts w:ascii="仿宋" w:eastAsia="仿宋" w:hAnsi="仿宋" w:hint="eastAsia"/>
          <w:sz w:val="24"/>
        </w:rPr>
        <w:t xml:space="preserve">28.2 采购人应根据评委会推荐的中标候选人确定中标人。</w:t>
      </w:r>
    </w:p>
    <w:p>
      <w:pPr>
        <w:spacing w:line="360" w:lineRule="auto"/>
        <w:ind w:firstLine="560"/>
        <w:rPr>
          <w:rFonts w:ascii="仿宋" w:eastAsia="仿宋" w:hAnsi="仿宋"/>
          <w:sz w:val="24"/>
        </w:rPr>
      </w:pPr>
      <w:r>
        <w:rPr>
          <w:rFonts w:ascii="仿宋" w:eastAsia="仿宋" w:hAnsi="仿宋" w:hint="eastAsia"/>
          <w:sz w:val="24"/>
        </w:rPr>
        <w:t xml:space="preserve">28.3淮阴分中心将在“江苏省政府采购网和淮安市政府采购网”发布中标公告，公告期限为1个工作日。</w:t>
      </w:r>
    </w:p>
    <w:p>
      <w:pPr>
        <w:spacing w:line="360" w:lineRule="auto"/>
        <w:ind w:firstLine="560"/>
        <w:rPr>
          <w:rFonts w:ascii="仿宋" w:eastAsia="仿宋" w:hAnsi="仿宋"/>
          <w:sz w:val="24"/>
        </w:rPr>
      </w:pPr>
      <w:r>
        <w:rPr>
          <w:rFonts w:ascii="仿宋" w:eastAsia="仿宋" w:hAnsi="仿宋" w:hint="eastAsia"/>
          <w:sz w:val="24"/>
        </w:rPr>
        <w:t xml:space="preserve">28.4若有充分证据证明，中标人出现下列情况之一的，一经查实，将被取消中标资格：</w:t>
      </w:r>
    </w:p>
    <w:p>
      <w:pPr>
        <w:spacing w:line="360" w:lineRule="auto"/>
        <w:ind w:firstLine="560"/>
        <w:rPr>
          <w:rFonts w:ascii="仿宋" w:eastAsia="仿宋" w:hAnsi="仿宋"/>
          <w:sz w:val="24"/>
        </w:rPr>
      </w:pPr>
      <w:r>
        <w:rPr>
          <w:rFonts w:ascii="仿宋" w:eastAsia="仿宋" w:hAnsi="仿宋" w:hint="eastAsia"/>
          <w:sz w:val="24"/>
        </w:rPr>
        <w:t xml:space="preserve">28.4.1提供虚假材料谋取中标的。</w:t>
      </w:r>
    </w:p>
    <w:p>
      <w:pPr>
        <w:spacing w:line="360" w:lineRule="auto"/>
        <w:ind w:firstLine="560"/>
        <w:rPr>
          <w:rFonts w:ascii="仿宋" w:eastAsia="仿宋" w:hAnsi="仿宋"/>
          <w:sz w:val="24"/>
        </w:rPr>
      </w:pPr>
      <w:r>
        <w:rPr>
          <w:rFonts w:ascii="仿宋" w:eastAsia="仿宋" w:hAnsi="仿宋" w:hint="eastAsia"/>
          <w:sz w:val="24"/>
        </w:rPr>
        <w:t xml:space="preserve">28.4.2向采购人、淮阴分中心行贿或者提供其他不正当利益的。</w:t>
      </w:r>
    </w:p>
    <w:p>
      <w:pPr>
        <w:spacing w:line="360" w:lineRule="auto"/>
        <w:ind w:firstLine="560"/>
        <w:rPr>
          <w:rFonts w:ascii="仿宋" w:eastAsia="仿宋" w:hAnsi="仿宋"/>
          <w:sz w:val="24"/>
        </w:rPr>
      </w:pPr>
      <w:r>
        <w:rPr>
          <w:rFonts w:ascii="仿宋" w:eastAsia="仿宋" w:hAnsi="仿宋" w:hint="eastAsia"/>
          <w:sz w:val="24"/>
        </w:rPr>
        <w:t xml:space="preserve">28.4.3属于本文件规定的无效条件，但在评标过程中又未被评委会发现的。</w:t>
      </w:r>
    </w:p>
    <w:p>
      <w:pPr>
        <w:spacing w:line="360" w:lineRule="auto"/>
        <w:ind w:firstLine="560"/>
        <w:rPr>
          <w:rFonts w:ascii="仿宋" w:eastAsia="仿宋" w:hAnsi="仿宋"/>
          <w:sz w:val="24"/>
        </w:rPr>
      </w:pPr>
      <w:r>
        <w:rPr>
          <w:rFonts w:ascii="仿宋" w:eastAsia="仿宋" w:hAnsi="仿宋" w:hint="eastAsia"/>
          <w:sz w:val="24"/>
        </w:rPr>
        <w:t xml:space="preserve">28.4.4与采购人或者其他投标人恶意串通的。</w:t>
      </w:r>
    </w:p>
    <w:p>
      <w:pPr>
        <w:spacing w:line="360" w:lineRule="auto"/>
        <w:ind w:firstLine="560"/>
        <w:rPr>
          <w:rFonts w:ascii="仿宋" w:eastAsia="仿宋" w:hAnsi="仿宋"/>
          <w:sz w:val="24"/>
        </w:rPr>
      </w:pPr>
      <w:r>
        <w:rPr>
          <w:rFonts w:ascii="仿宋" w:eastAsia="仿宋" w:hAnsi="仿宋" w:hint="eastAsia"/>
          <w:sz w:val="24"/>
        </w:rPr>
        <w:t xml:space="preserve">28.4.5采取不正当手段诋毁、排挤其他投标人的。</w:t>
      </w:r>
    </w:p>
    <w:p>
      <w:pPr>
        <w:spacing w:line="360" w:lineRule="auto"/>
        <w:ind w:firstLine="560"/>
        <w:rPr>
          <w:rFonts w:ascii="仿宋" w:eastAsia="仿宋" w:hAnsi="仿宋"/>
          <w:sz w:val="24"/>
        </w:rPr>
      </w:pPr>
      <w:bookmarkStart w:id="35" w:name="_Toc200451960"/>
      <w:r>
        <w:rPr>
          <w:rFonts w:ascii="仿宋" w:eastAsia="仿宋" w:hAnsi="仿宋" w:hint="eastAsia"/>
          <w:sz w:val="24"/>
        </w:rPr>
        <w:t xml:space="preserve">28.5.</w:t>
      </w:r>
      <w:r>
        <w:rPr>
          <w:rFonts w:ascii="仿宋" w:eastAsia="仿宋" w:hAnsi="仿宋"/>
          <w:sz w:val="24"/>
        </w:rPr>
        <w:t xml:space="preserve">有下列情形之一的，</w:t>
      </w:r>
      <w:r>
        <w:rPr>
          <w:rFonts w:ascii="仿宋" w:eastAsia="仿宋" w:hAnsi="仿宋" w:hint="eastAsia"/>
          <w:sz w:val="24"/>
        </w:rPr>
        <w:t xml:space="preserve">视为投标人</w:t>
      </w:r>
      <w:r>
        <w:rPr>
          <w:rFonts w:ascii="仿宋" w:eastAsia="仿宋" w:hAnsi="仿宋"/>
          <w:sz w:val="24"/>
        </w:rPr>
        <w:t xml:space="preserve">串通</w:t>
      </w:r>
      <w:r>
        <w:rPr>
          <w:rFonts w:ascii="仿宋" w:eastAsia="仿宋" w:hAnsi="仿宋" w:hint="eastAsia"/>
          <w:sz w:val="24"/>
        </w:rPr>
        <w:t xml:space="preserve">投标，投标无效：</w:t>
      </w:r>
    </w:p>
    <w:p>
      <w:pPr>
        <w:spacing w:line="360" w:lineRule="auto"/>
        <w:ind w:firstLine="560"/>
        <w:rPr>
          <w:rFonts w:ascii="仿宋" w:eastAsia="仿宋" w:hAnsi="仿宋"/>
          <w:sz w:val="24"/>
        </w:rPr>
      </w:pPr>
      <w:r>
        <w:rPr>
          <w:rFonts w:ascii="仿宋" w:eastAsia="仿宋" w:hAnsi="仿宋" w:hint="eastAsia"/>
          <w:sz w:val="24"/>
        </w:rPr>
        <w:t xml:space="preserve">28.5.1不同投标人的投标文件由同一单位或者个人编制；</w:t>
      </w:r>
    </w:p>
    <w:p>
      <w:pPr>
        <w:spacing w:line="360" w:lineRule="auto"/>
        <w:ind w:firstLine="560"/>
        <w:rPr>
          <w:rFonts w:ascii="仿宋" w:eastAsia="仿宋" w:hAnsi="仿宋"/>
          <w:sz w:val="24"/>
        </w:rPr>
      </w:pPr>
      <w:r>
        <w:rPr>
          <w:rFonts w:ascii="仿宋" w:eastAsia="仿宋" w:hAnsi="仿宋" w:hint="eastAsia"/>
          <w:sz w:val="24"/>
        </w:rPr>
        <w:t xml:space="preserve">28.5.2不同投标人委托同一单位或者个人办理投标事宜；</w:t>
      </w:r>
    </w:p>
    <w:p>
      <w:pPr>
        <w:spacing w:line="360" w:lineRule="auto"/>
        <w:ind w:firstLine="560"/>
        <w:rPr>
          <w:rFonts w:ascii="仿宋" w:eastAsia="仿宋" w:hAnsi="仿宋"/>
          <w:sz w:val="24"/>
        </w:rPr>
      </w:pPr>
      <w:r>
        <w:rPr>
          <w:rFonts w:ascii="仿宋" w:eastAsia="仿宋" w:hAnsi="仿宋" w:hint="eastAsia"/>
          <w:sz w:val="24"/>
        </w:rPr>
        <w:t xml:space="preserve">28.5.3 不同投标人的投标文件载明的项目管理成员或者联系人员为同一人；</w:t>
      </w:r>
    </w:p>
    <w:p>
      <w:pPr>
        <w:spacing w:line="360" w:lineRule="auto"/>
        <w:ind w:firstLine="560"/>
        <w:rPr>
          <w:rFonts w:ascii="仿宋" w:eastAsia="仿宋" w:hAnsi="仿宋"/>
          <w:sz w:val="24"/>
        </w:rPr>
      </w:pPr>
      <w:r>
        <w:rPr>
          <w:rFonts w:ascii="仿宋" w:eastAsia="仿宋" w:hAnsi="仿宋" w:hint="eastAsia"/>
          <w:sz w:val="24"/>
        </w:rPr>
        <w:t xml:space="preserve">28.5.4不同投标人的投标文件异常一致或者投标报价呈规律性差异。</w:t>
      </w:r>
    </w:p>
    <w:p>
      <w:pPr>
        <w:spacing w:line="360" w:lineRule="auto"/>
        <w:rPr>
          <w:rFonts w:ascii="仿宋" w:eastAsia="仿宋" w:hAnsi="仿宋"/>
          <w:sz w:val="24"/>
        </w:rPr>
      </w:pPr>
      <w:r>
        <w:rPr>
          <w:rFonts w:ascii="仿宋" w:eastAsia="仿宋" w:hAnsi="仿宋"/>
          <w:sz w:val="24"/>
        </w:rPr>
        <w:t xml:space="preserve">2</w:t>
      </w:r>
      <w:r>
        <w:rPr>
          <w:rFonts w:ascii="仿宋" w:eastAsia="仿宋" w:hAnsi="仿宋" w:hint="eastAsia"/>
          <w:sz w:val="24"/>
        </w:rPr>
        <w:t xml:space="preserve">9．质疑处理</w:t>
      </w:r>
      <w:bookmarkEnd w:id="35"/>
    </w:p>
    <w:p>
      <w:pPr>
        <w:spacing w:line="360" w:lineRule="auto"/>
        <w:ind w:firstLine="560"/>
        <w:rPr>
          <w:rFonts w:ascii="仿宋" w:eastAsia="仿宋" w:hAnsi="仿宋"/>
          <w:sz w:val="24"/>
        </w:rPr>
      </w:pPr>
      <w:r>
        <w:rPr>
          <w:rFonts w:ascii="仿宋" w:eastAsia="仿宋" w:hAnsi="仿宋" w:hint="eastAsia"/>
          <w:sz w:val="24"/>
        </w:rPr>
        <w:t xml:space="preserve">29.1投标人认为采购文件、采购过程和中标结果使自己的权益受到损害的，可以在知道或者应知其权益受到损害之日起七个工作日内，以电子文件形式从通过“苏采云平台”-&gt;“供应商”登录，从“项目质疑申请”模块提出质疑，</w:t>
      </w:r>
      <w:r>
        <w:rPr>
          <w:rFonts w:ascii="仿宋" w:eastAsia="仿宋" w:hAnsi="仿宋"/>
          <w:sz w:val="24"/>
        </w:rPr>
        <w:t xml:space="preserve">同时必须将质疑函的原件邮寄至采购人或淮阴分中心。</w:t>
      </w:r>
      <w:r>
        <w:rPr>
          <w:rFonts w:ascii="仿宋" w:eastAsia="仿宋" w:hAnsi="仿宋" w:hint="eastAsia"/>
          <w:sz w:val="24"/>
        </w:rPr>
        <w:t xml:space="preserve">未通过交易平台提交的、</w:t>
      </w:r>
      <w:r>
        <w:rPr>
          <w:rFonts w:ascii="仿宋" w:eastAsia="仿宋" w:hAnsi="仿宋"/>
          <w:sz w:val="24"/>
        </w:rPr>
        <w:t xml:space="preserve">未邮寄质疑函原件</w:t>
      </w:r>
      <w:r>
        <w:rPr>
          <w:rFonts w:ascii="仿宋" w:eastAsia="仿宋" w:hAnsi="仿宋" w:hint="eastAsia"/>
          <w:sz w:val="24"/>
        </w:rPr>
        <w:t xml:space="preserve">、七个工作日之外以及未按29.5条的要求提供质疑的均不予受理。</w:t>
      </w:r>
    </w:p>
    <w:p>
      <w:pPr>
        <w:spacing w:line="360" w:lineRule="auto"/>
        <w:ind w:firstLine="560"/>
        <w:rPr>
          <w:rFonts w:ascii="仿宋" w:eastAsia="仿宋" w:hAnsi="仿宋"/>
          <w:sz w:val="24"/>
        </w:rPr>
      </w:pPr>
      <w:r>
        <w:rPr>
          <w:rFonts w:ascii="仿宋" w:eastAsia="仿宋" w:hAnsi="仿宋" w:hint="eastAsia"/>
          <w:sz w:val="24"/>
        </w:rPr>
        <w:t xml:space="preserve">29.2上述应知其权益受到损害之日是指:</w:t>
      </w:r>
    </w:p>
    <w:p>
      <w:pPr>
        <w:spacing w:line="360" w:lineRule="auto"/>
        <w:ind w:firstLine="560"/>
        <w:rPr>
          <w:rFonts w:ascii="仿宋" w:eastAsia="仿宋" w:hAnsi="仿宋"/>
          <w:sz w:val="24"/>
        </w:rPr>
      </w:pPr>
      <w:r>
        <w:rPr>
          <w:rFonts w:ascii="仿宋" w:eastAsia="仿宋" w:hAnsi="仿宋" w:hint="eastAsia"/>
          <w:sz w:val="24"/>
        </w:rPr>
        <w:t xml:space="preserve">（1）对招标文件提出质疑的，为采购文件公告期限届满之日起计算；</w:t>
      </w:r>
    </w:p>
    <w:p>
      <w:pPr>
        <w:spacing w:line="360" w:lineRule="auto"/>
        <w:ind w:firstLine="560"/>
        <w:rPr>
          <w:rFonts w:ascii="仿宋" w:eastAsia="仿宋" w:hAnsi="仿宋"/>
          <w:sz w:val="24"/>
        </w:rPr>
      </w:pPr>
      <w:r>
        <w:rPr>
          <w:rFonts w:ascii="仿宋" w:eastAsia="仿宋" w:hAnsi="仿宋" w:hint="eastAsia"/>
          <w:sz w:val="24"/>
        </w:rPr>
        <w:t xml:space="preserve">（2)对采购过程提出质疑的，为各采购程序环节结束之日起计算；</w:t>
      </w:r>
    </w:p>
    <w:p>
      <w:pPr>
        <w:spacing w:line="360" w:lineRule="auto"/>
        <w:ind w:firstLine="560"/>
        <w:rPr>
          <w:rFonts w:ascii="仿宋" w:eastAsia="仿宋" w:hAnsi="仿宋"/>
          <w:sz w:val="24"/>
        </w:rPr>
      </w:pPr>
      <w:r>
        <w:rPr>
          <w:rFonts w:ascii="仿宋" w:eastAsia="仿宋" w:hAnsi="仿宋" w:hint="eastAsia"/>
          <w:sz w:val="24"/>
        </w:rPr>
        <w:t xml:space="preserve">（3）对中标结果提出质疑的，为中标结果公告期限届满之日起计算。</w:t>
      </w:r>
    </w:p>
    <w:p>
      <w:pPr>
        <w:spacing w:line="360" w:lineRule="auto"/>
        <w:ind w:firstLine="560"/>
        <w:rPr>
          <w:rFonts w:ascii="仿宋" w:eastAsia="仿宋" w:hAnsi="仿宋"/>
          <w:sz w:val="24"/>
        </w:rPr>
      </w:pPr>
      <w:r>
        <w:rPr>
          <w:rFonts w:ascii="仿宋" w:eastAsia="仿宋" w:hAnsi="仿宋" w:hint="eastAsia"/>
          <w:sz w:val="24"/>
        </w:rPr>
        <w:t xml:space="preserve">29.3质疑投标人是指直接参加本次投标活动的投标人，未参加投标活动的投标人或在投标活动中自身权益未受到损害的投标人所提出的质疑不予受理。</w:t>
      </w:r>
    </w:p>
    <w:p>
      <w:pPr>
        <w:spacing w:line="360" w:lineRule="auto"/>
        <w:ind w:firstLine="560"/>
        <w:rPr>
          <w:rFonts w:ascii="仿宋" w:eastAsia="仿宋" w:hAnsi="仿宋"/>
          <w:sz w:val="24"/>
        </w:rPr>
      </w:pPr>
      <w:r>
        <w:rPr>
          <w:rFonts w:ascii="仿宋" w:eastAsia="仿宋" w:hAnsi="仿宋" w:hint="eastAsia"/>
          <w:sz w:val="24"/>
        </w:rPr>
        <w:t xml:space="preserve">29.4质疑投标人在法定质疑期内应当一次性针对同一采购环节提出质疑。</w:t>
      </w:r>
    </w:p>
    <w:p>
      <w:pPr>
        <w:spacing w:line="360" w:lineRule="auto"/>
        <w:ind w:firstLine="560"/>
        <w:rPr>
          <w:rFonts w:ascii="仿宋" w:eastAsia="仿宋" w:hAnsi="仿宋"/>
          <w:sz w:val="24"/>
        </w:rPr>
      </w:pPr>
      <w:r>
        <w:rPr>
          <w:rFonts w:ascii="仿宋" w:eastAsia="仿宋" w:hAnsi="仿宋" w:hint="eastAsia"/>
          <w:sz w:val="24"/>
        </w:rPr>
        <w:t xml:space="preserve">29.5质疑函应当包括以下主要内容，附上相关证明材料。否则，淮阴分中心不予受理。</w:t>
      </w:r>
    </w:p>
    <w:p>
      <w:pPr>
        <w:spacing w:line="360" w:lineRule="auto"/>
        <w:ind w:firstLine="560"/>
        <w:rPr>
          <w:rFonts w:ascii="仿宋" w:eastAsia="仿宋" w:hAnsi="仿宋"/>
          <w:sz w:val="24"/>
        </w:rPr>
      </w:pPr>
      <w:r>
        <w:rPr>
          <w:rFonts w:ascii="仿宋" w:eastAsia="仿宋" w:hAnsi="仿宋" w:hint="eastAsia"/>
          <w:sz w:val="24"/>
        </w:rPr>
        <w:t xml:space="preserve">（1）质疑投标人的名称、地址、邮编、联系人及联系电话；</w:t>
      </w:r>
    </w:p>
    <w:p>
      <w:pPr>
        <w:spacing w:line="360" w:lineRule="auto"/>
        <w:ind w:firstLine="560"/>
        <w:rPr>
          <w:rFonts w:ascii="仿宋" w:eastAsia="仿宋" w:hAnsi="仿宋"/>
          <w:sz w:val="24"/>
        </w:rPr>
      </w:pPr>
      <w:r>
        <w:rPr>
          <w:rFonts w:ascii="仿宋" w:eastAsia="仿宋" w:hAnsi="仿宋" w:hint="eastAsia"/>
          <w:sz w:val="24"/>
        </w:rPr>
        <w:t xml:space="preserve">（2）质疑项目的名称、编号；</w:t>
      </w:r>
    </w:p>
    <w:p>
      <w:pPr>
        <w:spacing w:line="360" w:lineRule="auto"/>
        <w:ind w:firstLine="560"/>
        <w:rPr>
          <w:rFonts w:ascii="仿宋" w:eastAsia="仿宋" w:hAnsi="仿宋"/>
          <w:sz w:val="24"/>
        </w:rPr>
      </w:pPr>
      <w:r>
        <w:rPr>
          <w:rFonts w:ascii="仿宋" w:eastAsia="仿宋" w:hAnsi="仿宋" w:hint="eastAsia"/>
          <w:sz w:val="24"/>
        </w:rPr>
        <w:t xml:space="preserve">（3）具体、明确的质疑事项和与质疑事实相关的请求；</w:t>
      </w:r>
    </w:p>
    <w:p>
      <w:pPr>
        <w:spacing w:line="360" w:lineRule="auto"/>
        <w:ind w:firstLine="560"/>
        <w:rPr>
          <w:rFonts w:ascii="仿宋" w:eastAsia="仿宋" w:hAnsi="仿宋"/>
          <w:sz w:val="24"/>
        </w:rPr>
      </w:pPr>
      <w:r>
        <w:rPr>
          <w:rFonts w:ascii="仿宋" w:eastAsia="仿宋" w:hAnsi="仿宋" w:hint="eastAsia"/>
          <w:sz w:val="24"/>
        </w:rPr>
        <w:t xml:space="preserve">（4）事实依据；</w:t>
      </w:r>
    </w:p>
    <w:p>
      <w:pPr>
        <w:spacing w:line="360" w:lineRule="auto"/>
        <w:ind w:firstLine="560"/>
        <w:rPr>
          <w:rFonts w:ascii="仿宋" w:eastAsia="仿宋" w:hAnsi="仿宋"/>
          <w:sz w:val="24"/>
        </w:rPr>
      </w:pPr>
      <w:r>
        <w:rPr>
          <w:rFonts w:ascii="仿宋" w:eastAsia="仿宋" w:hAnsi="仿宋" w:hint="eastAsia"/>
          <w:sz w:val="24"/>
        </w:rPr>
        <w:t xml:space="preserve">（5）必要的法律依据；</w:t>
      </w:r>
    </w:p>
    <w:p>
      <w:pPr>
        <w:spacing w:line="360" w:lineRule="auto"/>
        <w:ind w:firstLine="560"/>
        <w:rPr>
          <w:rFonts w:ascii="仿宋" w:eastAsia="仿宋" w:hAnsi="仿宋"/>
          <w:sz w:val="24"/>
        </w:rPr>
      </w:pPr>
      <w:r>
        <w:rPr>
          <w:rFonts w:ascii="仿宋" w:eastAsia="仿宋" w:hAnsi="仿宋" w:hint="eastAsia"/>
          <w:sz w:val="24"/>
        </w:rPr>
        <w:t xml:space="preserve">（6）提起质疑的日期。</w:t>
      </w:r>
    </w:p>
    <w:p>
      <w:pPr>
        <w:spacing w:line="360" w:lineRule="auto"/>
        <w:ind w:firstLine="560"/>
        <w:rPr>
          <w:rFonts w:ascii="仿宋" w:eastAsia="仿宋" w:hAnsi="仿宋"/>
          <w:sz w:val="24"/>
        </w:rPr>
      </w:pPr>
      <w:r>
        <w:rPr>
          <w:rFonts w:ascii="仿宋" w:eastAsia="仿宋" w:hAnsi="仿宋" w:hint="eastAsia"/>
          <w:sz w:val="24"/>
        </w:rPr>
        <w:t xml:space="preserve">【质疑函必须署名，由法定代表人或者其授权代表签字，并加盖单位电子公章。授权代表签字的，还需提供法定代表人出具的办理质疑事项授权书（授权中必须载明具体权限、期限和事项）。】</w:t>
      </w:r>
    </w:p>
    <w:p>
      <w:pPr>
        <w:spacing w:line="360" w:lineRule="auto"/>
        <w:ind w:firstLine="560"/>
        <w:rPr>
          <w:rFonts w:ascii="仿宋" w:eastAsia="仿宋" w:hAnsi="仿宋"/>
          <w:sz w:val="24"/>
        </w:rPr>
      </w:pPr>
      <w:r>
        <w:rPr>
          <w:rFonts w:ascii="仿宋" w:eastAsia="仿宋" w:hAnsi="仿宋" w:hint="eastAsia"/>
          <w:sz w:val="24"/>
        </w:rPr>
        <w:t xml:space="preserve">29.6淮阴分中心收到质疑函后，将对质疑的形式和内容进行审查，如质疑函内容、格式不符合规定，淮阴分中心将告知质疑人进行补正。质疑人应当在法定质疑期限内进行补正并重新提交质疑函，拒不补正或者超过法定期限后未重新提交质疑函的，为无效质疑，淮阴分中心有权不予受理。</w:t>
      </w:r>
    </w:p>
    <w:p>
      <w:pPr>
        <w:spacing w:line="360" w:lineRule="auto"/>
        <w:ind w:firstLine="560"/>
        <w:rPr>
          <w:rFonts w:ascii="仿宋" w:eastAsia="仿宋" w:hAnsi="仿宋"/>
          <w:sz w:val="24"/>
        </w:rPr>
      </w:pPr>
      <w:r>
        <w:rPr>
          <w:rFonts w:ascii="仿宋" w:eastAsia="仿宋" w:hAnsi="仿宋" w:hint="eastAsia"/>
          <w:sz w:val="24"/>
        </w:rPr>
        <w:t xml:space="preserve">29.7对于内容、格式符合规定的质疑函，淮阴分中心将在七个工作日内以电子文件的形式作出答复，但质疑答复的内容不涉及商业秘密。如果质疑投标人还需要纸质形式回复函的，需主动与淮阴分中心联系索取，或者在质疑函中明确提出该要求。</w:t>
      </w:r>
    </w:p>
    <w:p>
      <w:pPr>
        <w:spacing w:line="360" w:lineRule="auto"/>
        <w:ind w:firstLine="560"/>
        <w:rPr>
          <w:rFonts w:ascii="仿宋" w:eastAsia="仿宋" w:hAnsi="仿宋"/>
          <w:sz w:val="24"/>
        </w:rPr>
      </w:pPr>
      <w:r>
        <w:rPr>
          <w:rFonts w:ascii="仿宋" w:eastAsia="仿宋" w:hAnsi="仿宋" w:hint="eastAsia"/>
          <w:sz w:val="24"/>
        </w:rPr>
        <w:t xml:space="preserve">29.8投标人提出的质疑必须有理、有据，不得恶意质疑或提交虚假质疑。否则，一经查实，淮阴分中心有权依据政府采购的有关规定，报请财政监管部门对该投标人列入失信行为或不良行为记录名单，进行相应的行政处罚。</w:t>
      </w:r>
    </w:p>
    <w:p>
      <w:pPr>
        <w:spacing w:line="360" w:lineRule="auto"/>
        <w:rPr>
          <w:rFonts w:ascii="仿宋" w:eastAsia="仿宋" w:hAnsi="仿宋"/>
          <w:sz w:val="24"/>
        </w:rPr>
      </w:pPr>
      <w:r>
        <w:rPr>
          <w:rFonts w:ascii="仿宋" w:eastAsia="仿宋" w:hAnsi="仿宋" w:hint="eastAsia"/>
          <w:sz w:val="24"/>
        </w:rPr>
        <w:t xml:space="preserve">30.中标通知书</w:t>
      </w:r>
    </w:p>
    <w:p>
      <w:pPr>
        <w:spacing w:line="360" w:lineRule="auto"/>
        <w:ind w:firstLine="560"/>
        <w:rPr>
          <w:rFonts w:ascii="仿宋" w:eastAsia="仿宋" w:hAnsi="仿宋"/>
          <w:sz w:val="24"/>
        </w:rPr>
      </w:pPr>
      <w:r>
        <w:rPr>
          <w:rFonts w:ascii="仿宋" w:eastAsia="仿宋" w:hAnsi="仿宋" w:hint="eastAsia"/>
          <w:sz w:val="24"/>
        </w:rPr>
        <w:t xml:space="preserve">30.l中标结果确定后，淮阴分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360" w:lineRule="auto"/>
        <w:ind w:firstLine="560"/>
        <w:rPr>
          <w:rFonts w:ascii="仿宋" w:eastAsia="仿宋" w:hAnsi="仿宋" w:hint="eastAsia"/>
          <w:sz w:val="24"/>
        </w:rPr>
      </w:pPr>
      <w:r>
        <w:rPr>
          <w:rFonts w:ascii="仿宋" w:eastAsia="仿宋" w:hAnsi="仿宋" w:hint="eastAsia"/>
          <w:sz w:val="24"/>
        </w:rPr>
        <w:t xml:space="preserve">30.2中标通知书将是合同的一个组成部分。对采购人和中标人均具有法律效力。中标通知书发出后，采购人改变中标结果的，或者中标人放弃中标项目的，应当依法承担法律责任。</w:t>
      </w:r>
    </w:p>
    <w:p>
      <w:pPr>
        <w:spacing w:line="360" w:lineRule="auto"/>
        <w:rPr>
          <w:rFonts w:ascii="仿宋" w:eastAsia="仿宋" w:hAnsi="仿宋"/>
          <w:b/>
          <w:sz w:val="32"/>
          <w:szCs w:val="32"/>
        </w:rPr>
      </w:pPr>
      <w:bookmarkStart w:id="36" w:name="_Toc120614220"/>
      <w:bookmarkStart w:id="37" w:name="_Toc16938552"/>
      <w:bookmarkStart w:id="38" w:name="_Toc20823308"/>
      <w:bookmarkStart w:id="39" w:name="_Toc513029236"/>
      <w:r>
        <w:rPr>
          <w:rFonts w:ascii="仿宋" w:eastAsia="仿宋" w:hAnsi="仿宋" w:hint="eastAsia"/>
          <w:b/>
          <w:sz w:val="32"/>
          <w:szCs w:val="32"/>
        </w:rPr>
        <w:t xml:space="preserve">七、授予合同</w:t>
      </w:r>
      <w:bookmarkEnd w:id="36"/>
      <w:bookmarkEnd w:id="37"/>
      <w:bookmarkEnd w:id="38"/>
      <w:bookmarkEnd w:id="39"/>
    </w:p>
    <w:p>
      <w:pPr>
        <w:spacing w:line="360" w:lineRule="auto"/>
        <w:rPr>
          <w:rFonts w:ascii="仿宋" w:eastAsia="仿宋" w:hAnsi="仿宋" w:cs="仿宋" w:hint="eastAsia"/>
          <w:sz w:val="24"/>
        </w:rPr>
      </w:pPr>
      <w:bookmarkStart w:id="40" w:name="_Toc16938553"/>
      <w:bookmarkStart w:id="41" w:name="_Toc513029237"/>
      <w:bookmarkStart w:id="42" w:name="_Toc20823309"/>
      <w:r>
        <w:rPr>
          <w:rFonts w:ascii="仿宋" w:eastAsia="仿宋" w:hAnsi="仿宋" w:cs="仿宋" w:hint="eastAsia"/>
          <w:sz w:val="24"/>
        </w:rPr>
        <w:t xml:space="preserve">31.履约保证金</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31.1为保证合同的顺利执行，中标人必须在与采购人签订合同前，向采购人提交金额为中标总价1%的履约保证金，逾期未提交履约保证金作自动放弃中标处理。</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31.2履约保证金应当以支票、汇票、本票或者保险公司、金融机构、担保机构出具的保函等非现金形式提交。提交形式由投标人自主选择，采购人应按淮财发【2022】207号通知规定接受投标人提交的保证保险。</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31.3如中标人未能履行合同规定的义务，采购人有权从履约保证金中取得补偿。</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31.4履约保证金在合同约定期间内不予退还或者应完全有效，约定期间届满之日起5个工作日内，采购人应将履约保证金退还中标人；逾期退还的，按中国人民银行同期贷款基利率上浮20%后的利率支付超期资金占用费，但因中标人自身原因导致无法及时退还的除外。</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31.5履约保证金在项目验收合格后退还给中标人。</w:t>
      </w:r>
    </w:p>
    <w:p>
      <w:pPr>
        <w:spacing w:line="360" w:lineRule="auto"/>
        <w:rPr>
          <w:rFonts w:ascii="仿宋" w:eastAsia="仿宋" w:hAnsi="仿宋"/>
          <w:sz w:val="24"/>
        </w:rPr>
      </w:pPr>
      <w:r>
        <w:rPr>
          <w:rFonts w:ascii="仿宋" w:eastAsia="仿宋" w:hAnsi="仿宋" w:hint="eastAsia"/>
          <w:sz w:val="24"/>
        </w:rPr>
        <w:t xml:space="preserve">32. 签订合同</w:t>
      </w:r>
      <w:r>
        <w:rPr>
          <w:rFonts w:ascii="仿宋" w:eastAsia="仿宋" w:hAnsi="仿宋" w:hint="eastAsia"/>
          <w:sz w:val="24"/>
        </w:rPr>
        <w:tab/>
      </w:r>
    </w:p>
    <w:p>
      <w:pPr>
        <w:spacing w:line="360" w:lineRule="auto"/>
        <w:ind w:firstLine="560"/>
        <w:rPr>
          <w:rFonts w:ascii="仿宋" w:eastAsia="仿宋" w:hAnsi="仿宋"/>
          <w:sz w:val="24"/>
        </w:rPr>
      </w:pPr>
      <w:r>
        <w:rPr>
          <w:rFonts w:ascii="仿宋" w:eastAsia="仿宋" w:hAnsi="仿宋" w:hint="eastAsia"/>
          <w:sz w:val="24"/>
        </w:rPr>
        <w:t xml:space="preserve">32.l中标人应当在中标通知书发出之日起</w:t>
      </w:r>
      <w:r>
        <w:rPr>
          <w:rFonts w:ascii="仿宋" w:eastAsia="仿宋" w:hAnsi="仿宋" w:hint="eastAsia"/>
          <w:bCs/>
          <w:color w:val="000000"/>
          <w:sz w:val="24"/>
        </w:rPr>
        <w:t xml:space="preserve">十五</w:t>
      </w:r>
      <w:r>
        <w:rPr>
          <w:rFonts w:ascii="仿宋" w:eastAsia="仿宋" w:hAnsi="仿宋" w:hint="eastAsia"/>
          <w:sz w:val="24"/>
        </w:rPr>
        <w:t xml:space="preserve">日内，按照招标文件确定的事项与采购人签订政府采购合同。</w:t>
      </w:r>
    </w:p>
    <w:p>
      <w:pPr>
        <w:spacing w:line="360" w:lineRule="auto"/>
        <w:ind w:firstLine="560"/>
        <w:rPr>
          <w:rFonts w:ascii="仿宋" w:eastAsia="仿宋" w:hAnsi="仿宋"/>
          <w:sz w:val="24"/>
        </w:rPr>
      </w:pPr>
      <w:r>
        <w:rPr>
          <w:rFonts w:ascii="仿宋" w:eastAsia="仿宋" w:hAnsi="仿宋" w:hint="eastAsia"/>
          <w:sz w:val="24"/>
        </w:rPr>
        <w:t xml:space="preserve">32.2招标文件、中标人的投标文件及招标过程中有关澄清、承诺文件均应作为合同附件。</w:t>
      </w:r>
    </w:p>
    <w:p>
      <w:pPr>
        <w:spacing w:line="360" w:lineRule="auto"/>
        <w:ind w:firstLine="560"/>
        <w:rPr>
          <w:rFonts w:ascii="仿宋" w:eastAsia="仿宋" w:hAnsi="仿宋"/>
          <w:sz w:val="24"/>
        </w:rPr>
      </w:pPr>
      <w:r>
        <w:rPr>
          <w:rFonts w:ascii="仿宋" w:eastAsia="仿宋" w:hAnsi="仿宋" w:hint="eastAsia"/>
          <w:sz w:val="24"/>
        </w:rPr>
        <w:t xml:space="preserve">32.3 签订合同后，中标人不得将合同标的进行转包。未经采购人同意，中标人也不得采用分包的形式履行合同，否则采购人有权终止合同。转包或分包造成采购人损失的，中标人应承担相应赔偿责任。</w:t>
      </w:r>
    </w:p>
    <w:p>
      <w:pPr>
        <w:spacing w:line="360" w:lineRule="auto"/>
        <w:rPr>
          <w:rFonts w:ascii="仿宋" w:eastAsia="仿宋" w:hAnsi="仿宋"/>
          <w:sz w:val="24"/>
        </w:rPr>
      </w:pPr>
      <w:r>
        <w:rPr>
          <w:rFonts w:ascii="仿宋" w:eastAsia="仿宋" w:hAnsi="仿宋" w:hint="eastAsia"/>
          <w:sz w:val="24"/>
        </w:rPr>
        <w:t xml:space="preserve">33.货物（包含与货物相关的服务）的追加</w:t>
      </w:r>
    </w:p>
    <w:p>
      <w:pPr>
        <w:spacing w:line="360" w:lineRule="auto"/>
        <w:ind w:firstLine="560"/>
        <w:rPr>
          <w:rFonts w:ascii="仿宋" w:eastAsia="仿宋" w:hAnsi="仿宋"/>
          <w:sz w:val="24"/>
        </w:rPr>
      </w:pPr>
      <w:r>
        <w:rPr>
          <w:rFonts w:ascii="仿宋" w:eastAsia="仿宋" w:hAnsi="仿宋" w:hint="eastAsia"/>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40"/>
      <w:bookmarkEnd w:id="41"/>
      <w:bookmarkEnd w:id="42"/>
    </w:p>
    <w:p>
      <w:pPr>
        <w:spacing w:line="360" w:lineRule="auto"/>
        <w:rPr>
          <w:rFonts w:ascii="仿宋" w:eastAsia="仿宋" w:hAnsi="仿宋"/>
          <w:sz w:val="24"/>
        </w:rPr>
      </w:pPr>
      <w:r>
        <w:rPr>
          <w:rFonts w:ascii="仿宋" w:eastAsia="仿宋" w:hAnsi="仿宋" w:hint="eastAsia"/>
          <w:sz w:val="24"/>
        </w:rPr>
        <w:t xml:space="preserve">34.政府采购履约资金扶持政策</w:t>
      </w:r>
    </w:p>
    <w:p>
      <w:pPr>
        <w:spacing w:line="360" w:lineRule="auto"/>
        <w:ind w:firstLine="560"/>
        <w:rPr>
          <w:rFonts w:ascii="仿宋" w:eastAsia="仿宋" w:hAnsi="仿宋"/>
          <w:sz w:val="24"/>
        </w:rPr>
      </w:pPr>
      <w:r>
        <w:rPr>
          <w:rFonts w:ascii="仿宋" w:eastAsia="仿宋" w:hAnsi="仿宋" w:hint="eastAsia"/>
          <w:sz w:val="24"/>
        </w:rPr>
        <w:t xml:space="preserve">中标供应商可凭政府采购合同办理融资贷款，详情请见江苏政府采购网“政采贷”专栏。</w:t>
      </w:r>
    </w:p>
    <w:p>
      <w:pPr>
        <w:spacing w:line="360" w:lineRule="auto"/>
        <w:rPr>
          <w:rFonts w:ascii="仿宋" w:eastAsia="仿宋" w:hAnsi="仿宋"/>
          <w:b/>
          <w:sz w:val="32"/>
          <w:szCs w:val="32"/>
        </w:rPr>
      </w:pPr>
      <w:r>
        <w:rPr>
          <w:rFonts w:ascii="仿宋" w:eastAsia="仿宋" w:hAnsi="仿宋" w:hint="eastAsia"/>
          <w:b/>
          <w:sz w:val="32"/>
          <w:szCs w:val="32"/>
        </w:rPr>
        <w:t xml:space="preserve">八、政府采购政策功能落实</w:t>
      </w:r>
    </w:p>
    <w:p>
      <w:pPr>
        <w:spacing w:line="360" w:lineRule="auto"/>
        <w:rPr>
          <w:rFonts w:ascii="仿宋" w:eastAsia="仿宋" w:hAnsi="仿宋"/>
          <w:sz w:val="24"/>
        </w:rPr>
      </w:pPr>
      <w:r>
        <w:rPr>
          <w:rFonts w:ascii="仿宋" w:eastAsia="仿宋" w:hAnsi="仿宋" w:hint="eastAsia"/>
          <w:sz w:val="24"/>
        </w:rPr>
        <w:t xml:space="preserve">35.</w:t>
      </w:r>
      <w:r>
        <w:rPr>
          <w:rFonts w:ascii="仿宋" w:eastAsia="仿宋" w:hAnsi="仿宋" w:hint="eastAsia"/>
          <w:sz w:val="24"/>
          <w:lang w:val="zh-CN"/>
        </w:rPr>
        <w:t xml:space="preserve">促进中小企业发展</w:t>
      </w:r>
      <w:r>
        <w:rPr>
          <w:rFonts w:ascii="仿宋" w:eastAsia="仿宋" w:hAnsi="仿宋" w:hint="eastAsia"/>
          <w:sz w:val="24"/>
        </w:rPr>
        <w:t xml:space="preserve">政策</w:t>
      </w:r>
    </w:p>
    <w:p>
      <w:pPr>
        <w:spacing w:line="360" w:lineRule="auto"/>
        <w:ind w:firstLine="560"/>
        <w:rPr>
          <w:rFonts w:ascii="仿宋" w:eastAsia="仿宋" w:hAnsi="仿宋"/>
          <w:sz w:val="24"/>
        </w:rPr>
      </w:pPr>
      <w:r>
        <w:rPr>
          <w:rFonts w:ascii="仿宋" w:eastAsia="仿宋" w:hAnsi="仿宋" w:hint="eastAsia"/>
          <w:sz w:val="24"/>
        </w:rPr>
        <w:t xml:space="preserve">35.1小微型企业价格扣除</w:t>
      </w:r>
    </w:p>
    <w:p>
      <w:pPr>
        <w:spacing w:line="360" w:lineRule="auto"/>
        <w:ind w:firstLine="560"/>
        <w:rPr>
          <w:rFonts w:ascii="仿宋" w:eastAsia="仿宋" w:hAnsi="仿宋"/>
          <w:sz w:val="24"/>
        </w:rPr>
      </w:pPr>
      <w:r>
        <w:rPr>
          <w:rFonts w:ascii="仿宋" w:eastAsia="仿宋" w:hAnsi="仿宋" w:hint="eastAsia"/>
          <w:sz w:val="24"/>
        </w:rPr>
        <w:t xml:space="preserve">35.1.1</w:t>
      </w:r>
      <w:r>
        <w:rPr>
          <w:rFonts w:ascii="仿宋" w:eastAsia="仿宋" w:hAnsi="仿宋" w:hint="eastAsia"/>
          <w:sz w:val="24"/>
          <w:lang w:val="zh-CN"/>
        </w:rPr>
        <w:t xml:space="preserve">对于未专门面向中小企业或者未预留份额专门面向中小企业采购的采购项目，供应商提供的货物或者服务</w:t>
      </w:r>
      <w:r>
        <w:rPr>
          <w:rFonts w:ascii="仿宋" w:eastAsia="仿宋" w:hAnsi="仿宋" w:hint="eastAsia"/>
          <w:sz w:val="24"/>
        </w:rPr>
        <w:t xml:space="preserve">符合下列情形的，享受本办法规定的中小企业扶持政策给予小微企业报价20%的扣除，用扣除后的价格参与评审：</w:t>
      </w:r>
    </w:p>
    <w:p>
      <w:pPr>
        <w:spacing w:line="360" w:lineRule="auto"/>
        <w:ind w:firstLine="560"/>
        <w:rPr>
          <w:rFonts w:ascii="仿宋" w:eastAsia="仿宋" w:hAnsi="仿宋"/>
          <w:sz w:val="24"/>
        </w:rPr>
      </w:pPr>
      <w:r>
        <w:rPr>
          <w:rFonts w:ascii="仿宋" w:eastAsia="仿宋" w:hAnsi="仿宋" w:hint="eastAsia"/>
          <w:sz w:val="24"/>
        </w:rPr>
        <w:t xml:space="preserve">（1）在货物采购项目中，货物由中小企业制造，即货物由中小企业生产且使用该中小企业商号或者注册商标；</w:t>
      </w:r>
    </w:p>
    <w:p>
      <w:pPr>
        <w:spacing w:line="360" w:lineRule="auto"/>
        <w:ind w:firstLine="560"/>
        <w:rPr>
          <w:rFonts w:ascii="仿宋" w:eastAsia="仿宋" w:hAnsi="仿宋"/>
          <w:sz w:val="24"/>
        </w:rPr>
      </w:pPr>
      <w:r>
        <w:rPr>
          <w:rFonts w:ascii="仿宋" w:eastAsia="仿宋" w:hAnsi="仿宋" w:hint="eastAsia"/>
          <w:sz w:val="24"/>
        </w:rPr>
        <w:t xml:space="preserve">（2）在服务采购项目中，服务由中小企业承接，即提供服务的人员为中小企业依照《中华人民共和国劳动合同法》订立劳动合同的从业人员。</w:t>
      </w:r>
    </w:p>
    <w:p>
      <w:pPr>
        <w:spacing w:line="360" w:lineRule="auto"/>
        <w:ind w:firstLine="560"/>
        <w:rPr>
          <w:rFonts w:ascii="仿宋" w:eastAsia="仿宋" w:hAnsi="仿宋"/>
          <w:sz w:val="24"/>
        </w:rPr>
      </w:pPr>
      <w:r>
        <w:rPr>
          <w:rFonts w:ascii="仿宋" w:eastAsia="仿宋" w:hAnsi="仿宋" w:hint="eastAsia"/>
          <w:sz w:val="24"/>
        </w:rPr>
        <w:t xml:space="preserve">35.1.2在货物采购项目中，供应商提供的货物既有中小企业制造货物，也有大型企业制造货物的，不享受本办法规定的中小企业扶持政策。</w:t>
      </w:r>
    </w:p>
    <w:p>
      <w:pPr>
        <w:spacing w:line="360" w:lineRule="auto"/>
        <w:ind w:firstLine="560"/>
        <w:rPr>
          <w:rFonts w:ascii="仿宋" w:eastAsia="仿宋" w:hAnsi="仿宋"/>
          <w:sz w:val="24"/>
        </w:rPr>
      </w:pPr>
      <w:r>
        <w:rPr>
          <w:rFonts w:ascii="仿宋" w:eastAsia="仿宋" w:hAnsi="仿宋" w:hint="eastAsia"/>
          <w:sz w:val="24"/>
        </w:rPr>
        <w:t xml:space="preserve">35.2联合体及分包</w:t>
      </w:r>
    </w:p>
    <w:p>
      <w:pPr>
        <w:spacing w:line="360" w:lineRule="auto"/>
        <w:ind w:firstLine="560"/>
        <w:rPr>
          <w:rFonts w:ascii="仿宋" w:eastAsia="仿宋" w:hAnsi="仿宋"/>
          <w:sz w:val="24"/>
        </w:rPr>
      </w:pPr>
      <w:r>
        <w:rPr>
          <w:rFonts w:ascii="仿宋" w:eastAsia="仿宋" w:hAnsi="仿宋" w:hint="eastAsia"/>
          <w:sz w:val="24"/>
        </w:rPr>
        <w:t xml:space="preserve">35.2.1以联合体形式参加政府采购活动，联合体各方均为中小企业的，联合体视同中小企业。其中，联合体各方均为小微企业的，联合体视同小微企业。</w:t>
      </w:r>
    </w:p>
    <w:p>
      <w:pPr>
        <w:spacing w:line="360" w:lineRule="auto"/>
        <w:ind w:firstLine="560"/>
        <w:rPr>
          <w:rFonts w:ascii="仿宋" w:eastAsia="仿宋" w:hAnsi="仿宋"/>
          <w:sz w:val="24"/>
        </w:rPr>
      </w:pPr>
      <w:r>
        <w:rPr>
          <w:rFonts w:ascii="仿宋" w:eastAsia="仿宋" w:hAnsi="仿宋" w:hint="eastAsia"/>
          <w:sz w:val="24"/>
        </w:rPr>
        <w:t xml:space="preserve">35.2.2享受扶持政策获得政府采购合同的，小微企业不得将合同分包给大中型企业，中型企业不得将合同分包给大型企业。</w:t>
      </w:r>
    </w:p>
    <w:p>
      <w:pPr>
        <w:spacing w:line="360" w:lineRule="auto"/>
        <w:ind w:firstLine="560"/>
        <w:rPr>
          <w:rFonts w:ascii="仿宋" w:eastAsia="仿宋" w:hAnsi="仿宋"/>
          <w:sz w:val="24"/>
        </w:rPr>
      </w:pPr>
      <w:r>
        <w:rPr>
          <w:rFonts w:ascii="仿宋" w:eastAsia="仿宋" w:hAnsi="仿宋" w:hint="eastAsia"/>
          <w:sz w:val="24"/>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360" w:lineRule="auto"/>
        <w:ind w:firstLine="560"/>
        <w:rPr>
          <w:rFonts w:ascii="仿宋" w:eastAsia="仿宋" w:hAnsi="仿宋"/>
          <w:sz w:val="24"/>
        </w:rPr>
      </w:pPr>
      <w:r>
        <w:rPr>
          <w:rFonts w:ascii="仿宋" w:eastAsia="仿宋" w:hAnsi="仿宋" w:hint="eastAsia"/>
          <w:sz w:val="24"/>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360" w:lineRule="auto"/>
        <w:ind w:firstLine="560"/>
        <w:rPr>
          <w:rFonts w:ascii="仿宋" w:eastAsia="仿宋" w:hAnsi="仿宋"/>
          <w:sz w:val="24"/>
        </w:rPr>
      </w:pPr>
      <w:r>
        <w:rPr>
          <w:rFonts w:ascii="仿宋" w:eastAsia="仿宋" w:hAnsi="仿宋" w:hint="eastAsia"/>
          <w:sz w:val="24"/>
        </w:rPr>
        <w:t xml:space="preserve">35.3小微型企业</w:t>
      </w:r>
    </w:p>
    <w:p>
      <w:pPr>
        <w:spacing w:line="360" w:lineRule="auto"/>
        <w:ind w:firstLine="560"/>
        <w:rPr>
          <w:rFonts w:ascii="仿宋" w:eastAsia="仿宋" w:hAnsi="仿宋"/>
          <w:sz w:val="24"/>
        </w:rPr>
      </w:pPr>
      <w:r>
        <w:rPr>
          <w:rFonts w:ascii="仿宋" w:eastAsia="仿宋" w:hAnsi="仿宋" w:hint="eastAsia"/>
          <w:sz w:val="24"/>
        </w:rPr>
        <w:t xml:space="preserve">（1）投标人须按照招标文件的要求提供相应的《企业声明函》，详见招标文件第六章示范格式。</w:t>
      </w:r>
    </w:p>
    <w:p>
      <w:pPr>
        <w:spacing w:line="360" w:lineRule="auto"/>
        <w:ind w:firstLine="560"/>
        <w:rPr>
          <w:rFonts w:ascii="仿宋" w:eastAsia="仿宋" w:hAnsi="仿宋"/>
          <w:sz w:val="24"/>
        </w:rPr>
      </w:pPr>
      <w:r>
        <w:rPr>
          <w:rFonts w:ascii="仿宋" w:eastAsia="仿宋" w:hAnsi="仿宋" w:hint="eastAsia"/>
          <w:sz w:val="24"/>
        </w:rPr>
        <w:t xml:space="preserve">（2）企业标准请参照《政府采购促进中小企业发展管理办法》（财库【2020】46号）文件规定自行填写。</w:t>
      </w:r>
    </w:p>
    <w:p>
      <w:pPr>
        <w:spacing w:line="360" w:lineRule="auto"/>
        <w:ind w:firstLine="560"/>
        <w:rPr>
          <w:rFonts w:ascii="仿宋" w:eastAsia="仿宋" w:hAnsi="仿宋"/>
          <w:sz w:val="24"/>
        </w:rPr>
      </w:pPr>
      <w:r>
        <w:rPr>
          <w:rFonts w:ascii="仿宋" w:eastAsia="仿宋" w:hAnsi="仿宋" w:hint="eastAsia"/>
          <w:sz w:val="24"/>
        </w:rPr>
        <w:t xml:space="preserve">35.4残疾人福利单位</w:t>
      </w:r>
    </w:p>
    <w:p>
      <w:pPr>
        <w:spacing w:line="360" w:lineRule="auto"/>
        <w:ind w:firstLine="560"/>
        <w:rPr>
          <w:rFonts w:ascii="仿宋" w:eastAsia="仿宋" w:hAnsi="仿宋"/>
          <w:sz w:val="24"/>
        </w:rPr>
      </w:pPr>
      <w:r>
        <w:rPr>
          <w:rFonts w:ascii="仿宋" w:eastAsia="仿宋" w:hAnsi="仿宋" w:hint="eastAsia"/>
          <w:sz w:val="24"/>
        </w:rPr>
        <w:t xml:space="preserve">（1）残疾人福利单位需按照招标文件的要求提供《残疾人福利性单位声明函》，详见招标文件第六章示范格式。</w:t>
      </w:r>
    </w:p>
    <w:p>
      <w:pPr>
        <w:spacing w:line="360" w:lineRule="auto"/>
        <w:ind w:firstLine="560"/>
        <w:rPr>
          <w:rFonts w:ascii="仿宋" w:eastAsia="仿宋" w:hAnsi="仿宋"/>
          <w:sz w:val="24"/>
        </w:rPr>
      </w:pPr>
      <w:r>
        <w:rPr>
          <w:rFonts w:ascii="仿宋" w:eastAsia="仿宋" w:hAnsi="仿宋" w:hint="eastAsia"/>
          <w:sz w:val="24"/>
        </w:rPr>
        <w:t xml:space="preserve">（2）残疾人福利单位标准请参照《关于促进残疾人就业政府采购政策的通知》（财库〔2017〕141号）。</w:t>
      </w:r>
    </w:p>
    <w:p>
      <w:pPr>
        <w:spacing w:line="360" w:lineRule="auto"/>
        <w:ind w:firstLine="560"/>
        <w:rPr>
          <w:rFonts w:ascii="仿宋" w:eastAsia="仿宋" w:hAnsi="仿宋"/>
          <w:sz w:val="24"/>
        </w:rPr>
      </w:pPr>
      <w:r>
        <w:rPr>
          <w:rFonts w:ascii="仿宋" w:eastAsia="仿宋" w:hAnsi="仿宋" w:hint="eastAsia"/>
          <w:sz w:val="24"/>
        </w:rPr>
        <w:t xml:space="preserve">35.5监狱和戒毒企业</w:t>
      </w:r>
    </w:p>
    <w:p>
      <w:pPr>
        <w:spacing w:line="360" w:lineRule="auto"/>
        <w:ind w:firstLine="560"/>
        <w:rPr>
          <w:rFonts w:ascii="仿宋" w:eastAsia="仿宋" w:hAnsi="仿宋"/>
          <w:sz w:val="24"/>
        </w:rPr>
      </w:pPr>
      <w:r>
        <w:rPr>
          <w:rFonts w:ascii="仿宋" w:eastAsia="仿宋" w:hAnsi="仿宋" w:hint="eastAsia"/>
          <w:sz w:val="24"/>
        </w:rPr>
        <w:t xml:space="preserve">（1）监狱企业参加政府采购活动时，需提供由省级以上监狱管理局、戒毒管理局（含新疆生产建设兵团）出具的属于监狱企业的证明文件）（投标文件中上传加盖出具单位公章的电子件）。</w:t>
      </w:r>
    </w:p>
    <w:p>
      <w:pPr>
        <w:spacing w:line="360" w:lineRule="auto"/>
        <w:ind w:firstLine="560"/>
        <w:rPr>
          <w:rFonts w:ascii="仿宋" w:eastAsia="仿宋" w:hAnsi="仿宋"/>
          <w:sz w:val="24"/>
        </w:rPr>
      </w:pPr>
      <w:r>
        <w:rPr>
          <w:rFonts w:ascii="仿宋" w:eastAsia="仿宋" w:hAnsi="仿宋" w:hint="eastAsia"/>
          <w:sz w:val="24"/>
        </w:rPr>
        <w:t xml:space="preserve">（2）监狱企业标准请参照《关于政府采购支持监狱企业发展有关问题的通知》（财库[2014]68号）。</w:t>
      </w:r>
    </w:p>
    <w:p>
      <w:pPr>
        <w:spacing w:line="360" w:lineRule="auto"/>
        <w:rPr>
          <w:rFonts w:ascii="仿宋" w:eastAsia="仿宋" w:hAnsi="仿宋"/>
          <w:sz w:val="24"/>
        </w:rPr>
      </w:pPr>
      <w:r>
        <w:rPr>
          <w:rFonts w:ascii="仿宋" w:eastAsia="仿宋" w:hAnsi="仿宋" w:hint="eastAsia"/>
          <w:sz w:val="24"/>
        </w:rPr>
        <w:t xml:space="preserve">36. 节能、环保政策</w:t>
      </w:r>
    </w:p>
    <w:p>
      <w:pPr>
        <w:spacing w:line="360" w:lineRule="auto"/>
        <w:ind w:firstLine="560"/>
        <w:rPr>
          <w:rFonts w:ascii="仿宋" w:eastAsia="仿宋" w:hAnsi="仿宋"/>
          <w:sz w:val="24"/>
        </w:rPr>
      </w:pPr>
      <w:r>
        <w:rPr>
          <w:rFonts w:ascii="仿宋" w:eastAsia="仿宋" w:hAnsi="仿宋" w:hint="eastAsia"/>
          <w:sz w:val="24"/>
        </w:rPr>
        <w:t xml:space="preserve">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360" w:lineRule="auto"/>
        <w:ind w:firstLine="560"/>
        <w:rPr>
          <w:rFonts w:ascii="仿宋" w:eastAsia="仿宋" w:hAnsi="仿宋"/>
          <w:sz w:val="24"/>
        </w:rPr>
      </w:pPr>
      <w:r>
        <w:rPr>
          <w:rFonts w:ascii="仿宋" w:eastAsia="仿宋" w:hAnsi="仿宋" w:hint="eastAsia"/>
          <w:sz w:val="24"/>
        </w:rPr>
        <w:t xml:space="preserve">36.2节能产品</w:t>
      </w:r>
    </w:p>
    <w:p>
      <w:pPr>
        <w:spacing w:line="360" w:lineRule="auto"/>
        <w:ind w:firstLine="560"/>
        <w:rPr>
          <w:rFonts w:ascii="仿宋" w:eastAsia="仿宋" w:hAnsi="仿宋"/>
          <w:sz w:val="24"/>
        </w:rPr>
      </w:pPr>
      <w:r>
        <w:rPr>
          <w:rFonts w:ascii="仿宋" w:eastAsia="仿宋" w:hAnsi="仿宋" w:hint="eastAsia"/>
          <w:sz w:val="24"/>
        </w:rPr>
        <w:t xml:space="preserve">本项目 (显示器)被列入“节能产品品目清单”的，实行优先采购。</w:t>
      </w:r>
    </w:p>
    <w:p>
      <w:pPr>
        <w:spacing w:line="360" w:lineRule="auto"/>
        <w:ind w:firstLine="560"/>
        <w:rPr>
          <w:rFonts w:ascii="仿宋" w:eastAsia="仿宋" w:hAnsi="仿宋"/>
          <w:sz w:val="24"/>
        </w:rPr>
      </w:pPr>
      <w:r>
        <w:rPr>
          <w:rFonts w:ascii="仿宋" w:eastAsia="仿宋" w:hAnsi="仿宋" w:hint="eastAsia"/>
          <w:sz w:val="24"/>
        </w:rPr>
        <w:t xml:space="preserve">36.3环保产品</w:t>
      </w:r>
    </w:p>
    <w:p>
      <w:pPr>
        <w:spacing w:line="360" w:lineRule="auto"/>
        <w:ind w:firstLine="560"/>
        <w:rPr>
          <w:rFonts w:ascii="仿宋" w:eastAsia="仿宋" w:hAnsi="仿宋"/>
          <w:sz w:val="24"/>
        </w:rPr>
      </w:pPr>
      <w:r>
        <w:rPr>
          <w:rFonts w:ascii="仿宋" w:eastAsia="仿宋" w:hAnsi="仿宋" w:hint="eastAsia"/>
          <w:sz w:val="24"/>
        </w:rPr>
        <w:t xml:space="preserve">本项目中 (显示器)被列入“环境标志产品品目清单”的，实行优先采购。</w:t>
      </w:r>
    </w:p>
    <w:p>
      <w:pPr>
        <w:spacing w:line="360" w:lineRule="auto"/>
        <w:ind w:firstLine="560"/>
        <w:rPr>
          <w:rFonts w:ascii="仿宋" w:eastAsia="仿宋" w:hAnsi="仿宋"/>
          <w:sz w:val="24"/>
        </w:rPr>
      </w:pPr>
      <w:r>
        <w:rPr>
          <w:rFonts w:ascii="仿宋" w:eastAsia="仿宋" w:hAnsi="仿宋" w:hint="eastAsia"/>
          <w:sz w:val="24"/>
        </w:rPr>
        <w:t xml:space="preserve">36.4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p>
    <w:p>
      <w:pPr>
        <w:spacing w:line="360" w:lineRule="auto"/>
        <w:ind w:firstLine="560"/>
        <w:rPr>
          <w:rFonts w:ascii="仿宋" w:eastAsia="仿宋" w:hAnsi="仿宋"/>
          <w:bCs/>
          <w:color w:val="000000"/>
          <w:sz w:val="24"/>
        </w:rPr>
      </w:pPr>
      <w:r>
        <w:rPr>
          <w:rFonts w:ascii="仿宋" w:eastAsia="仿宋" w:hAnsi="仿宋" w:hint="eastAsia"/>
          <w:sz w:val="24"/>
        </w:rPr>
        <w:t xml:space="preserve">36.5节能、环保产品的品目清单按照《关于印发环境标志产品政府采购品目清单的通知》（财库〔2019〕18号）、《关于印发节能产品政府采购品目清单的</w:t>
      </w:r>
      <w:r>
        <w:rPr>
          <w:rFonts w:ascii="仿宋" w:eastAsia="仿宋" w:hAnsi="仿宋" w:hint="eastAsia"/>
          <w:bCs/>
          <w:color w:val="000000"/>
          <w:sz w:val="24"/>
        </w:rPr>
        <w:t xml:space="preserve">通知》（财库〔2019〕19号）执行。国家对品目清单进行调整的，按照最新调整的品目清单执行。</w:t>
      </w:r>
    </w:p>
    <w:p>
      <w:pPr>
        <w:spacing w:line="360" w:lineRule="auto"/>
        <w:rPr>
          <w:rFonts w:ascii="仿宋" w:eastAsia="仿宋" w:hAnsi="仿宋"/>
          <w:bCs/>
          <w:color w:val="000000"/>
          <w:sz w:val="24"/>
        </w:rPr>
      </w:pPr>
      <w:r>
        <w:rPr>
          <w:rFonts w:ascii="仿宋" w:eastAsia="仿宋" w:hAnsi="仿宋" w:hint="eastAsia"/>
          <w:bCs/>
          <w:color w:val="000000"/>
          <w:sz w:val="24"/>
        </w:rPr>
        <w:t xml:space="preserve">37．政府绿色采购</w:t>
      </w:r>
    </w:p>
    <w:p>
      <w:pPr>
        <w:spacing w:line="360" w:lineRule="auto"/>
        <w:ind w:firstLine="560"/>
        <w:rPr>
          <w:rFonts w:ascii="仿宋" w:eastAsia="仿宋" w:hAnsi="仿宋"/>
          <w:sz w:val="24"/>
        </w:rPr>
      </w:pPr>
      <w:r>
        <w:rPr>
          <w:rFonts w:ascii="仿宋" w:eastAsia="仿宋" w:hAnsi="仿宋" w:hint="eastAsia"/>
          <w:sz w:val="24"/>
        </w:rPr>
        <w:t xml:space="preserve">根据《江苏省财政厅关于加强政府绿色采购有关事项的通知》（苏财购〔2023〕65号）的要求，落实政府绿色采购相关政策，具体如下：</w:t>
      </w:r>
    </w:p>
    <w:p>
      <w:pPr>
        <w:spacing w:line="360" w:lineRule="auto"/>
        <w:ind w:firstLine="560"/>
        <w:rPr>
          <w:rFonts w:ascii="仿宋" w:eastAsia="仿宋" w:hAnsi="仿宋"/>
          <w:sz w:val="24"/>
        </w:rPr>
      </w:pPr>
      <w:r>
        <w:rPr>
          <w:rFonts w:ascii="仿宋" w:eastAsia="仿宋" w:hAnsi="仿宋" w:hint="eastAsia"/>
          <w:sz w:val="24"/>
        </w:rPr>
        <w:t xml:space="preserve">37.1本项目为货物类采购项目的，所提供的产品需综合考虑节能环保、节水、循环再生、低碳、有机等因素；本项目为物业、合同能源管理等服务类采购项目的，应在服务中加强绿色低碳管理。</w:t>
      </w:r>
    </w:p>
    <w:p>
      <w:pPr>
        <w:pStyle w:val="正文首行缩进21"/>
        <w:spacing w:after="0" w:line="360" w:lineRule="auto"/>
        <w:ind w:left="0" w:firstLine="480"/>
        <w:rPr>
          <w:rFonts w:ascii="仿宋" w:eastAsia="仿宋" w:hAnsi="仿宋"/>
          <w:color w:val="000000"/>
          <w:sz w:val="24"/>
          <w:szCs w:val="24"/>
        </w:rPr>
      </w:pPr>
      <w:r>
        <w:rPr>
          <w:rFonts w:ascii="仿宋" w:eastAsia="仿宋" w:hAnsi="仿宋" w:hint="eastAsia"/>
          <w:color w:val="000000"/>
          <w:sz w:val="24"/>
          <w:szCs w:val="24"/>
        </w:rPr>
        <w:t xml:space="preserve">37.2本项目中涉及商品的</w:t>
      </w:r>
      <w:r>
        <w:rPr>
          <w:rFonts w:ascii="仿宋" w:eastAsia="仿宋" w:hAnsi="仿宋"/>
          <w:color w:val="000000"/>
          <w:sz w:val="24"/>
          <w:szCs w:val="24"/>
        </w:rPr>
        <w:t xml:space="preserve">包装应按照“财办库〔2020〕123号《关于印发《商品包装政府采购需求标准（试行）》、《快递包装政府采购需求标准（试行）》的通知》”执行</w:t>
      </w:r>
      <w:r>
        <w:rPr>
          <w:rFonts w:ascii="仿宋" w:eastAsia="仿宋" w:hAnsi="仿宋" w:hint="eastAsia"/>
          <w:color w:val="000000"/>
          <w:sz w:val="24"/>
          <w:szCs w:val="24"/>
        </w:rPr>
        <w:t xml:space="preserve">,在供货、安装过程中能做到低碳物流、环保节约、提高资源利用率；涉及设备运维参考《绿色数据中心政府采购需求标准（试行）》（财库【2023】7号文）执行。</w:t>
      </w:r>
    </w:p>
    <w:p>
      <w:pPr>
        <w:pStyle w:val="正文首行缩进21"/>
        <w:spacing w:after="0" w:line="360" w:lineRule="auto"/>
        <w:ind w:left="0" w:firstLine="480"/>
        <w:rPr>
          <w:rFonts w:ascii="仿宋" w:eastAsia="仿宋" w:hAnsi="仿宋"/>
          <w:color w:val="000000"/>
          <w:sz w:val="24"/>
          <w:szCs w:val="24"/>
        </w:rPr>
      </w:pPr>
      <w:r>
        <w:rPr>
          <w:rFonts w:ascii="仿宋" w:eastAsia="仿宋" w:hAnsi="仿宋" w:hint="eastAsia"/>
          <w:color w:val="000000"/>
          <w:sz w:val="24"/>
          <w:szCs w:val="24"/>
        </w:rPr>
        <w:t xml:space="preserve">37.3本项目中涉及涂料、胶黏剂、油墨、清洗剂等挥发性有机物产品的，要执行国家和江苏省VOCs含量限制标准，优先使用低挥发性原辅材料，使用低VOCs含量的涂料、胶黏剂等。</w:t>
      </w:r>
    </w:p>
    <w:p>
      <w:pPr>
        <w:spacing w:line="360" w:lineRule="auto"/>
        <w:rPr>
          <w:rFonts w:ascii="仿宋" w:eastAsia="仿宋" w:hAnsi="仿宋" w:cs="仿宋" w:hint="eastAsia"/>
          <w:sz w:val="24"/>
        </w:rPr>
      </w:pPr>
    </w:p>
    <w:p>
      <w:pPr>
        <w:spacing w:line="360" w:lineRule="auto"/>
        <w:rPr>
          <w:rFonts w:ascii="仿宋" w:eastAsia="仿宋" w:hAnsi="仿宋" w:cs="仿宋" w:hint="eastAsia"/>
          <w:sz w:val="24"/>
        </w:rPr>
      </w:pPr>
    </w:p>
    <w:p>
      <w:pPr>
        <w:spacing w:line="360" w:lineRule="auto"/>
        <w:rPr>
          <w:rFonts w:ascii="仿宋" w:eastAsia="仿宋" w:hAnsi="仿宋" w:cs="仿宋" w:hint="eastAsia"/>
          <w:sz w:val="24"/>
        </w:rPr>
      </w:pPr>
    </w:p>
    <w:p>
      <w:pPr>
        <w:spacing w:line="360" w:lineRule="auto"/>
        <w:ind w:firstLine="480"/>
        <w:rPr>
          <w:rFonts w:ascii="仿宋" w:eastAsia="仿宋" w:hAnsi="仿宋" w:cs="仿宋" w:hint="eastAsia"/>
          <w:sz w:val="24"/>
        </w:rPr>
      </w:pPr>
    </w:p>
    <w:p>
      <w:pPr>
        <w:spacing w:line="520" w:lineRule="exact"/>
        <w:ind w:firstLine="1946"/>
        <w:rPr>
          <w:rFonts w:ascii="仿宋" w:eastAsia="仿宋" w:hAnsi="仿宋" w:cs="仿宋" w:hint="eastAsia"/>
          <w:sz w:val="28"/>
          <w:szCs w:val="28"/>
        </w:rPr>
      </w:pPr>
    </w:p>
    <w:p>
      <w:pPr>
        <w:tabs>
          <w:tab w:val="left" w:pos="3496"/>
        </w:tabs>
        <w:spacing w:line="360" w:lineRule="auto"/>
        <w:jc w:val="center"/>
        <w:rPr>
          <w:rFonts w:ascii="仿宋" w:eastAsia="仿宋" w:hAnsi="仿宋" w:cs="仿宋" w:hint="eastAsia"/>
          <w:b/>
          <w:sz w:val="36"/>
          <w:szCs w:val="36"/>
        </w:rPr>
      </w:pPr>
      <w:r>
        <w:br w:type="page"/>
      </w:r>
      <w:r>
        <w:rPr>
          <w:rFonts w:ascii="仿宋" w:eastAsia="仿宋" w:hAnsi="仿宋" w:cs="仿宋" w:hint="eastAsia"/>
          <w:b/>
          <w:sz w:val="36"/>
          <w:szCs w:val="36"/>
        </w:rPr>
        <w:t xml:space="preserve">第三章  评标标准</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spacing w:line="360" w:lineRule="auto"/>
        <w:ind w:firstLine="480"/>
        <w:rPr>
          <w:rFonts w:ascii="仿宋" w:eastAsia="仿宋" w:hAnsi="仿宋" w:cs="仿宋" w:hint="eastAsia"/>
          <w:sz w:val="24"/>
        </w:rPr>
      </w:pPr>
      <w:r>
        <w:rPr>
          <w:rFonts w:ascii="仿宋" w:eastAsia="仿宋" w:hAnsi="仿宋" w:cs="仿宋" w:hint="eastAsia"/>
          <w:sz w:val="24"/>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中标候选人。</w:t>
      </w:r>
    </w:p>
    <w:p>
      <w:pPr>
        <w:spacing w:line="360" w:lineRule="auto"/>
        <w:ind w:firstLine="560"/>
        <w:rPr>
          <w:rFonts w:ascii="仿宋" w:eastAsia="仿宋" w:hAnsi="仿宋" w:cs="仿宋" w:hint="eastAsia"/>
          <w:sz w:val="24"/>
        </w:rPr>
      </w:pPr>
      <w:r>
        <w:rPr>
          <w:rFonts w:ascii="仿宋" w:eastAsia="仿宋" w:hAnsi="仿宋" w:cs="仿宋" w:hint="eastAsia"/>
          <w:sz w:val="24"/>
        </w:rPr>
        <w:t xml:space="preserve">三、具体标准:</w:t>
      </w:r>
    </w:p>
    <w:tbl>
      <w:tblPr>
        <w:tblStyle w:val="NormalTable"/>
        <w:tblW w:w="55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600" w:firstRow="0" w:lastRow="0" w:firstColumn="0" w:lastColumn="0" w:noHBand="1" w:noVBand="1"/>
      </w:tblPr>
      <w:tblGrid>
        <w:gridCol w:w="652"/>
        <w:gridCol w:w="759"/>
        <w:gridCol w:w="7748"/>
      </w:tblGrid>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val="489"/>
          <w:jc w:val="center"/>
        </w:trPr>
        <w:tc>
          <w:tcPr>
            <w:tcW w:w="356" w:type="dxa"/>
            <w:noWrap w:val="0"/>
            <w:vAlign w:val="center"/>
          </w:tcPr>
          <w:p>
            <w:pPr>
              <w:spacing w:line="276" w:lineRule="auto"/>
              <w:jc w:val="center"/>
              <w:outlineLvl w:val="0"/>
              <w:rPr>
                <w:rFonts w:ascii="仿宋" w:eastAsia="仿宋" w:hAnsi="仿宋" w:hint="eastAsia"/>
                <w:b/>
                <w:sz w:val="24"/>
              </w:rPr>
            </w:pPr>
            <w:r>
              <w:rPr>
                <w:rFonts w:ascii="仿宋" w:eastAsia="仿宋" w:hAnsi="仿宋" w:hint="eastAsia"/>
                <w:b/>
                <w:sz w:val="24"/>
              </w:rPr>
              <w:t xml:space="preserve">评审因素</w:t>
            </w:r>
          </w:p>
        </w:tc>
        <w:tc>
          <w:tcPr>
            <w:tcW w:w="414" w:type="dxa"/>
            <w:noWrap w:val="0"/>
            <w:vAlign w:val="center"/>
          </w:tcPr>
          <w:p>
            <w:pPr>
              <w:spacing w:line="276" w:lineRule="auto"/>
              <w:jc w:val="center"/>
              <w:outlineLvl w:val="0"/>
              <w:rPr>
                <w:rFonts w:ascii="仿宋" w:eastAsia="仿宋" w:hAnsi="仿宋" w:hint="eastAsia"/>
                <w:b/>
                <w:sz w:val="24"/>
              </w:rPr>
            </w:pPr>
            <w:r>
              <w:rPr>
                <w:rFonts w:ascii="仿宋" w:eastAsia="仿宋" w:hAnsi="仿宋" w:hint="eastAsia"/>
                <w:b/>
                <w:sz w:val="24"/>
              </w:rPr>
              <w:t xml:space="preserve">分数</w:t>
            </w:r>
          </w:p>
        </w:tc>
        <w:tc>
          <w:tcPr>
            <w:tcW w:w="4228" w:type="dxa"/>
            <w:noWrap w:val="0"/>
            <w:vAlign w:val="center"/>
          </w:tcPr>
          <w:p>
            <w:pPr>
              <w:spacing w:line="276" w:lineRule="auto"/>
              <w:jc w:val="center"/>
              <w:outlineLvl w:val="0"/>
              <w:rPr>
                <w:rFonts w:ascii="仿宋" w:eastAsia="仿宋" w:hAnsi="仿宋" w:hint="eastAsia"/>
                <w:b/>
                <w:sz w:val="24"/>
              </w:rPr>
            </w:pPr>
            <w:r>
              <w:rPr>
                <w:rFonts w:ascii="仿宋" w:eastAsia="仿宋" w:hAnsi="仿宋" w:hint="eastAsia"/>
                <w:b/>
                <w:sz w:val="24"/>
              </w:rPr>
              <w:t xml:space="preserve">评审标准</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hint="eastAsia"/>
                <w:sz w:val="24"/>
                <w:highlight w:val="none"/>
              </w:rPr>
            </w:pPr>
            <w:r>
              <w:rPr>
                <w:rFonts w:ascii="仿宋" w:eastAsia="仿宋" w:hAnsi="仿宋" w:cs="仿宋" w:hint="eastAsia"/>
                <w:sz w:val="24"/>
                <w:highlight w:val="none"/>
              </w:rPr>
              <w:t xml:space="preserve">投标报价</w:t>
            </w:r>
          </w:p>
        </w:tc>
        <w:tc>
          <w:tcPr>
            <w:tcW w:w="414" w:type="dxa"/>
            <w:noWrap w:val="0"/>
            <w:vAlign w:val="center"/>
          </w:tcPr>
          <w:p>
            <w:pPr>
              <w:spacing w:line="276" w:lineRule="auto"/>
              <w:jc w:val="center"/>
              <w:rPr>
                <w:rFonts w:ascii="仿宋" w:eastAsia="仿宋" w:hAnsi="仿宋" w:cs="仿宋" w:hint="eastAsia"/>
                <w:sz w:val="24"/>
                <w:highlight w:val="none"/>
              </w:rPr>
            </w:pPr>
            <w:r>
              <w:rPr>
                <w:rFonts w:ascii="仿宋" w:eastAsia="仿宋" w:hAnsi="仿宋" w:cs="仿宋" w:hint="eastAsia"/>
                <w:sz w:val="24"/>
                <w:highlight w:val="none"/>
              </w:rPr>
              <w:t xml:space="preserve">40分</w:t>
            </w:r>
          </w:p>
        </w:tc>
        <w:tc>
          <w:tcPr>
            <w:tcW w:w="4228" w:type="dxa"/>
            <w:noWrap w:val="0"/>
            <w:vAlign w:val="center"/>
          </w:tcPr>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本项目采用低价优先法计算，满足招标文件要求且投标价格最低的投标报价为评标基准价，其价格分为满分。其他投标人的价格分按照下列公式计算（小数点保留两位）：</w:t>
            </w:r>
          </w:p>
          <w:p>
            <w:pPr>
              <w:spacing w:line="276" w:lineRule="auto"/>
              <w:rPr>
                <w:rFonts w:ascii="仿宋" w:eastAsia="仿宋" w:hAnsi="仿宋" w:cs="仿宋" w:hint="eastAsia"/>
                <w:sz w:val="24"/>
                <w:highlight w:val="none"/>
              </w:rPr>
            </w:pPr>
            <w:r>
              <w:rPr>
                <w:rFonts w:ascii="仿宋" w:eastAsia="仿宋" w:hAnsi="仿宋" w:cs="仿宋" w:hint="eastAsia"/>
                <w:sz w:val="24"/>
                <w:highlight w:val="none"/>
              </w:rPr>
              <w:t xml:space="preserve">投标报价得分＝（评标基准价/投标报价）×40分</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sz w:val="24"/>
                <w:highlight w:val="none"/>
              </w:rPr>
            </w:pPr>
            <w:r>
              <w:rPr>
                <w:rFonts w:ascii="仿宋" w:eastAsia="仿宋" w:hAnsi="仿宋" w:cs="仿宋" w:hint="eastAsia"/>
                <w:sz w:val="24"/>
                <w:highlight w:val="none"/>
              </w:rPr>
              <w:t xml:space="preserve">政策导向</w:t>
            </w:r>
          </w:p>
        </w:tc>
        <w:tc>
          <w:tcPr>
            <w:tcW w:w="414" w:type="dxa"/>
            <w:noWrap w:val="0"/>
            <w:vAlign w:val="center"/>
          </w:tcPr>
          <w:p>
            <w:pPr>
              <w:spacing w:line="276" w:lineRule="auto"/>
              <w:jc w:val="center"/>
              <w:rPr>
                <w:rFonts w:ascii="仿宋" w:eastAsia="仿宋" w:hAnsi="仿宋" w:cs="仿宋"/>
                <w:sz w:val="24"/>
                <w:highlight w:val="none"/>
              </w:rPr>
            </w:pPr>
            <w:r>
              <w:rPr>
                <w:rFonts w:ascii="仿宋" w:eastAsia="仿宋" w:hAnsi="仿宋" w:cs="仿宋" w:hint="eastAsia"/>
                <w:sz w:val="24"/>
                <w:highlight w:val="none"/>
              </w:rPr>
              <w:t xml:space="preserve">4分</w:t>
            </w:r>
          </w:p>
        </w:tc>
        <w:tc>
          <w:tcPr>
            <w:tcW w:w="4228" w:type="dxa"/>
            <w:noWrap w:val="0"/>
            <w:vAlign w:val="center"/>
          </w:tcPr>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（1）投标产品（显示器）在财政部、生态环境部公布的</w:t>
            </w:r>
            <w:r>
              <w:rPr>
                <w:rFonts w:ascii="仿宋" w:eastAsia="仿宋" w:hAnsi="仿宋" w:cs="仿宋"/>
                <w:sz w:val="24"/>
                <w:highlight w:val="none"/>
              </w:rPr>
              <w:t xml:space="preserve">“</w:t>
            </w:r>
            <w:r>
              <w:rPr>
                <w:rFonts w:ascii="仿宋" w:eastAsia="仿宋" w:hAnsi="仿宋" w:cs="仿宋" w:hint="eastAsia"/>
                <w:sz w:val="24"/>
                <w:highlight w:val="none"/>
              </w:rPr>
              <w:t xml:space="preserve">环境标志产品政府采购品目清单</w:t>
            </w:r>
            <w:r>
              <w:rPr>
                <w:rFonts w:ascii="仿宋" w:eastAsia="仿宋" w:hAnsi="仿宋" w:cs="仿宋"/>
                <w:sz w:val="24"/>
                <w:highlight w:val="none"/>
              </w:rPr>
              <w:t xml:space="preserve">”</w:t>
            </w:r>
            <w:r>
              <w:rPr>
                <w:rFonts w:ascii="仿宋" w:eastAsia="仿宋" w:hAnsi="仿宋" w:cs="仿宋" w:hint="eastAsia"/>
                <w:sz w:val="24"/>
                <w:highlight w:val="none"/>
              </w:rPr>
              <w:t xml:space="preserve">内，且提供</w:t>
            </w:r>
            <w:r>
              <w:rPr>
                <w:rFonts w:ascii="仿宋" w:eastAsia="仿宋" w:hAnsi="仿宋" w:cs="仿宋" w:hint="eastAsia"/>
                <w:sz w:val="24"/>
                <w:highlight w:val="none"/>
                <w:lang w:eastAsia="zh-CN"/>
              </w:rPr>
              <w:t xml:space="preserve">国家市场监督管理总局</w:t>
            </w:r>
            <w:r>
              <w:rPr>
                <w:rFonts w:ascii="仿宋" w:eastAsia="仿宋" w:hAnsi="仿宋" w:cs="仿宋" w:hint="eastAsia"/>
                <w:sz w:val="24"/>
                <w:highlight w:val="none"/>
              </w:rPr>
              <w:t xml:space="preserve">确定的列入</w:t>
            </w:r>
            <w:r>
              <w:rPr>
                <w:rFonts w:ascii="仿宋" w:eastAsia="仿宋" w:hAnsi="仿宋" w:cs="仿宋"/>
                <w:sz w:val="24"/>
                <w:highlight w:val="none"/>
              </w:rPr>
              <w:t xml:space="preserve">“</w:t>
            </w:r>
            <w:r>
              <w:rPr>
                <w:rFonts w:ascii="仿宋" w:eastAsia="仿宋" w:hAnsi="仿宋" w:cs="仿宋" w:hint="eastAsia"/>
                <w:sz w:val="24"/>
                <w:highlight w:val="none"/>
              </w:rPr>
              <w:t xml:space="preserve">参与实施政府采购环境标志产品认证机构名录</w:t>
            </w:r>
            <w:r>
              <w:rPr>
                <w:rFonts w:ascii="仿宋" w:eastAsia="仿宋" w:hAnsi="仿宋" w:cs="仿宋"/>
                <w:sz w:val="24"/>
                <w:highlight w:val="none"/>
              </w:rPr>
              <w:t xml:space="preserve">”</w:t>
            </w:r>
            <w:r>
              <w:rPr>
                <w:rFonts w:ascii="仿宋" w:eastAsia="仿宋" w:hAnsi="仿宋" w:cs="仿宋" w:hint="eastAsia"/>
                <w:sz w:val="24"/>
                <w:highlight w:val="none"/>
              </w:rPr>
              <w:t xml:space="preserve">内的认证机构出具的、有效期内的该产品环境标志产品认证证书电子件的得2分，没有不得分。</w:t>
            </w:r>
          </w:p>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（2）投标产品（显示器）在财政部、发展改革委公布的</w:t>
            </w:r>
            <w:r>
              <w:rPr>
                <w:rFonts w:ascii="仿宋" w:eastAsia="仿宋" w:hAnsi="仿宋" w:cs="仿宋"/>
                <w:sz w:val="24"/>
                <w:highlight w:val="none"/>
              </w:rPr>
              <w:t xml:space="preserve">“</w:t>
            </w:r>
            <w:r>
              <w:rPr>
                <w:rFonts w:ascii="仿宋" w:eastAsia="仿宋" w:hAnsi="仿宋" w:cs="仿宋" w:hint="eastAsia"/>
                <w:sz w:val="24"/>
                <w:highlight w:val="none"/>
              </w:rPr>
              <w:t xml:space="preserve">节能产品政府采购品目清单</w:t>
            </w:r>
            <w:r>
              <w:rPr>
                <w:rFonts w:ascii="仿宋" w:eastAsia="仿宋" w:hAnsi="仿宋" w:cs="仿宋"/>
                <w:sz w:val="24"/>
                <w:highlight w:val="none"/>
              </w:rPr>
              <w:t xml:space="preserve">”</w:t>
            </w:r>
            <w:r>
              <w:rPr>
                <w:rFonts w:ascii="仿宋" w:eastAsia="仿宋" w:hAnsi="仿宋" w:cs="仿宋" w:hint="eastAsia"/>
                <w:sz w:val="24"/>
                <w:highlight w:val="none"/>
              </w:rPr>
              <w:t xml:space="preserve">内，且提供</w:t>
            </w:r>
            <w:r>
              <w:rPr>
                <w:rFonts w:ascii="仿宋" w:eastAsia="仿宋" w:hAnsi="仿宋" w:cs="仿宋" w:hint="eastAsia"/>
                <w:sz w:val="24"/>
                <w:highlight w:val="none"/>
                <w:lang w:eastAsia="zh-CN"/>
              </w:rPr>
              <w:t xml:space="preserve">国家市场监督管理总局</w:t>
            </w:r>
            <w:r>
              <w:rPr>
                <w:rFonts w:ascii="仿宋" w:eastAsia="仿宋" w:hAnsi="仿宋" w:cs="仿宋" w:hint="eastAsia"/>
                <w:sz w:val="24"/>
                <w:highlight w:val="none"/>
              </w:rPr>
              <w:t xml:space="preserve">确定 的列入</w:t>
            </w:r>
            <w:r>
              <w:rPr>
                <w:rFonts w:ascii="仿宋" w:eastAsia="仿宋" w:hAnsi="仿宋" w:cs="仿宋"/>
                <w:sz w:val="24"/>
                <w:highlight w:val="none"/>
              </w:rPr>
              <w:t xml:space="preserve">“</w:t>
            </w:r>
            <w:r>
              <w:rPr>
                <w:rFonts w:ascii="仿宋" w:eastAsia="仿宋" w:hAnsi="仿宋" w:cs="仿宋" w:hint="eastAsia"/>
                <w:sz w:val="24"/>
                <w:highlight w:val="none"/>
              </w:rPr>
              <w:t xml:space="preserve">参与实施政府采购节能产品认证机构名录</w:t>
            </w:r>
            <w:r>
              <w:rPr>
                <w:rFonts w:ascii="仿宋" w:eastAsia="仿宋" w:hAnsi="仿宋" w:cs="仿宋"/>
                <w:sz w:val="24"/>
                <w:highlight w:val="none"/>
              </w:rPr>
              <w:t xml:space="preserve">”</w:t>
            </w:r>
            <w:r>
              <w:rPr>
                <w:rFonts w:ascii="仿宋" w:eastAsia="仿宋" w:hAnsi="仿宋" w:cs="仿宋" w:hint="eastAsia"/>
                <w:sz w:val="24"/>
                <w:highlight w:val="none"/>
              </w:rPr>
              <w:t xml:space="preserve">内的认证机构出具的、有效期内的该产品的节能产品认证证书电子件的得2分，没有不得分。</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hint="eastAsia"/>
                <w:sz w:val="24"/>
                <w:highlight w:val="none"/>
              </w:rPr>
            </w:pPr>
            <w:r>
              <w:rPr>
                <w:rFonts w:ascii="仿宋" w:eastAsia="仿宋" w:hAnsi="仿宋" w:cs="仿宋" w:hint="eastAsia"/>
                <w:sz w:val="24"/>
                <w:highlight w:val="none"/>
              </w:rPr>
              <w:t xml:space="preserve">技术部分</w:t>
            </w:r>
          </w:p>
        </w:tc>
        <w:tc>
          <w:tcPr>
            <w:tcW w:w="414" w:type="dxa"/>
            <w:noWrap w:val="0"/>
            <w:vAlign w:val="center"/>
          </w:tcPr>
          <w:p>
            <w:pPr>
              <w:spacing w:line="276" w:lineRule="auto"/>
              <w:jc w:val="center"/>
              <w:rPr>
                <w:rFonts w:ascii="仿宋" w:eastAsia="仿宋" w:hAnsi="仿宋" w:cs="仿宋" w:hint="eastAsia"/>
                <w:sz w:val="24"/>
                <w:highlight w:val="none"/>
              </w:rPr>
            </w:pPr>
            <w:r>
              <w:rPr>
                <w:rFonts w:ascii="仿宋" w:eastAsia="仿宋" w:hAnsi="仿宋" w:cs="仿宋" w:hint="eastAsia"/>
                <w:sz w:val="24"/>
                <w:highlight w:val="none"/>
              </w:rPr>
              <w:t xml:space="preserve">30分</w:t>
            </w:r>
          </w:p>
        </w:tc>
        <w:tc>
          <w:tcPr>
            <w:tcW w:w="4228" w:type="dxa"/>
            <w:noWrap w:val="0"/>
            <w:vAlign w:val="center"/>
          </w:tcPr>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（1）投标人所投产品技术参数完全满足招标文件第五章 六、设备数量及技术参数要求中标注“★”要求的，未完全满足做无效投标处理。</w:t>
            </w:r>
          </w:p>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（2）投标人所投产品技术参数与招标文件第五章 六、设备数量及技术参数要求中参数标注“▲”参数每有一项负偏离扣2分；未标注符号要求参数每有一项负偏离扣1分，扣完为止。</w:t>
            </w:r>
          </w:p>
          <w:p>
            <w:pPr>
              <w:spacing w:line="276" w:lineRule="auto"/>
              <w:jc w:val="left"/>
              <w:rPr>
                <w:rFonts w:ascii="仿宋" w:eastAsia="仿宋" w:hAnsi="仿宋" w:cs="仿宋" w:hint="eastAsia"/>
                <w:sz w:val="24"/>
                <w:highlight w:val="none"/>
              </w:rPr>
            </w:pPr>
            <w:r>
              <w:rPr>
                <w:rFonts w:ascii="仿宋" w:eastAsia="仿宋" w:hAnsi="仿宋" w:cs="仿宋" w:hint="eastAsia"/>
                <w:sz w:val="24"/>
                <w:highlight w:val="none"/>
              </w:rPr>
              <w:t xml:space="preserve">注：投标人需提供技术参数偏离表加盖公章或电子签章上传至电子投标文件。</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方案部分</w:t>
            </w:r>
          </w:p>
        </w:tc>
        <w:tc>
          <w:tcPr>
            <w:tcW w:w="414"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9分</w:t>
            </w:r>
          </w:p>
        </w:tc>
        <w:tc>
          <w:tcPr>
            <w:tcW w:w="4228" w:type="dxa"/>
            <w:noWrap w:val="0"/>
            <w:vAlign w:val="center"/>
          </w:tcPr>
          <w:p>
            <w:pPr>
              <w:spacing w:line="276" w:lineRule="auto"/>
              <w:rPr>
                <w:rFonts w:ascii="仿宋" w:eastAsia="仿宋" w:hAnsi="仿宋" w:hint="eastAsia"/>
                <w:sz w:val="24"/>
              </w:rPr>
            </w:pPr>
            <w:r>
              <w:rPr>
                <w:rFonts w:ascii="仿宋" w:eastAsia="仿宋" w:hAnsi="仿宋" w:hint="eastAsia"/>
                <w:sz w:val="24"/>
              </w:rPr>
              <w:t xml:space="preserve">评委会根据投标人提供的方案酌情评分,方案至少具备下列各项要求，分项方案未提供的或经三分之二评委认定分项方案存在重大偏差的该分项不得分。</w:t>
            </w:r>
          </w:p>
          <w:p>
            <w:pPr>
              <w:spacing w:line="276" w:lineRule="auto"/>
              <w:rPr>
                <w:rFonts w:ascii="仿宋" w:eastAsia="仿宋" w:hAnsi="仿宋" w:hint="eastAsia"/>
                <w:sz w:val="24"/>
              </w:rPr>
            </w:pPr>
            <w:r>
              <w:rPr>
                <w:rFonts w:ascii="仿宋" w:eastAsia="仿宋" w:hAnsi="仿宋" w:hint="eastAsia"/>
                <w:sz w:val="24"/>
              </w:rPr>
              <w:t xml:space="preserve">（1）总体方案：3 分</w:t>
            </w:r>
          </w:p>
          <w:p>
            <w:pPr>
              <w:spacing w:line="276" w:lineRule="auto"/>
              <w:rPr>
                <w:rFonts w:ascii="仿宋" w:eastAsia="仿宋" w:hAnsi="仿宋" w:hint="eastAsia"/>
                <w:sz w:val="24"/>
              </w:rPr>
            </w:pPr>
            <w:r>
              <w:rPr>
                <w:rFonts w:ascii="仿宋" w:eastAsia="仿宋" w:hAnsi="仿宋" w:hint="eastAsia"/>
                <w:sz w:val="24"/>
              </w:rPr>
              <w:t xml:space="preserve">针对本次项目提供详细的系统建设方案，并针对各功能模块进行详细描述。</w:t>
            </w:r>
          </w:p>
          <w:p>
            <w:pPr>
              <w:spacing w:line="276" w:lineRule="auto"/>
              <w:rPr>
                <w:rFonts w:ascii="仿宋" w:eastAsia="仿宋" w:hAnsi="仿宋" w:hint="eastAsia"/>
                <w:sz w:val="24"/>
              </w:rPr>
            </w:pPr>
            <w:r>
              <w:rPr>
                <w:rFonts w:ascii="仿宋" w:eastAsia="仿宋" w:hAnsi="仿宋" w:hint="eastAsia"/>
                <w:color w:val="000000"/>
                <w:sz w:val="24"/>
              </w:rPr>
              <w:t xml:space="preserve">方案优于采购文件要求得3分，满足采购文件要求得2分，合理性和针对性有所欠缺、简略模糊的得1分。不满足采购文件要求或未提供本项不得分。</w:t>
            </w:r>
          </w:p>
          <w:p>
            <w:pPr>
              <w:spacing w:line="276" w:lineRule="auto"/>
              <w:rPr>
                <w:rFonts w:ascii="仿宋" w:eastAsia="仿宋" w:hAnsi="仿宋" w:hint="eastAsia"/>
                <w:sz w:val="24"/>
              </w:rPr>
            </w:pPr>
            <w:r>
              <w:rPr>
                <w:rFonts w:ascii="仿宋" w:eastAsia="仿宋" w:hAnsi="仿宋" w:hint="eastAsia"/>
                <w:sz w:val="24"/>
              </w:rPr>
              <w:t xml:space="preserve">（2）技术方案：3分</w:t>
            </w:r>
          </w:p>
          <w:p>
            <w:pPr>
              <w:spacing w:line="276" w:lineRule="auto"/>
              <w:rPr>
                <w:rFonts w:ascii="仿宋" w:eastAsia="仿宋" w:hAnsi="仿宋" w:hint="eastAsia"/>
                <w:color w:val="000000"/>
                <w:sz w:val="24"/>
              </w:rPr>
            </w:pPr>
            <w:r>
              <w:rPr>
                <w:rFonts w:ascii="仿宋" w:eastAsia="仿宋" w:hAnsi="仿宋" w:hint="eastAsia"/>
                <w:sz w:val="24"/>
              </w:rPr>
              <w:t xml:space="preserve">至少包括实施计划、实施人员配备、进度质量</w:t>
            </w:r>
            <w:r>
              <w:rPr>
                <w:rFonts w:ascii="仿宋" w:eastAsia="仿宋" w:hAnsi="仿宋" w:hint="eastAsia"/>
                <w:color w:val="000000"/>
                <w:sz w:val="24"/>
              </w:rPr>
              <w:t xml:space="preserve">控制、安全施工等。</w:t>
            </w:r>
          </w:p>
          <w:p>
            <w:pPr>
              <w:spacing w:line="276" w:lineRule="auto"/>
              <w:rPr>
                <w:rFonts w:ascii="仿宋" w:eastAsia="仿宋" w:hAnsi="仿宋" w:hint="eastAsia"/>
                <w:sz w:val="24"/>
              </w:rPr>
            </w:pPr>
            <w:r>
              <w:rPr>
                <w:rFonts w:ascii="仿宋" w:eastAsia="仿宋" w:hAnsi="仿宋" w:hint="eastAsia"/>
                <w:color w:val="000000"/>
                <w:sz w:val="24"/>
              </w:rPr>
              <w:t xml:space="preserve">方案优于采购文件要求得3分，满足采购文件要求得2分，合理性和针对性有所欠缺、简略模糊的得1分。不满足采购文件要求或未提供本项不得分。</w:t>
            </w:r>
          </w:p>
          <w:p>
            <w:pPr>
              <w:spacing w:line="276" w:lineRule="auto"/>
              <w:rPr>
                <w:rFonts w:ascii="仿宋" w:eastAsia="仿宋" w:hAnsi="仿宋" w:hint="eastAsia"/>
                <w:color w:val="000000"/>
                <w:sz w:val="24"/>
              </w:rPr>
            </w:pPr>
            <w:r>
              <w:rPr>
                <w:rFonts w:ascii="仿宋" w:eastAsia="仿宋" w:hAnsi="仿宋" w:hint="eastAsia"/>
                <w:color w:val="000000"/>
                <w:sz w:val="24"/>
              </w:rPr>
              <w:t xml:space="preserve">（3）实施方案：3分</w:t>
            </w:r>
          </w:p>
          <w:p>
            <w:pPr>
              <w:spacing w:line="276" w:lineRule="auto"/>
              <w:rPr>
                <w:rFonts w:ascii="仿宋" w:eastAsia="仿宋" w:hAnsi="仿宋" w:hint="eastAsia"/>
                <w:color w:val="000000"/>
                <w:sz w:val="24"/>
              </w:rPr>
            </w:pPr>
            <w:r>
              <w:rPr>
                <w:rFonts w:ascii="仿宋" w:eastAsia="仿宋" w:hAnsi="仿宋" w:hint="eastAsia"/>
                <w:color w:val="000000"/>
                <w:sz w:val="24"/>
              </w:rPr>
              <w:t xml:space="preserve">项目组织实施管理方案、人员安排方案、应急服务方案、验收方案、培训方案等。</w:t>
            </w:r>
          </w:p>
          <w:p>
            <w:pPr>
              <w:spacing w:line="276" w:lineRule="auto"/>
              <w:rPr>
                <w:rFonts w:ascii="仿宋" w:eastAsia="仿宋" w:hAnsi="仿宋" w:cs="仿宋" w:hint="eastAsia"/>
                <w:sz w:val="24"/>
              </w:rPr>
            </w:pPr>
            <w:r>
              <w:rPr>
                <w:rFonts w:ascii="仿宋" w:eastAsia="仿宋" w:hAnsi="仿宋" w:hint="eastAsia"/>
                <w:color w:val="000000"/>
                <w:sz w:val="24"/>
              </w:rPr>
              <w:t xml:space="preserve">方案优于采购文件要求得3分，满足采购文件要求得2分，合理性和针对性有所欠缺、简略模糊的得1分。不满足采购文件要求或未提供本项不得分。</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商务部分</w:t>
            </w:r>
          </w:p>
        </w:tc>
        <w:tc>
          <w:tcPr>
            <w:tcW w:w="414"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15分</w:t>
            </w:r>
          </w:p>
        </w:tc>
        <w:tc>
          <w:tcPr>
            <w:tcW w:w="4228" w:type="dxa"/>
            <w:noWrap w:val="0"/>
            <w:vAlign w:val="center"/>
          </w:tcPr>
          <w:p>
            <w:pPr>
              <w:spacing w:line="276" w:lineRule="auto"/>
              <w:jc w:val="left"/>
              <w:rPr>
                <w:rFonts w:ascii="仿宋" w:eastAsia="仿宋" w:hAnsi="仿宋" w:cs="仿宋" w:hint="eastAsia"/>
                <w:sz w:val="24"/>
              </w:rPr>
            </w:pPr>
            <w:r>
              <w:rPr>
                <w:rFonts w:ascii="仿宋" w:eastAsia="仿宋" w:hAnsi="仿宋" w:cs="仿宋" w:hint="eastAsia"/>
                <w:sz w:val="24"/>
              </w:rPr>
              <w:t xml:space="preserve">（1）投标人具有质量管理体系认证、环境管理体系认证、职业健康安全管理体系及信息安全管理体系认证证书的，每提供一个得0.5分，本项最多得</w:t>
            </w:r>
            <w:r>
              <w:rPr>
                <w:rFonts w:ascii="仿宋" w:eastAsia="仿宋" w:hAnsi="仿宋" w:cs="仿宋"/>
                <w:sz w:val="24"/>
              </w:rPr>
              <w:t xml:space="preserve">2</w:t>
            </w:r>
            <w:r>
              <w:rPr>
                <w:rFonts w:ascii="仿宋" w:eastAsia="仿宋" w:hAnsi="仿宋" w:cs="仿宋" w:hint="eastAsia"/>
                <w:sz w:val="24"/>
              </w:rPr>
              <w:t xml:space="preserve">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（2）投标人具有信息系统建设和服务能力评估体系达到CS3级及以上的得2分，没有不得分。</w:t>
            </w:r>
          </w:p>
          <w:p>
            <w:pPr>
              <w:pStyle w:val="正文文本21"/>
              <w:spacing w:line="276" w:lineRule="auto"/>
              <w:jc w:val="left"/>
              <w:rPr>
                <w:rFonts w:ascii="仿宋" w:eastAsia="仿宋" w:hAnsi="仿宋" w:cs="仿宋"/>
                <w:sz w:val="24"/>
              </w:rPr>
            </w:pPr>
            <w:r>
              <w:rPr>
                <w:rFonts w:ascii="仿宋" w:eastAsia="仿宋" w:hAnsi="仿宋" w:cs="仿宋" w:hint="eastAsia"/>
                <w:sz w:val="24"/>
              </w:rPr>
              <w:t xml:space="preserve">（3）投标人具有信息技术服务运行维护能力（ITSS）二级及以上证书得</w:t>
            </w:r>
            <w:r>
              <w:rPr>
                <w:rFonts w:ascii="仿宋" w:eastAsia="仿宋" w:hAnsi="仿宋" w:cs="仿宋"/>
                <w:sz w:val="24"/>
              </w:rPr>
              <w:t xml:space="preserve">1</w:t>
            </w:r>
            <w:r>
              <w:rPr>
                <w:rFonts w:ascii="仿宋" w:eastAsia="仿宋" w:hAnsi="仿宋" w:cs="仿宋" w:hint="eastAsia"/>
                <w:sz w:val="24"/>
              </w:rPr>
              <w:t xml:space="preserve">分，没有不得分。</w:t>
            </w:r>
          </w:p>
          <w:p>
            <w:pPr>
              <w:pStyle w:val="正文文本21"/>
              <w:spacing w:line="276" w:lineRule="auto"/>
              <w:jc w:val="left"/>
              <w:rPr>
                <w:rFonts w:ascii="仿宋" w:eastAsia="仿宋" w:hAnsi="仿宋" w:cs="仿宋" w:hint="eastAsia"/>
                <w:sz w:val="24"/>
              </w:rPr>
            </w:pPr>
            <w:r>
              <w:rPr>
                <w:rFonts w:ascii="仿宋" w:eastAsia="仿宋" w:hAnsi="仿宋" w:cs="仿宋" w:hint="eastAsia"/>
                <w:sz w:val="24"/>
              </w:rPr>
              <w:t xml:space="preserve">（4）所投微模块制造商具有能源管理体系认证、供应链安全认证及知识产权管理体系认证证书，每提供一个得0.5分，本项最多得1.5分。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（5）投标人所投微模块PUE值达到TGG（中国）认可节能产品标准，IT负载满载条件下，全年PUE不大于1.4，并提供绿色网格（中国）微模块产品PUE测试证书证明的得0.5分，没有不得分。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w:t>
            </w:r>
            <w:r>
              <w:rPr>
                <w:rFonts w:ascii="仿宋" w:eastAsia="仿宋" w:hAnsi="仿宋" w:cs="仿宋"/>
                <w:sz w:val="24"/>
              </w:rPr>
              <w:t xml:space="preserve">6</w:t>
            </w:r>
            <w:r>
              <w:rPr>
                <w:rFonts w:ascii="仿宋" w:eastAsia="仿宋" w:hAnsi="仿宋" w:cs="仿宋" w:hint="eastAsia"/>
                <w:sz w:val="24"/>
              </w:rPr>
              <w:t xml:space="preserve">）投标人针对本项目拟派的团队人员具有高级信息系统项目管理师、高级工程师证书、网络与信息安全应急人员（CCSRP）认证、网络通信安全管理员，每提供一个得0.5分，本项最高得2分，没有不得分(一人多证可重复计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（7）投标人自2019年以来具有类似机房建设工程建设成功案例的，每提供1个得2分，本项最高得6分，没有不得分。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注：以上材料需原件扫描件上传至电子投标文件内，否则该项不得分。以上所有证书，中标公示期内必须提供原件核查。</w:t>
            </w:r>
          </w:p>
          <w:p>
            <w:pPr>
              <w:spacing w:line="276" w:lineRule="auto"/>
              <w:jc w:val="left"/>
              <w:rPr>
                <w:rFonts w:ascii="仿宋" w:eastAsia="仿宋" w:hAnsi="仿宋" w:cs="仿宋" w:hint="eastAsia"/>
                <w:sz w:val="24"/>
              </w:rPr>
            </w:pPr>
            <w:r>
              <w:rPr>
                <w:rFonts w:ascii="仿宋" w:eastAsia="仿宋" w:hAnsi="仿宋" w:cs="仿宋" w:hint="eastAsia"/>
                <w:sz w:val="24"/>
              </w:rPr>
              <w:t xml:space="preserve">第（6）项中提供证书（扫描件并加盖投标人电子签章）以及投标人为其缴纳的自2024年1月以来任意1个月的社保证明（扫描件并加盖投标人电子签章），未提供或提供不全的不得分。</w:t>
            </w:r>
          </w:p>
          <w:p>
            <w:pPr>
              <w:spacing w:line="276" w:lineRule="auto"/>
              <w:jc w:val="left"/>
              <w:rPr>
                <w:rFonts w:ascii="仿宋" w:eastAsia="仿宋" w:hAnsi="仿宋" w:cs="仿宋" w:hint="eastAsia"/>
                <w:sz w:val="24"/>
              </w:rPr>
            </w:pPr>
            <w:r>
              <w:rPr>
                <w:rFonts w:ascii="仿宋" w:eastAsia="仿宋" w:hAnsi="仿宋" w:cs="仿宋" w:hint="eastAsia"/>
                <w:sz w:val="24"/>
              </w:rPr>
              <w:t xml:space="preserve">第（7）项中提供合同、验收报告（扫描件并加盖投标人电子签章），时间以验收报告为准。未提供或提供不全的不得分。</w:t>
            </w:r>
          </w:p>
        </w:tc>
      </w:tr>
      <w:tr>
        <w:tblPrEx>
          <w:tblW w:w="55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Ex>
        <w:trPr>
          <w:trHeight w:hRule="auto" w:val="0"/>
          <w:jc w:val="center"/>
        </w:trPr>
        <w:tc>
          <w:tcPr>
            <w:tcW w:w="356"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售后服务</w:t>
            </w:r>
          </w:p>
        </w:tc>
        <w:tc>
          <w:tcPr>
            <w:tcW w:w="414" w:type="dxa"/>
            <w:noWrap w:val="0"/>
            <w:vAlign w:val="center"/>
          </w:tcPr>
          <w:p>
            <w:pPr>
              <w:spacing w:line="276" w:lineRule="auto"/>
              <w:jc w:val="center"/>
              <w:rPr>
                <w:rFonts w:ascii="仿宋" w:eastAsia="仿宋" w:hAnsi="仿宋" w:cs="仿宋" w:hint="eastAsia"/>
                <w:sz w:val="24"/>
              </w:rPr>
            </w:pPr>
            <w:r>
              <w:rPr>
                <w:rFonts w:ascii="仿宋" w:eastAsia="仿宋" w:hAnsi="仿宋" w:cs="仿宋" w:hint="eastAsia"/>
                <w:sz w:val="24"/>
              </w:rPr>
              <w:t xml:space="preserve">2分</w:t>
            </w:r>
          </w:p>
        </w:tc>
        <w:tc>
          <w:tcPr>
            <w:tcW w:w="4228" w:type="dxa"/>
            <w:noWrap w:val="0"/>
            <w:vAlign w:val="center"/>
          </w:tcPr>
          <w:p>
            <w:pPr>
              <w:spacing w:line="276" w:lineRule="auto"/>
              <w:rPr>
                <w:rFonts w:ascii="仿宋" w:eastAsia="仿宋" w:hAnsi="仿宋" w:cs="仿宋" w:hint="eastAsia"/>
                <w:sz w:val="24"/>
              </w:rPr>
            </w:pPr>
            <w:r>
              <w:rPr>
                <w:rFonts w:ascii="仿宋" w:eastAsia="仿宋" w:hAnsi="仿宋" w:cs="仿宋" w:hint="eastAsia"/>
                <w:sz w:val="24"/>
              </w:rPr>
              <w:t xml:space="preserve">投标人所投所有产品的免费质保期在满足招标文件要求的基础上，承诺每增加一年得1分，本项最多得</w:t>
            </w:r>
            <w:r>
              <w:rPr>
                <w:rFonts w:ascii="仿宋" w:eastAsia="仿宋" w:hAnsi="仿宋" w:cs="仿宋"/>
                <w:sz w:val="24"/>
              </w:rPr>
              <w:t xml:space="preserve">2</w:t>
            </w:r>
            <w:r>
              <w:rPr>
                <w:rFonts w:ascii="仿宋" w:eastAsia="仿宋" w:hAnsi="仿宋" w:cs="仿宋" w:hint="eastAsia"/>
                <w:sz w:val="24"/>
              </w:rPr>
              <w:t xml:space="preserve">分，不承诺不得分。</w:t>
            </w:r>
          </w:p>
        </w:tc>
      </w:tr>
    </w:tbl>
    <w:p>
      <w:pPr>
        <w:spacing w:line="360" w:lineRule="auto"/>
        <w:rPr>
          <w:rFonts w:ascii="仿宋" w:eastAsia="仿宋" w:hAnsi="仿宋" w:cs="仿宋" w:hint="eastAsia"/>
        </w:rPr>
      </w:pPr>
    </w:p>
    <w:p>
      <w:pPr>
        <w:spacing w:line="360" w:lineRule="auto"/>
        <w:ind w:firstLine="426"/>
        <w:rPr>
          <w:rFonts w:ascii="仿宋" w:eastAsia="仿宋" w:hAnsi="仿宋" w:cs="仿宋" w:hint="eastAsia"/>
          <w:b/>
          <w:sz w:val="36"/>
          <w:szCs w:val="36"/>
        </w:rPr>
      </w:pPr>
      <w:r>
        <w:rPr>
          <w:rFonts w:ascii="仿宋" w:eastAsia="仿宋" w:hAnsi="仿宋" w:cs="仿宋" w:hint="eastAsia"/>
          <w:b/>
          <w:bCs/>
          <w:sz w:val="24"/>
        </w:rPr>
        <w:t xml:space="preserve">注：投标人按上述要求如实提供相关证明材料，如未按要求提供或提供资料不全，则与之相关的评分项不予计分。投标人提供的证明材料必须清晰有效，如因材料模糊不清评审小组无法辨认导致不得分的，其责任由投标人自行承担。</w:t>
      </w:r>
    </w:p>
    <w:p>
      <w:pPr>
        <w:tabs>
          <w:tab w:val="left" w:pos="180"/>
        </w:tabs>
        <w:spacing w:line="360" w:lineRule="auto"/>
        <w:jc w:val="center"/>
        <w:rPr>
          <w:rFonts w:ascii="仿宋" w:eastAsia="仿宋" w:hAnsi="仿宋" w:cs="仿宋" w:hint="eastAsia"/>
          <w:b/>
          <w:sz w:val="36"/>
          <w:szCs w:val="36"/>
        </w:rPr>
      </w:pPr>
      <w:r>
        <w:br w:type="page"/>
      </w:r>
      <w:r>
        <w:rPr>
          <w:rFonts w:ascii="仿宋" w:eastAsia="仿宋" w:hAnsi="仿宋" w:cs="仿宋" w:hint="eastAsia"/>
          <w:b/>
          <w:sz w:val="36"/>
          <w:szCs w:val="36"/>
        </w:rPr>
        <w:t xml:space="preserve">第四章  合同格式及条款</w:t>
      </w:r>
    </w:p>
    <w:p>
      <w:pPr>
        <w:tabs>
          <w:tab w:val="left" w:pos="180"/>
        </w:tabs>
        <w:spacing w:line="440" w:lineRule="exact"/>
        <w:ind w:firstLine="480"/>
        <w:rPr>
          <w:rFonts w:ascii="仿宋" w:eastAsia="仿宋" w:hAnsi="仿宋" w:cs="仿宋" w:hint="eastAsia"/>
          <w:sz w:val="24"/>
        </w:rPr>
      </w:pPr>
      <w:r>
        <w:rPr>
          <w:rFonts w:ascii="仿宋" w:eastAsia="仿宋" w:hAnsi="仿宋" w:cs="仿宋" w:hint="eastAsia"/>
          <w:bCs/>
          <w:sz w:val="24"/>
        </w:rPr>
        <w:t xml:space="preserve">注:以下为采购人提出中标后签订本项目合同的条款，投标人必须实质性响应，中标投标人不得提出实质性的修改，关于专用条款将由采购人与中标人结合本项目具体情况协商后签订。</w:t>
      </w:r>
    </w:p>
    <w:p>
      <w:pPr>
        <w:spacing w:line="440" w:lineRule="exact"/>
        <w:ind w:firstLine="482"/>
        <w:jc w:val="left"/>
        <w:rPr>
          <w:rFonts w:ascii="仿宋" w:eastAsia="仿宋" w:hAnsi="仿宋" w:cs="仿宋" w:hint="eastAsia"/>
          <w:b/>
          <w:bCs/>
          <w:sz w:val="24"/>
        </w:rPr>
      </w:pPr>
      <w:r>
        <w:rPr>
          <w:rFonts w:ascii="仿宋" w:eastAsia="仿宋" w:hAnsi="仿宋" w:cs="仿宋" w:hint="eastAsia"/>
          <w:b/>
          <w:bCs/>
          <w:sz w:val="24"/>
        </w:rPr>
        <w:t xml:space="preserve">甲、乙双方通过苏采云政府采购一体化平台签订电子合同，并加盖电子签章。</w:t>
      </w:r>
    </w:p>
    <w:p>
      <w:pPr>
        <w:pStyle w:val="纯文本1"/>
        <w:spacing w:line="440" w:lineRule="exact"/>
        <w:ind w:firstLine="3066"/>
        <w:rPr>
          <w:rFonts w:ascii="仿宋" w:eastAsia="仿宋" w:hAnsi="仿宋" w:cs="仿宋" w:hint="eastAsia"/>
          <w:sz w:val="28"/>
          <w:szCs w:val="28"/>
        </w:rPr>
      </w:pPr>
    </w:p>
    <w:p>
      <w:pPr>
        <w:pStyle w:val="纯文本1"/>
        <w:spacing w:line="440" w:lineRule="exact"/>
        <w:ind w:firstLine="3066"/>
        <w:rPr>
          <w:rFonts w:ascii="仿宋" w:eastAsia="仿宋" w:hAnsi="仿宋" w:cs="仿宋" w:hint="eastAsia"/>
          <w:sz w:val="28"/>
          <w:szCs w:val="28"/>
        </w:rPr>
      </w:pPr>
      <w:r>
        <w:rPr>
          <w:rFonts w:ascii="仿宋" w:eastAsia="仿宋" w:hAnsi="仿宋" w:cs="仿宋" w:hint="eastAsia"/>
          <w:sz w:val="28"/>
          <w:szCs w:val="28"/>
        </w:rPr>
        <w:t xml:space="preserve">一、合同格式</w:t>
      </w:r>
    </w:p>
    <w:p>
      <w:pPr>
        <w:spacing w:line="440" w:lineRule="exact"/>
        <w:jc w:val="left"/>
        <w:rPr>
          <w:rFonts w:ascii="仿宋" w:eastAsia="仿宋" w:hAnsi="仿宋" w:cs="仿宋" w:hint="eastAsia"/>
          <w:color w:val="000000"/>
          <w:sz w:val="24"/>
        </w:rPr>
      </w:pPr>
      <w:r>
        <w:rPr>
          <w:rFonts w:ascii="仿宋" w:eastAsia="仿宋" w:hAnsi="仿宋" w:cs="仿宋" w:hint="eastAsia"/>
          <w:color w:val="000000"/>
          <w:sz w:val="24"/>
        </w:rPr>
        <w:t xml:space="preserve">甲方: </w:t>
      </w:r>
    </w:p>
    <w:p>
      <w:pPr>
        <w:pStyle w:val="纯文本1"/>
        <w:spacing w:line="440" w:lineRule="exact"/>
        <w:rPr>
          <w:rFonts w:ascii="仿宋" w:eastAsia="仿宋" w:hAnsi="仿宋" w:cs="仿宋" w:hint="eastAsia"/>
          <w:sz w:val="24"/>
          <w:szCs w:val="24"/>
        </w:rPr>
      </w:pPr>
      <w:r>
        <w:rPr>
          <w:rFonts w:ascii="仿宋" w:eastAsia="仿宋" w:hAnsi="仿宋" w:cs="仿宋" w:hint="eastAsia"/>
          <w:color w:val="000000"/>
          <w:sz w:val="24"/>
          <w:szCs w:val="24"/>
        </w:rPr>
        <w:t xml:space="preserve">乙方:</w:t>
      </w:r>
    </w:p>
    <w:p>
      <w:pPr>
        <w:pStyle w:val="纯文本1"/>
        <w:spacing w:line="440" w:lineRule="exact"/>
        <w:ind w:firstLine="544"/>
        <w:rPr>
          <w:rFonts w:ascii="仿宋" w:eastAsia="仿宋" w:hAnsi="仿宋" w:cs="仿宋" w:hint="eastAsia"/>
          <w:sz w:val="24"/>
          <w:szCs w:val="24"/>
        </w:rPr>
      </w:pPr>
      <w:r>
        <w:rPr>
          <w:rFonts w:ascii="仿宋" w:eastAsia="仿宋" w:hAnsi="仿宋" w:cs="仿宋" w:hint="eastAsia"/>
          <w:sz w:val="24"/>
          <w:szCs w:val="24"/>
        </w:rPr>
        <w:t xml:space="preserve">甲、乙双方根据项目编号</w:t>
      </w:r>
      <w:r>
        <w:rPr>
          <w:rFonts w:ascii="仿宋" w:eastAsia="仿宋" w:hAnsi="仿宋" w:cs="仿宋" w:hint="eastAsia"/>
          <w:sz w:val="24"/>
          <w:szCs w:val="24"/>
          <w:u w:val="single"/>
        </w:rPr>
        <w:t xml:space="preserve">             </w:t>
      </w:r>
      <w:r>
        <w:rPr>
          <w:rFonts w:ascii="仿宋" w:eastAsia="仿宋" w:hAnsi="仿宋" w:cs="仿宋" w:hint="eastAsia"/>
          <w:sz w:val="24"/>
          <w:szCs w:val="24"/>
        </w:rPr>
        <w:t xml:space="preserve">的</w:t>
      </w:r>
      <w:r>
        <w:rPr>
          <w:rFonts w:ascii="仿宋" w:eastAsia="仿宋" w:hAnsi="仿宋" w:cs="仿宋" w:hint="eastAsia"/>
          <w:sz w:val="24"/>
          <w:szCs w:val="24"/>
          <w:u w:val="single"/>
        </w:rPr>
        <w:t xml:space="preserve">            </w:t>
      </w:r>
      <w:r>
        <w:rPr>
          <w:rFonts w:ascii="仿宋" w:eastAsia="仿宋" w:hAnsi="仿宋" w:cs="仿宋" w:hint="eastAsia"/>
          <w:sz w:val="24"/>
          <w:szCs w:val="24"/>
        </w:rPr>
        <w:t xml:space="preserve">采购项目公开招标采购结果及招标文件的要求,经协商一致,达成如下购销合同:</w:t>
      </w:r>
    </w:p>
    <w:p>
      <w:pPr>
        <w:pStyle w:val="纯文本1"/>
        <w:spacing w:line="440" w:lineRule="exact"/>
        <w:ind w:firstLine="3855"/>
        <w:rPr>
          <w:rFonts w:ascii="仿宋" w:eastAsia="仿宋" w:hAnsi="仿宋" w:hint="eastAsia"/>
          <w:sz w:val="24"/>
          <w:szCs w:val="24"/>
        </w:rPr>
      </w:pPr>
      <w:r>
        <w:rPr>
          <w:rFonts w:ascii="仿宋" w:eastAsia="仿宋" w:hAnsi="仿宋" w:cs="宋体" w:hint="eastAsia"/>
          <w:b/>
          <w:sz w:val="24"/>
        </w:rPr>
        <w:t xml:space="preserve">合同条款前附表  </w:t>
      </w:r>
    </w:p>
    <w:tbl>
      <w:tblPr>
        <w:tblStyle w:val="NormalTable"/>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600" w:firstRow="0" w:lastRow="0" w:firstColumn="0" w:lastColumn="0" w:noHBand="1" w:noVBand="1"/>
      </w:tblPr>
      <w:tblGrid>
        <w:gridCol w:w="820"/>
        <w:gridCol w:w="8061"/>
      </w:tblGrid>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77"/>
        </w:trPr>
        <w:tc>
          <w:tcPr>
            <w:tcW w:w="820" w:type="dxa"/>
            <w:noWrap w:val="0"/>
            <w:vAlign w:val="center"/>
          </w:tcPr>
          <w:p>
            <w:pPr>
              <w:spacing w:line="360" w:lineRule="exact"/>
              <w:jc w:val="center"/>
              <w:rPr>
                <w:rFonts w:ascii="仿宋" w:eastAsia="仿宋" w:hAnsi="仿宋" w:cs="宋体"/>
                <w:b/>
                <w:bCs/>
                <w:color w:val="000000"/>
                <w:sz w:val="24"/>
              </w:rPr>
            </w:pPr>
            <w:bookmarkStart w:id="43" w:name="_Toc13642118"/>
            <w:bookmarkStart w:id="44" w:name="_Toc13889378"/>
            <w:r>
              <w:rPr>
                <w:rFonts w:ascii="仿宋" w:eastAsia="仿宋" w:hAnsi="仿宋" w:cs="宋体" w:hint="eastAsia"/>
                <w:b/>
                <w:bCs/>
                <w:color w:val="000000"/>
                <w:sz w:val="24"/>
              </w:rPr>
              <w:t xml:space="preserve">序 号</w:t>
            </w:r>
          </w:p>
        </w:tc>
        <w:tc>
          <w:tcPr>
            <w:tcW w:w="8061" w:type="dxa"/>
            <w:noWrap w:val="0"/>
            <w:vAlign w:val="center"/>
          </w:tcPr>
          <w:p>
            <w:pPr>
              <w:spacing w:line="360" w:lineRule="exact"/>
              <w:ind w:firstLine="3373"/>
              <w:rPr>
                <w:rFonts w:ascii="仿宋" w:eastAsia="仿宋" w:hAnsi="仿宋" w:cs="宋体"/>
                <w:b/>
                <w:bCs/>
                <w:color w:val="000000"/>
                <w:sz w:val="24"/>
              </w:rPr>
            </w:pPr>
            <w:r>
              <w:rPr>
                <w:rFonts w:ascii="仿宋" w:eastAsia="仿宋" w:hAnsi="仿宋" w:cs="宋体" w:hint="eastAsia"/>
                <w:b/>
                <w:bCs/>
                <w:color w:val="000000"/>
                <w:sz w:val="24"/>
              </w:rPr>
              <w:t xml:space="preserve">内     容</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30"/>
        </w:trPr>
        <w:tc>
          <w:tcPr>
            <w:tcW w:w="820" w:type="dxa"/>
            <w:noWrap w:val="0"/>
            <w:vAlign w:val="center"/>
          </w:tcPr>
          <w:p>
            <w:pPr>
              <w:spacing w:line="440" w:lineRule="exact"/>
              <w:jc w:val="center"/>
              <w:rPr>
                <w:rFonts w:ascii="仿宋" w:eastAsia="仿宋" w:hAnsi="仿宋" w:cs="宋体" w:hint="eastAsia"/>
                <w:sz w:val="24"/>
              </w:rPr>
            </w:pPr>
            <w:r>
              <w:rPr>
                <w:rFonts w:ascii="仿宋" w:eastAsia="仿宋" w:hAnsi="仿宋" w:cs="宋体" w:hint="eastAsia"/>
                <w:sz w:val="24"/>
              </w:rPr>
              <w:t xml:space="preserve">1</w:t>
            </w:r>
          </w:p>
        </w:tc>
        <w:tc>
          <w:tcPr>
            <w:tcW w:w="8061" w:type="dxa"/>
            <w:noWrap w:val="0"/>
            <w:vAlign w:val="center"/>
          </w:tcPr>
          <w:p>
            <w:pPr>
              <w:spacing w:line="440" w:lineRule="exact"/>
              <w:jc w:val="left"/>
              <w:rPr>
                <w:rFonts w:ascii="仿宋" w:eastAsia="仿宋" w:hAnsi="仿宋" w:cs="宋体" w:hint="eastAsia"/>
                <w:sz w:val="24"/>
              </w:rPr>
            </w:pPr>
            <w:r>
              <w:rPr>
                <w:rFonts w:ascii="仿宋" w:eastAsia="仿宋" w:hAnsi="仿宋" w:cs="宋体" w:hint="eastAsia"/>
                <w:sz w:val="24"/>
              </w:rPr>
              <w:t xml:space="preserve">免费质保期：三年（具体延保服务时限以投标文件为准），包括所有软、硬件系统设备。质量保修期内，对于非人为因素造成的故障及损坏，予以全包免费维修保养；质量保修期从产品安装、调试完毕之日算起，乙方须提供长期稳定的技术支持，并及时为甲方解决技术问题；</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16"/>
        </w:trPr>
        <w:tc>
          <w:tcPr>
            <w:tcW w:w="820" w:type="dxa"/>
            <w:noWrap w:val="0"/>
            <w:vAlign w:val="center"/>
          </w:tcPr>
          <w:p>
            <w:pPr>
              <w:spacing w:line="360" w:lineRule="exact"/>
              <w:jc w:val="center"/>
              <w:rPr>
                <w:rFonts w:ascii="仿宋" w:eastAsia="仿宋" w:hAnsi="仿宋" w:cs="宋体"/>
                <w:sz w:val="24"/>
              </w:rPr>
            </w:pPr>
            <w:r>
              <w:rPr>
                <w:rFonts w:ascii="仿宋" w:eastAsia="仿宋" w:hAnsi="仿宋" w:cs="宋体" w:hint="eastAsia"/>
                <w:sz w:val="24"/>
              </w:rPr>
              <w:t xml:space="preserve">2</w:t>
            </w:r>
          </w:p>
        </w:tc>
        <w:tc>
          <w:tcPr>
            <w:tcW w:w="8061" w:type="dxa"/>
            <w:noWrap w:val="0"/>
            <w:vAlign w:val="center"/>
          </w:tcPr>
          <w:p>
            <w:pPr>
              <w:spacing w:line="440" w:lineRule="exact"/>
              <w:jc w:val="left"/>
              <w:rPr>
                <w:rFonts w:ascii="仿宋" w:eastAsia="仿宋" w:hAnsi="仿宋" w:cs="宋体"/>
                <w:sz w:val="24"/>
              </w:rPr>
            </w:pPr>
            <w:r>
              <w:rPr>
                <w:rFonts w:ascii="仿宋" w:eastAsia="仿宋" w:hAnsi="仿宋" w:cs="宋体" w:hint="eastAsia"/>
                <w:sz w:val="24"/>
              </w:rPr>
              <w:t xml:space="preserve">付款方式：合同签订生效后甲方支付乙方合同价款40%的预付款，项目全部完成后验收合格后付至合同价的80%，余款在审计完成后一次性付清（付款前甲方有权组织抽查，如发现产品质量或售后服务有问题且未得到及时处理的，甲方有权拒绝付款）。</w:t>
            </w:r>
          </w:p>
          <w:p>
            <w:pPr>
              <w:spacing w:line="440" w:lineRule="exact"/>
              <w:jc w:val="left"/>
            </w:pPr>
            <w:r>
              <w:rPr>
                <w:rFonts w:ascii="仿宋" w:eastAsia="仿宋" w:hAnsi="仿宋" w:cs="宋体" w:hint="eastAsia"/>
                <w:sz w:val="24"/>
              </w:rPr>
              <w:t xml:space="preserve">注</w:t>
            </w:r>
            <w:r>
              <w:rPr>
                <w:rFonts w:ascii="仿宋" w:eastAsia="仿宋" w:hAnsi="仿宋" w:cs="宋体"/>
                <w:sz w:val="24"/>
              </w:rPr>
              <w:t xml:space="preserve">:1.</w:t>
            </w:r>
            <w:r>
              <w:rPr>
                <w:rFonts w:ascii="仿宋" w:eastAsia="仿宋" w:hAnsi="仿宋" w:cs="宋体" w:hint="eastAsia"/>
                <w:sz w:val="24"/>
              </w:rPr>
              <w:t xml:space="preserve">以上付款均不计利息，乙方须执行淮阴区财政支付流程及管理办法，并在甲方付款时须提供足额有效的专用发票，因乙方票据提供不及时，以及不符合税务机关相关要求，而导致合同款不能支付的责任由乙方承担。付款方式为转账、电汇或保函等，具体方式由甲方根据实际情况而定。若采购人逾期付款的应按照逾期付款金额的银行同期活期利率支付逾期付款违约金，但违约金总额不超过应付款金额的 5%。</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91"/>
        </w:trPr>
        <w:tc>
          <w:tcPr>
            <w:tcW w:w="820" w:type="dxa"/>
            <w:noWrap w:val="0"/>
            <w:vAlign w:val="center"/>
          </w:tcPr>
          <w:p>
            <w:pPr>
              <w:spacing w:line="360" w:lineRule="exact"/>
              <w:jc w:val="center"/>
              <w:rPr>
                <w:rFonts w:ascii="仿宋" w:eastAsia="仿宋" w:hAnsi="仿宋" w:cs="宋体"/>
                <w:sz w:val="24"/>
              </w:rPr>
            </w:pPr>
            <w:r>
              <w:rPr>
                <w:rFonts w:ascii="仿宋" w:eastAsia="仿宋" w:hAnsi="仿宋" w:cs="宋体" w:hint="eastAsia"/>
                <w:sz w:val="24"/>
              </w:rPr>
              <w:t xml:space="preserve">3</w:t>
            </w:r>
          </w:p>
        </w:tc>
        <w:tc>
          <w:tcPr>
            <w:tcW w:w="8061" w:type="dxa"/>
            <w:noWrap w:val="0"/>
            <w:vAlign w:val="center"/>
          </w:tcPr>
          <w:p>
            <w:pPr>
              <w:spacing w:line="360" w:lineRule="auto"/>
              <w:rPr>
                <w:rFonts w:ascii="仿宋" w:eastAsia="仿宋" w:hAnsi="仿宋" w:cs="宋体"/>
                <w:sz w:val="24"/>
              </w:rPr>
            </w:pPr>
            <w:r>
              <w:rPr>
                <w:rFonts w:ascii="仿宋" w:eastAsia="仿宋" w:hAnsi="仿宋" w:cs="宋体" w:hint="eastAsia"/>
                <w:sz w:val="24"/>
              </w:rPr>
              <w:t xml:space="preserve">合同履行地点：淮安市公安局淮阴分局指定地点 。</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46"/>
        </w:trPr>
        <w:tc>
          <w:tcPr>
            <w:tcW w:w="820" w:type="dxa"/>
            <w:noWrap w:val="0"/>
            <w:vAlign w:val="center"/>
          </w:tcPr>
          <w:p>
            <w:pPr>
              <w:spacing w:line="440" w:lineRule="exact"/>
              <w:ind w:firstLine="240"/>
              <w:jc w:val="left"/>
              <w:rPr>
                <w:rFonts w:ascii="仿宋" w:eastAsia="仿宋" w:hAnsi="仿宋" w:cs="宋体" w:hint="eastAsia"/>
                <w:sz w:val="24"/>
              </w:rPr>
            </w:pPr>
            <w:r>
              <w:rPr>
                <w:rFonts w:ascii="仿宋" w:eastAsia="仿宋" w:hAnsi="仿宋" w:cs="宋体" w:hint="eastAsia"/>
                <w:sz w:val="24"/>
              </w:rPr>
              <w:t xml:space="preserve">4</w:t>
            </w:r>
          </w:p>
        </w:tc>
        <w:tc>
          <w:tcPr>
            <w:tcW w:w="8061" w:type="dxa"/>
            <w:noWrap w:val="0"/>
            <w:vAlign w:val="center"/>
          </w:tcPr>
          <w:p>
            <w:pPr>
              <w:spacing w:line="440" w:lineRule="exact"/>
              <w:jc w:val="left"/>
              <w:rPr>
                <w:rFonts w:ascii="仿宋" w:eastAsia="仿宋" w:hAnsi="仿宋" w:cs="宋体" w:hint="eastAsia"/>
                <w:sz w:val="24"/>
              </w:rPr>
            </w:pPr>
            <w:r>
              <w:rPr>
                <w:rFonts w:ascii="仿宋" w:eastAsia="仿宋" w:hAnsi="仿宋" w:cs="宋体" w:hint="eastAsia"/>
                <w:sz w:val="24"/>
              </w:rPr>
              <w:t xml:space="preserve">其他服务要求：</w:t>
            </w:r>
          </w:p>
          <w:p>
            <w:pPr>
              <w:spacing w:line="440" w:lineRule="exact"/>
              <w:jc w:val="left"/>
              <w:rPr>
                <w:rFonts w:ascii="仿宋" w:eastAsia="仿宋" w:hAnsi="仿宋" w:cs="宋体" w:hint="eastAsia"/>
                <w:sz w:val="24"/>
              </w:rPr>
            </w:pPr>
            <w:r>
              <w:rPr>
                <w:rFonts w:ascii="仿宋" w:eastAsia="仿宋" w:hAnsi="仿宋" w:cs="宋体" w:hint="eastAsia"/>
                <w:sz w:val="24"/>
              </w:rPr>
              <w:t xml:space="preserve">1、本项目为交钥匙工程。中标人建设的责任范围涵盖上述安装调试系统建设的全部工作。</w:t>
            </w:r>
          </w:p>
          <w:p>
            <w:pPr>
              <w:spacing w:line="440" w:lineRule="exact"/>
              <w:jc w:val="left"/>
              <w:rPr>
                <w:rFonts w:ascii="仿宋" w:eastAsia="仿宋" w:hAnsi="仿宋" w:cs="宋体" w:hint="eastAsia"/>
                <w:sz w:val="24"/>
              </w:rPr>
            </w:pPr>
            <w:r>
              <w:rPr>
                <w:rFonts w:ascii="仿宋" w:eastAsia="仿宋" w:hAnsi="仿宋" w:cs="宋体" w:hint="eastAsia"/>
                <w:sz w:val="24"/>
              </w:rPr>
              <w:t xml:space="preserve">2、运输要求：原厂包装，做好必要的防尘防水抗震保护；</w:t>
            </w:r>
          </w:p>
          <w:p>
            <w:pPr>
              <w:spacing w:line="440" w:lineRule="exact"/>
              <w:jc w:val="left"/>
              <w:rPr>
                <w:rFonts w:ascii="仿宋" w:eastAsia="仿宋" w:hAnsi="仿宋" w:cs="宋体" w:hint="eastAsia"/>
                <w:sz w:val="24"/>
              </w:rPr>
            </w:pPr>
            <w:r>
              <w:rPr>
                <w:rFonts w:ascii="仿宋" w:eastAsia="仿宋" w:hAnsi="仿宋" w:cs="宋体" w:hint="eastAsia"/>
                <w:sz w:val="24"/>
              </w:rPr>
              <w:t xml:space="preserve">3、安装调试要求：乙方应按照甲方要求完成相关调试并实现所有功能，保证设备稳定运行，并最终通过用户及相关部门验收交付使用。</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32"/>
        </w:trPr>
        <w:tc>
          <w:tcPr>
            <w:tcW w:w="820" w:type="dxa"/>
            <w:noWrap w:val="0"/>
            <w:vAlign w:val="center"/>
          </w:tcPr>
          <w:p>
            <w:pPr>
              <w:spacing w:line="360" w:lineRule="auto"/>
              <w:jc w:val="center"/>
              <w:rPr>
                <w:rFonts w:ascii="仿宋" w:eastAsia="仿宋" w:hAnsi="仿宋" w:cs="宋体"/>
                <w:sz w:val="24"/>
              </w:rPr>
            </w:pPr>
            <w:r>
              <w:rPr>
                <w:rFonts w:ascii="仿宋" w:eastAsia="仿宋" w:hAnsi="仿宋" w:cs="宋体" w:hint="eastAsia"/>
                <w:sz w:val="24"/>
              </w:rPr>
              <w:t xml:space="preserve">5</w:t>
            </w:r>
          </w:p>
        </w:tc>
        <w:tc>
          <w:tcPr>
            <w:tcW w:w="8061" w:type="dxa"/>
            <w:noWrap w:val="0"/>
            <w:vAlign w:val="center"/>
          </w:tcPr>
          <w:p>
            <w:pPr>
              <w:spacing w:line="360" w:lineRule="auto"/>
              <w:rPr>
                <w:rFonts w:ascii="仿宋" w:eastAsia="仿宋" w:hAnsi="仿宋" w:cs="宋体"/>
                <w:sz w:val="24"/>
              </w:rPr>
            </w:pPr>
            <w:r>
              <w:rPr>
                <w:rFonts w:ascii="仿宋" w:eastAsia="仿宋" w:hAnsi="仿宋" w:cs="宋体" w:hint="eastAsia"/>
                <w:sz w:val="24"/>
              </w:rPr>
              <w:t xml:space="preserve">工期：在合同签定后待收到甲方开工令之日起</w:t>
            </w:r>
            <w:r>
              <w:rPr>
                <w:rFonts w:ascii="仿宋" w:eastAsia="仿宋" w:hAnsi="仿宋" w:cs="宋体" w:hint="eastAsia"/>
                <w:sz w:val="24"/>
                <w:u w:val="single"/>
              </w:rPr>
              <w:t xml:space="preserve"> 90 </w:t>
            </w:r>
            <w:r>
              <w:rPr>
                <w:rFonts w:ascii="仿宋" w:eastAsia="仿宋" w:hAnsi="仿宋" w:cs="宋体" w:hint="eastAsia"/>
                <w:sz w:val="24"/>
              </w:rPr>
              <w:t xml:space="preserve">个日历天安装调试完成且验收合格。</w:t>
            </w:r>
          </w:p>
        </w:tc>
      </w:tr>
      <w:tr>
        <w:tblPrEx>
          <w:tblW w:w="0" w:type="auto"/>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334"/>
        </w:trPr>
        <w:tc>
          <w:tcPr>
            <w:tcW w:w="820" w:type="dxa"/>
            <w:noWrap w:val="0"/>
            <w:vAlign w:val="center"/>
          </w:tcPr>
          <w:p>
            <w:pPr>
              <w:spacing w:line="440" w:lineRule="exact"/>
              <w:ind w:firstLine="240"/>
              <w:jc w:val="left"/>
              <w:rPr>
                <w:rFonts w:ascii="仿宋" w:eastAsia="仿宋" w:hAnsi="仿宋" w:cs="宋体" w:hint="eastAsia"/>
                <w:sz w:val="24"/>
              </w:rPr>
            </w:pPr>
            <w:r>
              <w:rPr>
                <w:rFonts w:ascii="仿宋" w:eastAsia="仿宋" w:hAnsi="仿宋" w:cs="宋体" w:hint="eastAsia"/>
                <w:sz w:val="24"/>
              </w:rPr>
              <w:t xml:space="preserve">6</w:t>
            </w:r>
          </w:p>
        </w:tc>
        <w:tc>
          <w:tcPr>
            <w:tcW w:w="8061" w:type="dxa"/>
            <w:noWrap w:val="0"/>
            <w:vAlign w:val="center"/>
          </w:tcPr>
          <w:p>
            <w:pPr>
              <w:spacing w:line="440" w:lineRule="exact"/>
              <w:jc w:val="left"/>
              <w:rPr>
                <w:rFonts w:ascii="仿宋" w:eastAsia="仿宋" w:hAnsi="仿宋" w:cs="宋体" w:hint="eastAsia"/>
                <w:sz w:val="24"/>
              </w:rPr>
            </w:pPr>
            <w:r>
              <w:rPr>
                <w:rFonts w:ascii="仿宋" w:eastAsia="仿宋" w:hAnsi="仿宋" w:cs="宋体" w:hint="eastAsia"/>
                <w:sz w:val="24"/>
              </w:rPr>
              <w:t xml:space="preserve">其他责任：①乙方须承诺，项目建设及服务期、延保服务期内，因在工作中引起各种工伤、安全事故、事故责任由乙方自行承担，与甲方无关，甲方不承担任何责任和经济赔偿。</w:t>
            </w:r>
          </w:p>
          <w:p>
            <w:pPr>
              <w:spacing w:line="440" w:lineRule="exact"/>
              <w:jc w:val="left"/>
              <w:rPr>
                <w:rFonts w:ascii="仿宋" w:eastAsia="仿宋" w:hAnsi="仿宋" w:cs="宋体" w:hint="eastAsia"/>
                <w:sz w:val="24"/>
              </w:rPr>
            </w:pPr>
            <w:r>
              <w:rPr>
                <w:rFonts w:ascii="仿宋" w:eastAsia="仿宋" w:hAnsi="仿宋" w:cs="宋体" w:hint="eastAsia"/>
                <w:sz w:val="24"/>
              </w:rPr>
              <w:t xml:space="preserve">②乙方在项目建设过程中，非因甲方原因造成工期延误的，一律由乙方承担，产品设备投标选型不正确造成施工中产品变更，甲方将追究其责任。    </w:t>
            </w:r>
            <w:bookmarkEnd w:id="43"/>
            <w:bookmarkEnd w:id="44"/>
          </w:p>
        </w:tc>
      </w:tr>
    </w:tbl>
    <w:p>
      <w:pPr>
        <w:pStyle w:val="纯文本1"/>
        <w:spacing w:line="440" w:lineRule="exact"/>
        <w:ind w:firstLine="480"/>
        <w:rPr>
          <w:rFonts w:ascii="仿宋" w:eastAsia="仿宋" w:hAnsi="仿宋" w:cs="仿宋" w:hint="eastAsia"/>
          <w:sz w:val="24"/>
          <w:szCs w:val="24"/>
        </w:rPr>
      </w:pPr>
      <w:r>
        <w:rPr>
          <w:rFonts w:ascii="仿宋" w:eastAsia="仿宋" w:hAnsi="仿宋" w:cs="仿宋" w:hint="eastAsia"/>
          <w:sz w:val="24"/>
          <w:szCs w:val="24"/>
        </w:rPr>
        <w:t xml:space="preserve">一、货物及数量</w:t>
      </w:r>
    </w:p>
    <w:p>
      <w:pPr>
        <w:pStyle w:val="纯文本1"/>
        <w:spacing w:line="440" w:lineRule="exact"/>
        <w:ind w:firstLine="480"/>
        <w:rPr>
          <w:rFonts w:ascii="仿宋" w:eastAsia="仿宋" w:hAnsi="仿宋" w:cs="仿宋" w:hint="eastAsia"/>
          <w:sz w:val="24"/>
          <w:szCs w:val="24"/>
        </w:rPr>
      </w:pPr>
      <w:r>
        <w:rPr>
          <w:rFonts w:ascii="仿宋" w:eastAsia="仿宋" w:hAnsi="仿宋" w:cs="仿宋" w:hint="eastAsia"/>
          <w:sz w:val="24"/>
          <w:szCs w:val="24"/>
        </w:rPr>
        <w:t xml:space="preserve">本合同所提供的货物及数量详见“项目采购需求”。</w:t>
      </w:r>
    </w:p>
    <w:p>
      <w:pPr>
        <w:pStyle w:val="纯文本1"/>
        <w:spacing w:line="440" w:lineRule="exact"/>
        <w:ind w:left="-359" w:firstLine="825"/>
        <w:rPr>
          <w:rFonts w:ascii="仿宋" w:eastAsia="仿宋" w:hAnsi="仿宋" w:cs="仿宋" w:hint="eastAsia"/>
          <w:sz w:val="24"/>
          <w:szCs w:val="24"/>
        </w:rPr>
      </w:pPr>
      <w:r>
        <w:rPr>
          <w:rFonts w:ascii="仿宋" w:eastAsia="仿宋" w:hAnsi="仿宋" w:cs="仿宋" w:hint="eastAsia"/>
          <w:sz w:val="24"/>
          <w:szCs w:val="24"/>
        </w:rPr>
        <w:t xml:space="preserve">二、合同金额</w:t>
      </w:r>
    </w:p>
    <w:p>
      <w:pPr>
        <w:pStyle w:val="纯文本1"/>
        <w:spacing w:line="440" w:lineRule="exact"/>
        <w:ind w:firstLine="424"/>
        <w:rPr>
          <w:rFonts w:ascii="仿宋" w:eastAsia="仿宋" w:hAnsi="仿宋" w:cs="仿宋" w:hint="eastAsia"/>
          <w:sz w:val="24"/>
          <w:szCs w:val="24"/>
        </w:rPr>
      </w:pPr>
      <w:r>
        <w:rPr>
          <w:rFonts w:ascii="仿宋" w:eastAsia="仿宋" w:hAnsi="仿宋" w:cs="仿宋" w:hint="eastAsia"/>
          <w:sz w:val="24"/>
          <w:szCs w:val="24"/>
        </w:rPr>
        <w:t xml:space="preserve">本合同的总金额(大写)为_________元人民币，分项价格详见乙方提交的投标报价明细表。</w:t>
      </w:r>
    </w:p>
    <w:p>
      <w:pPr>
        <w:widowControl/>
        <w:spacing w:line="360" w:lineRule="auto"/>
        <w:ind w:firstLine="472"/>
        <w:jc w:val="left"/>
        <w:rPr>
          <w:rFonts w:ascii="仿宋" w:eastAsia="仿宋" w:hAnsi="仿宋" w:cs="宋体"/>
          <w:b/>
          <w:sz w:val="24"/>
        </w:rPr>
      </w:pPr>
      <w:r>
        <w:rPr>
          <w:rFonts w:ascii="仿宋" w:eastAsia="仿宋" w:hAnsi="仿宋" w:cs="宋体" w:hint="eastAsia"/>
          <w:b/>
          <w:sz w:val="24"/>
        </w:rPr>
        <w:t xml:space="preserve">投标报价: ①报价包含但不限于本项目全部服务费用、包括货物购置费（包括所有设备、附件、配件、备品备件及专用工具费等）、相关税费等；运输到指定地点的装运费用、安装调试、旧设备拆运费、改造费、配套装饰装修费、电费、软件开发升级费、系统对接费、施工费、施工恢复、技术服务费、 文明施工费、安全生产费、环境保护费、工程干扰费、检测费用等、服务费、人工费、培训费、考核验收费、免费服务期及延保期内的运行维护费、平台运营费、驻场维护人员费用等、其他费用（如包装费、仓储费、资料费以及完成本项目所需要的其他费用）及所有价内价外税金及合理利润等服务期内全部设备的正常使用等为实现功能服务与其无法分割的全部费用。</w:t>
      </w:r>
    </w:p>
    <w:p>
      <w:pPr>
        <w:pStyle w:val="Default"/>
        <w:spacing w:line="360" w:lineRule="auto"/>
        <w:ind w:firstLine="482"/>
        <w:rPr>
          <w:rFonts w:hAnsi="仿宋" w:hint="eastAsia"/>
        </w:rPr>
      </w:pPr>
      <w:r>
        <w:rPr>
          <w:rFonts w:hAnsi="仿宋" w:cs="宋体" w:hint="eastAsia"/>
          <w:b/>
        </w:rPr>
        <w:t xml:space="preserve">②投标人的任何错漏、优惠、竞争性报价不得作为减轻责任、减少服务、增加收费、降低质量的理由。</w:t>
      </w:r>
    </w:p>
    <w:p>
      <w:pPr>
        <w:pStyle w:val="纯文本1"/>
        <w:spacing w:line="440" w:lineRule="exact"/>
        <w:ind w:firstLine="480"/>
        <w:rPr>
          <w:rFonts w:ascii="仿宋" w:eastAsia="仿宋" w:hAnsi="仿宋" w:cs="仿宋" w:hint="eastAsia"/>
          <w:sz w:val="24"/>
          <w:szCs w:val="24"/>
        </w:rPr>
      </w:pPr>
      <w:r>
        <w:rPr>
          <w:rFonts w:ascii="仿宋" w:eastAsia="仿宋" w:hAnsi="仿宋" w:cs="仿宋" w:hint="eastAsia"/>
          <w:sz w:val="24"/>
          <w:szCs w:val="24"/>
        </w:rPr>
        <w:t xml:space="preserve">三、</w:t>
      </w:r>
      <w:r>
        <w:rPr>
          <w:rFonts w:ascii="仿宋" w:eastAsia="仿宋" w:hAnsi="仿宋" w:cs="仿宋" w:hint="eastAsia"/>
          <w:b/>
          <w:bCs/>
          <w:sz w:val="24"/>
          <w:lang w:val="zh-CN"/>
        </w:rPr>
        <w:t xml:space="preserve">项目质量验收</w:t>
      </w:r>
    </w:p>
    <w:p>
      <w:pPr>
        <w:pStyle w:val="纯文本1"/>
        <w:spacing w:line="440" w:lineRule="exact"/>
        <w:ind w:firstLine="480"/>
        <w:rPr>
          <w:rFonts w:ascii="仿宋" w:eastAsia="仿宋" w:hAnsi="仿宋" w:cs="仿宋" w:hint="eastAsia"/>
          <w:sz w:val="24"/>
          <w:szCs w:val="24"/>
        </w:rPr>
      </w:pPr>
      <w:r>
        <w:rPr>
          <w:rFonts w:ascii="仿宋" w:eastAsia="仿宋" w:hAnsi="仿宋" w:cs="仿宋" w:hint="eastAsia"/>
          <w:sz w:val="24"/>
          <w:szCs w:val="24"/>
        </w:rPr>
        <w:t xml:space="preserve">1、甲方有权按招标文件相关要求委托第三方检测机构对所供产品进行检测、验收，第三方是指(国家认可的质量检测机构)，经检测、验收合格的，费用由甲方承担；如乙方交付的产品与响应文件中技术参数不一致，费用由乙方承担。甲方有权退货，并要求中标人赔偿损失，同时报请财政监管部门进行处罚。</w:t>
      </w:r>
    </w:p>
    <w:p>
      <w:pPr>
        <w:pStyle w:val="纯文本1"/>
        <w:spacing w:line="440" w:lineRule="exact"/>
        <w:ind w:firstLine="480"/>
        <w:rPr>
          <w:rFonts w:ascii="仿宋" w:eastAsia="仿宋" w:hAnsi="仿宋" w:cs="仿宋" w:hint="eastAsia"/>
          <w:sz w:val="24"/>
          <w:szCs w:val="24"/>
        </w:rPr>
      </w:pPr>
      <w:r>
        <w:rPr>
          <w:rFonts w:ascii="仿宋" w:eastAsia="仿宋" w:hAnsi="仿宋" w:cs="仿宋" w:hint="eastAsia"/>
          <w:sz w:val="24"/>
          <w:szCs w:val="24"/>
        </w:rPr>
        <w:t xml:space="preserve">2、如因其他原因导致甲方需重复进行检测、验收所产生的费用由乙方承担。</w:t>
      </w:r>
    </w:p>
    <w:p>
      <w:pPr>
        <w:widowControl/>
        <w:spacing w:line="360" w:lineRule="auto"/>
        <w:ind w:firstLine="241"/>
        <w:jc w:val="left"/>
        <w:rPr>
          <w:rFonts w:ascii="仿宋" w:eastAsia="仿宋" w:hAnsi="仿宋" w:cs="仿宋"/>
          <w:b/>
          <w:bCs/>
          <w:sz w:val="24"/>
          <w:lang w:val="zh-CN"/>
        </w:rPr>
      </w:pPr>
      <w:r>
        <w:rPr>
          <w:rFonts w:ascii="仿宋" w:eastAsia="仿宋" w:hAnsi="仿宋" w:cs="仿宋" w:hint="eastAsia"/>
          <w:b/>
          <w:bCs/>
          <w:sz w:val="24"/>
        </w:rPr>
        <w:t xml:space="preserve">四、</w:t>
      </w:r>
      <w:r>
        <w:rPr>
          <w:rFonts w:ascii="仿宋" w:eastAsia="仿宋" w:hAnsi="仿宋" w:cs="仿宋" w:hint="eastAsia"/>
          <w:b/>
          <w:bCs/>
          <w:sz w:val="24"/>
          <w:lang w:val="zh-CN"/>
        </w:rPr>
        <w:t xml:space="preserve">保密条款</w:t>
      </w:r>
    </w:p>
    <w:p>
      <w:pPr>
        <w:widowControl/>
        <w:spacing w:line="360" w:lineRule="auto"/>
        <w:ind w:firstLine="480"/>
        <w:jc w:val="left"/>
        <w:rPr>
          <w:rFonts w:ascii="仿宋" w:eastAsia="仿宋" w:hAnsi="仿宋" w:cs="仿宋"/>
          <w:sz w:val="24"/>
          <w:lang w:val="zh-CN"/>
        </w:rPr>
      </w:pPr>
      <w:r>
        <w:rPr>
          <w:rFonts w:ascii="仿宋" w:eastAsia="仿宋" w:hAnsi="仿宋" w:cs="仿宋" w:hint="eastAsia"/>
          <w:sz w:val="24"/>
          <w:lang w:val="zh-CN"/>
        </w:rPr>
        <w:t xml:space="preserve">1、甲乙双方对在本合同签订、履行过程中知悉的对方资料和信息，除该方作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p>
    <w:p>
      <w:pPr>
        <w:pStyle w:val="标题31"/>
        <w:spacing w:before="0" w:after="0" w:line="500" w:lineRule="exact"/>
        <w:ind w:firstLine="482"/>
        <w:rPr>
          <w:rFonts w:ascii="仿宋" w:eastAsia="仿宋" w:hAnsi="仿宋" w:cs="仿宋"/>
          <w:sz w:val="24"/>
          <w:szCs w:val="24"/>
        </w:rPr>
      </w:pPr>
      <w:r>
        <w:rPr>
          <w:rFonts w:ascii="仿宋" w:eastAsia="仿宋" w:hAnsi="仿宋" w:cs="仿宋" w:hint="eastAsia"/>
          <w:sz w:val="24"/>
          <w:szCs w:val="24"/>
        </w:rPr>
        <w:t xml:space="preserve">五、质量保证</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1、乙方应保证提供的产品不得侵犯第三方专利权、商标权和工业设计权、版权等，否则，乙方应负全部责任，并承担由此引起的一切后果。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2、乙方提供的货物必须符合国家有关质量技术标准及相关法律、法规规定的要求。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3、本项目的主要产品一经确定后，不允许擅自更改；项目验收时，提供的产品品牌、型号、参数等必须与招标文件技术响应文件产品相符； 如因特殊情况需要更改的，须报甲方书面同意，并且更改后的品牌、型号、质量等不得低于原来的要求。否则，所有损失由乙方承担。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4、本项目的施工质量严格按照相关国家、地方标准进行施工，要求项目施工质量达到合格以上。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5、本项目系统中涉及的视频图像数据所有权归属甲方，未经甲方同意，乙方不得私自泄露、转让、抵押给第三方使用。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6、本项目软硬件等管理权归属甲方；乙方在甲方的授权范围内从事相关管理活动。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7、乙方应保证其货物在正确安装、正常使用和保养条件下，符合招标文件技术参数相关要求。在施工工期内以及维保期内乙方应对由于设计、工艺、材料或安装施工的缺陷而发生的任何不足或故障负责，并承担由此引起的一切后果。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8、在维保期内出现故障抵达现场不能现场修复的，必须用同类、同型号产品或功能性能效果高于原产品进行替换，保证信息畅通。在维保期内，若发生重大质量故障，则维保期重新开始计算，同时甲方有权解除合同并追究相关责任。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9、施工及维保期间，如因甲方原因造成的设备（含配套设施）损坏或遇政府市政工程， 需要对点位进行拆除重建的，杆件和基础重建等由甲方负责，其他非甲方原因造成的设备及配套设施的重建和修复均由乙方负责，费用由乙方自行承担。</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10、乙方应建立工程项目维保工作机制。提供24小时服务电话热线，实行7*24小时响应服务，落实视频故障巡查、应急抢修和日常运维等制度</w:t>
      </w:r>
      <w:r>
        <w:rPr>
          <w:rFonts w:ascii="仿宋" w:eastAsia="仿宋" w:hAnsi="仿宋" w:cs="宋体" w:hint="eastAsia"/>
          <w:sz w:val="24"/>
          <w:lang w:val="zh-CN"/>
        </w:rPr>
        <w:t xml:space="preserve">。配备人员、专业车辆、维修设备等</w:t>
      </w:r>
      <w:r>
        <w:rPr>
          <w:rFonts w:ascii="仿宋" w:eastAsia="仿宋" w:hAnsi="仿宋" w:cs="宋体" w:hint="eastAsia"/>
          <w:sz w:val="24"/>
        </w:rPr>
        <w:t xml:space="preserve">，如果人员力量不足，应根据工作量需求增加，确保完成运维服务要求；二要提供</w:t>
      </w:r>
      <w:r>
        <w:rPr>
          <w:rFonts w:ascii="仿宋" w:eastAsia="仿宋" w:hAnsi="仿宋" w:cs="宋体" w:hint="eastAsia"/>
          <w:sz w:val="24"/>
          <w:lang w:val="zh-CN"/>
        </w:rPr>
        <w:t xml:space="preserve">专业技术人员驻场（淮安市公安局淮阴分局）服务，</w:t>
      </w:r>
      <w:r>
        <w:rPr>
          <w:rFonts w:ascii="仿宋" w:eastAsia="仿宋" w:hAnsi="仿宋" w:cs="宋体" w:hint="eastAsia"/>
          <w:sz w:val="24"/>
        </w:rPr>
        <w:t xml:space="preserve">驻场人员每日负责检查前端设备完好率、在线率、抓拍率，每周向甲方出具详细检查报告，自主发现各类故障，除向维护队伍派单、核实维修情况外，同时将维修情况向甲方报备。 </w:t>
      </w:r>
    </w:p>
    <w:p>
      <w:pPr>
        <w:widowControl/>
        <w:spacing w:line="360" w:lineRule="auto"/>
        <w:ind w:firstLine="480"/>
        <w:jc w:val="left"/>
        <w:rPr>
          <w:rFonts w:ascii="仿宋" w:eastAsia="仿宋" w:hAnsi="仿宋" w:cs="宋体"/>
          <w:sz w:val="24"/>
        </w:rPr>
      </w:pPr>
      <w:r>
        <w:rPr>
          <w:rFonts w:ascii="仿宋" w:eastAsia="仿宋" w:hAnsi="仿宋" w:cs="宋体" w:hint="eastAsia"/>
          <w:sz w:val="24"/>
        </w:rPr>
        <w:t xml:space="preserve">11、如因特殊原因造成故障无法如期修复的，由乙方提供相关证明材料，得到甲方认可后，维修期限可以顺延。 </w:t>
      </w:r>
    </w:p>
    <w:p>
      <w:pPr>
        <w:widowControl/>
        <w:spacing w:line="360" w:lineRule="auto"/>
        <w:ind w:firstLine="480"/>
        <w:jc w:val="left"/>
        <w:rPr>
          <w:rFonts w:ascii="仿宋" w:eastAsia="仿宋" w:hAnsi="仿宋" w:cs="仿宋" w:hint="eastAsia"/>
          <w:sz w:val="24"/>
        </w:rPr>
      </w:pPr>
      <w:r>
        <w:rPr>
          <w:rFonts w:ascii="仿宋" w:eastAsia="仿宋" w:hAnsi="仿宋" w:cs="宋体" w:hint="eastAsia"/>
          <w:sz w:val="24"/>
        </w:rPr>
        <w:t xml:space="preserve">12、自合同签订之日起，至服务期及延保期结束并移交甲方前，乙方需负责本合同涉及到的所有设备（含配套管线）的保管维护保养等工作，甲方不提供任何配件，一切设备均要由乙方自行负责保管维护。因乙方保管维护不当造成的损失由乙方自行负责。</w:t>
      </w:r>
    </w:p>
    <w:p>
      <w:pPr>
        <w:pStyle w:val="纯文本1"/>
        <w:spacing w:line="440" w:lineRule="exact"/>
        <w:ind w:firstLine="482"/>
        <w:rPr>
          <w:rFonts w:ascii="仿宋" w:eastAsia="仿宋" w:hAnsi="仿宋" w:cs="仿宋" w:hint="eastAsia"/>
          <w:b/>
          <w:bCs/>
          <w:sz w:val="24"/>
          <w:szCs w:val="24"/>
        </w:rPr>
      </w:pPr>
      <w:r>
        <w:rPr>
          <w:rFonts w:ascii="仿宋" w:eastAsia="仿宋" w:hAnsi="仿宋" w:cs="仿宋" w:hint="eastAsia"/>
          <w:b/>
          <w:bCs/>
          <w:sz w:val="24"/>
          <w:szCs w:val="24"/>
        </w:rPr>
        <w:t xml:space="preserve">六、履约保证金</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1、为保证合同的顺利执行，乙方必须在与甲方签订合同前，向甲方提交金额为中标总价1%的履约保证金，逾期未提交履约保证金作自动放弃中标处理。</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2、履约保证金应当以支票、汇票、本票或者保险公司、金融机构、担保机构出具的保函等非现金形式提交。提交形式由乙方自主选择，甲方应按淮财发【2022】207号通知规定接受乙方提交的保证保险。</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3、如乙方未能履行合同规定的义务，甲方有权从履约保证金中取得补偿。</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4、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5、履约保证金在项目验收合格后退还给乙方。</w:t>
      </w:r>
    </w:p>
    <w:p>
      <w:pPr>
        <w:widowControl/>
        <w:spacing w:line="360" w:lineRule="auto"/>
        <w:ind w:firstLine="482"/>
        <w:jc w:val="left"/>
        <w:rPr>
          <w:rFonts w:ascii="仿宋" w:eastAsia="仿宋" w:hAnsi="仿宋" w:cs="仿宋"/>
          <w:b/>
          <w:bCs/>
          <w:sz w:val="24"/>
        </w:rPr>
      </w:pPr>
      <w:r>
        <w:rPr>
          <w:rFonts w:ascii="仿宋" w:eastAsia="仿宋" w:hAnsi="仿宋" w:cs="仿宋" w:hint="eastAsia"/>
          <w:b/>
          <w:bCs/>
          <w:sz w:val="24"/>
        </w:rPr>
        <w:t xml:space="preserve">七、售后服务</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1、 乙方应按招标文件规定的货物及服务性能、技术要求、质量标准向甲方提供。</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2、乙方提供的货物及服务在质量期内因服务及产品本身的质量问题发生故障，乙方应负责免费更换。对达不到技术要求者，根据实际情况，经双方协商，可按以下办法处理：</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⑴更换：由乙方承担所发生的全部费用。</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⑵贬值处理：由甲乙双方合议定价。</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⑶退还处理：乙方应退还甲方支付的合同款，同时应承担该货物及服务的直接费用（运输、保险、检验、款项利息及银行手续费等）。</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3、 如在使用过程中发生质量问题，乙方在接到甲方通知后应在</w:t>
      </w:r>
      <w:r>
        <w:rPr>
          <w:rFonts w:ascii="仿宋" w:eastAsia="仿宋" w:hAnsi="仿宋" w:cs="仿宋" w:hint="eastAsia"/>
          <w:bCs/>
          <w:sz w:val="24"/>
          <w:u w:val="single"/>
        </w:rPr>
        <w:t xml:space="preserve"> 2 </w:t>
      </w:r>
      <w:r>
        <w:rPr>
          <w:rFonts w:ascii="仿宋" w:eastAsia="仿宋" w:hAnsi="仿宋" w:cs="仿宋" w:hint="eastAsia"/>
          <w:bCs/>
          <w:sz w:val="24"/>
        </w:rPr>
        <w:t xml:space="preserve">小时内到达甲方现场进行维保。</w:t>
      </w:r>
    </w:p>
    <w:p>
      <w:pPr>
        <w:widowControl/>
        <w:spacing w:line="360" w:lineRule="auto"/>
        <w:ind w:firstLine="480"/>
        <w:jc w:val="left"/>
        <w:rPr>
          <w:rFonts w:ascii="仿宋" w:eastAsia="仿宋" w:hAnsi="仿宋" w:cs="仿宋"/>
          <w:bCs/>
          <w:sz w:val="24"/>
        </w:rPr>
      </w:pPr>
      <w:r>
        <w:rPr>
          <w:rFonts w:ascii="仿宋" w:eastAsia="仿宋" w:hAnsi="仿宋" w:cs="仿宋" w:hint="eastAsia"/>
          <w:bCs/>
          <w:sz w:val="24"/>
        </w:rPr>
        <w:t xml:space="preserve">4、在服务期及延保期内，乙方应对货物及服务出现的质量及安全问题负责处理解决并承担一切费用。</w:t>
      </w:r>
    </w:p>
    <w:p>
      <w:pPr>
        <w:widowControl/>
        <w:spacing w:line="360" w:lineRule="auto"/>
        <w:ind w:firstLine="480"/>
        <w:jc w:val="left"/>
        <w:rPr>
          <w:rFonts w:ascii="仿宋" w:eastAsia="仿宋" w:hAnsi="仿宋" w:cs="仿宋" w:hint="eastAsia"/>
          <w:b/>
          <w:bCs/>
          <w:sz w:val="24"/>
        </w:rPr>
      </w:pPr>
      <w:r>
        <w:rPr>
          <w:rFonts w:ascii="仿宋" w:eastAsia="仿宋" w:hAnsi="仿宋" w:cs="仿宋" w:hint="eastAsia"/>
          <w:bCs/>
          <w:sz w:val="24"/>
        </w:rPr>
        <w:t xml:space="preserve">5、上述的货物及服务免费保修期为</w:t>
      </w:r>
      <w:r>
        <w:rPr>
          <w:rFonts w:ascii="仿宋" w:eastAsia="仿宋" w:hAnsi="仿宋" w:cs="仿宋" w:hint="eastAsia"/>
          <w:bCs/>
          <w:sz w:val="24"/>
          <w:u w:val="single"/>
        </w:rPr>
        <w:t xml:space="preserve">       </w:t>
      </w:r>
      <w:r>
        <w:rPr>
          <w:rFonts w:ascii="仿宋" w:eastAsia="仿宋" w:hAnsi="仿宋" w:cs="仿宋" w:hint="eastAsia"/>
          <w:bCs/>
          <w:sz w:val="24"/>
        </w:rPr>
        <w:t xml:space="preserve">年</w:t>
      </w:r>
      <w:r>
        <w:rPr>
          <w:rFonts w:ascii="仿宋" w:eastAsia="仿宋" w:hAnsi="仿宋" w:cs="宋体" w:hint="eastAsia"/>
          <w:sz w:val="24"/>
        </w:rPr>
        <w:t xml:space="preserve">（具体延保服务时限以投标文件为准）</w:t>
      </w:r>
      <w:r>
        <w:rPr>
          <w:rFonts w:ascii="仿宋" w:eastAsia="仿宋" w:hAnsi="仿宋" w:cs="仿宋" w:hint="eastAsia"/>
          <w:bCs/>
          <w:sz w:val="24"/>
        </w:rPr>
        <w:t xml:space="preserve">，因人为因素出现的故障不在免费保修范围内。超过保修期的机器设备，终生维修，维修时只收部件成本费。</w:t>
      </w:r>
    </w:p>
    <w:p>
      <w:pPr>
        <w:spacing w:line="440" w:lineRule="exact"/>
        <w:rPr>
          <w:rFonts w:ascii="仿宋" w:eastAsia="仿宋" w:hAnsi="仿宋" w:cs="仿宋" w:hint="eastAsia"/>
          <w:b/>
          <w:bCs/>
          <w:sz w:val="24"/>
        </w:rPr>
      </w:pPr>
      <w:r>
        <w:rPr>
          <w:rFonts w:ascii="仿宋" w:eastAsia="仿宋" w:hAnsi="仿宋" w:cs="仿宋" w:hint="eastAsia"/>
          <w:b/>
          <w:bCs/>
          <w:sz w:val="24"/>
        </w:rPr>
        <w:t xml:space="preserve">八、合同纠纷处理</w:t>
      </w:r>
    </w:p>
    <w:p>
      <w:pPr>
        <w:spacing w:line="440" w:lineRule="exact"/>
        <w:ind w:firstLine="240"/>
        <w:rPr>
          <w:rFonts w:ascii="仿宋" w:eastAsia="仿宋" w:hAnsi="仿宋" w:cs="仿宋" w:hint="eastAsia"/>
          <w:sz w:val="24"/>
        </w:rPr>
      </w:pPr>
      <w:r>
        <w:rPr>
          <w:rFonts w:ascii="仿宋" w:eastAsia="仿宋" w:hAnsi="仿宋" w:cs="仿宋" w:hint="eastAsia"/>
          <w:sz w:val="24"/>
        </w:rPr>
        <w:t xml:space="preserve">本合同执行过程中发生纠纷，由甲乙双方协商解决，若协商不成，作如下</w:t>
      </w:r>
      <w:r>
        <w:rPr>
          <w:rFonts w:ascii="仿宋" w:eastAsia="仿宋" w:hAnsi="仿宋" w:cs="仿宋" w:hint="eastAsia"/>
          <w:sz w:val="24"/>
          <w:u w:val="single"/>
        </w:rPr>
        <w:t xml:space="preserve"> 2</w:t>
      </w:r>
      <w:r>
        <w:rPr>
          <w:rFonts w:ascii="仿宋" w:eastAsia="仿宋" w:hAnsi="仿宋" w:cs="仿宋" w:hint="eastAsia"/>
          <w:sz w:val="24"/>
        </w:rPr>
        <w:t xml:space="preserve">处理:</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1、申请仲裁。选定仲裁机构为淮安市仲裁委员会。</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2、提起诉讼。约定由采购人所在地法院管辖。</w:t>
      </w:r>
    </w:p>
    <w:p>
      <w:pPr>
        <w:spacing w:line="440" w:lineRule="exact"/>
        <w:rPr>
          <w:rFonts w:ascii="仿宋" w:eastAsia="仿宋" w:hAnsi="仿宋" w:cs="仿宋" w:hint="eastAsia"/>
          <w:b/>
          <w:bCs/>
          <w:sz w:val="24"/>
        </w:rPr>
      </w:pPr>
      <w:r>
        <w:rPr>
          <w:rFonts w:ascii="仿宋" w:eastAsia="仿宋" w:hAnsi="仿宋" w:cs="仿宋" w:hint="eastAsia"/>
          <w:b/>
          <w:bCs/>
          <w:sz w:val="24"/>
        </w:rPr>
        <w:t xml:space="preserve">九、合同生效及其它</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本合同经甲、乙双方加盖电子签章后生效。如有变动，必须经甲方、乙方协商一致，方可更改。</w:t>
      </w:r>
    </w:p>
    <w:p>
      <w:pPr>
        <w:spacing w:line="440" w:lineRule="exact"/>
        <w:rPr>
          <w:rFonts w:ascii="仿宋" w:eastAsia="仿宋" w:hAnsi="仿宋" w:cs="仿宋" w:hint="eastAsia"/>
          <w:b/>
          <w:bCs/>
          <w:sz w:val="24"/>
        </w:rPr>
      </w:pPr>
      <w:r>
        <w:rPr>
          <w:rFonts w:ascii="仿宋" w:eastAsia="仿宋" w:hAnsi="仿宋" w:cs="仿宋" w:hint="eastAsia"/>
          <w:b/>
          <w:bCs/>
          <w:sz w:val="24"/>
        </w:rPr>
        <w:t xml:space="preserve">十、组成本合同的文件包括</w:t>
      </w:r>
    </w:p>
    <w:p>
      <w:pPr>
        <w:spacing w:line="440" w:lineRule="exact"/>
        <w:ind w:firstLine="484"/>
        <w:rPr>
          <w:rFonts w:ascii="仿宋" w:eastAsia="仿宋" w:hAnsi="仿宋" w:cs="仿宋" w:hint="eastAsia"/>
          <w:sz w:val="24"/>
        </w:rPr>
      </w:pPr>
      <w:r>
        <w:rPr>
          <w:rFonts w:ascii="仿宋" w:eastAsia="仿宋" w:hAnsi="仿宋" w:cs="仿宋" w:hint="eastAsia"/>
          <w:sz w:val="24"/>
        </w:rPr>
        <w:t xml:space="preserve">1、合同格式及条款；</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2、招标文件和乙方的投标文件；</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3、中标通知书；</w:t>
      </w:r>
    </w:p>
    <w:p>
      <w:pPr>
        <w:spacing w:line="440" w:lineRule="exact"/>
        <w:ind w:firstLine="480"/>
        <w:rPr>
          <w:rFonts w:ascii="仿宋" w:eastAsia="仿宋" w:hAnsi="仿宋" w:cs="仿宋" w:hint="eastAsia"/>
          <w:sz w:val="24"/>
        </w:rPr>
      </w:pPr>
      <w:r>
        <w:rPr>
          <w:rFonts w:ascii="仿宋" w:eastAsia="仿宋" w:hAnsi="仿宋" w:cs="仿宋" w:hint="eastAsia"/>
          <w:sz w:val="24"/>
        </w:rPr>
        <w:t xml:space="preserve">4、甲乙双方商定的其他必要文件。上述合同文件内容互为补充，如有不明确，由甲方负责解释。</w:t>
      </w:r>
    </w:p>
    <w:p>
      <w:pPr>
        <w:pStyle w:val="纯文本1"/>
        <w:spacing w:line="440" w:lineRule="exact"/>
        <w:ind w:firstLine="480"/>
        <w:rPr>
          <w:rFonts w:ascii="仿宋" w:eastAsia="仿宋" w:hAnsi="仿宋" w:cs="仿宋" w:hint="eastAsia"/>
          <w:color w:val="FF0000"/>
          <w:sz w:val="24"/>
          <w:szCs w:val="24"/>
        </w:rPr>
      </w:pPr>
      <w:r>
        <w:rPr>
          <w:rFonts w:ascii="仿宋" w:eastAsia="仿宋" w:hAnsi="仿宋" w:cs="仿宋" w:hint="eastAsia"/>
          <w:sz w:val="24"/>
          <w:szCs w:val="24"/>
        </w:rPr>
        <w:t xml:space="preserve">甲 方:                            乙 方:</w:t>
      </w:r>
    </w:p>
    <w:p>
      <w:pPr>
        <w:pStyle w:val="纯文本1"/>
        <w:spacing w:line="440" w:lineRule="exact"/>
        <w:ind w:firstLine="240"/>
        <w:rPr>
          <w:rFonts w:ascii="仿宋" w:eastAsia="仿宋" w:hAnsi="仿宋" w:cs="仿宋" w:hint="eastAsia"/>
          <w:sz w:val="24"/>
          <w:szCs w:val="24"/>
        </w:rPr>
      </w:pPr>
      <w:r>
        <w:rPr>
          <w:rFonts w:ascii="仿宋" w:eastAsia="仿宋" w:hAnsi="仿宋" w:cs="仿宋" w:hint="eastAsia"/>
          <w:sz w:val="24"/>
          <w:szCs w:val="24"/>
        </w:rPr>
        <w:t xml:space="preserve">单位盖章:                         单位盖章:</w:t>
      </w:r>
    </w:p>
    <w:p>
      <w:pPr>
        <w:pStyle w:val="纯文本1"/>
        <w:spacing w:line="440" w:lineRule="exact"/>
        <w:ind w:firstLine="240"/>
        <w:rPr>
          <w:rFonts w:ascii="仿宋" w:eastAsia="仿宋" w:hAnsi="仿宋" w:cs="仿宋" w:hint="eastAsia"/>
          <w:sz w:val="24"/>
          <w:szCs w:val="24"/>
        </w:rPr>
      </w:pPr>
      <w:r>
        <w:rPr>
          <w:rFonts w:ascii="仿宋" w:eastAsia="仿宋" w:hAnsi="仿宋" w:cs="仿宋" w:hint="eastAsia"/>
          <w:sz w:val="24"/>
          <w:szCs w:val="24"/>
        </w:rPr>
        <w:t xml:space="preserve">代表签字:                         代表签字:</w:t>
      </w:r>
    </w:p>
    <w:p>
      <w:pPr>
        <w:pStyle w:val="纯文本1"/>
        <w:spacing w:line="440" w:lineRule="exact"/>
        <w:ind w:firstLine="240"/>
        <w:rPr>
          <w:rFonts w:ascii="仿宋" w:eastAsia="仿宋" w:hAnsi="仿宋" w:cs="仿宋" w:hint="eastAsia"/>
          <w:b/>
          <w:sz w:val="32"/>
          <w:szCs w:val="32"/>
        </w:rPr>
      </w:pPr>
      <w:r>
        <w:rPr>
          <w:rFonts w:ascii="仿宋" w:eastAsia="仿宋" w:hAnsi="仿宋" w:cs="仿宋" w:hint="eastAsia"/>
          <w:sz w:val="24"/>
          <w:szCs w:val="24"/>
        </w:rPr>
        <w:t xml:space="preserve">签定日期:                         签定日期:</w:t>
      </w:r>
    </w:p>
    <w:p>
      <w:pPr>
        <w:tabs>
          <w:tab w:val="left" w:pos="180"/>
        </w:tabs>
        <w:spacing w:line="640" w:lineRule="exact"/>
        <w:ind w:firstLine="3502"/>
        <w:rPr>
          <w:rFonts w:ascii="仿宋" w:eastAsia="仿宋" w:hAnsi="仿宋" w:cs="仿宋" w:hint="eastAsia"/>
          <w:b/>
          <w:sz w:val="32"/>
          <w:szCs w:val="32"/>
        </w:rPr>
      </w:pPr>
      <w:r>
        <w:br w:type="page"/>
      </w:r>
      <w:r>
        <w:rPr>
          <w:rFonts w:ascii="仿宋" w:eastAsia="仿宋" w:hAnsi="仿宋" w:cs="仿宋" w:hint="eastAsia"/>
          <w:b/>
          <w:sz w:val="32"/>
          <w:szCs w:val="32"/>
        </w:rPr>
        <w:t xml:space="preserve">二、合同条款</w:t>
      </w:r>
    </w:p>
    <w:p>
      <w:pPr>
        <w:spacing w:line="520" w:lineRule="exact"/>
        <w:rPr>
          <w:rFonts w:ascii="仿宋" w:eastAsia="仿宋" w:hAnsi="仿宋" w:cs="仿宋" w:hint="eastAsia"/>
          <w:sz w:val="24"/>
        </w:rPr>
      </w:pPr>
      <w:r>
        <w:rPr>
          <w:rFonts w:ascii="仿宋" w:eastAsia="仿宋" w:hAnsi="仿宋" w:cs="仿宋" w:hint="eastAsia"/>
          <w:sz w:val="24"/>
        </w:rPr>
        <w:t xml:space="preserve">1.定义</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本合同中下列术语应解释为:</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（1）“合同”系指甲方和乙方（以下简称合同双方）签署的、合同格式中列明的合同双方所达成的协议，包括所有的附件、附录和构成合同的所有文件。</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（2）“合同价”系指根据合同规定，乙方在完全履行合同义务后甲方应支付给乙方的价格。</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（3）“货物（含软件及相关服务）”系指乙方按合同要求，须向甲方提供的一切设备、机械、仪表、备件、工具、技术及手册等有关材料。</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（4）“服务”系指根据合同规定乙方承担与供货有关的所有辅助服务，如运输、保险以及其它的服务，如安装、调试、提供技术援助、培训和其他类似的义务。</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（5）“甲方”系指购买货物（含软件及相关服务）的单位。</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（6）“乙方”系指根据合同规定提供货物（含软件及相关服务）和服务的投标人。</w:t>
      </w:r>
    </w:p>
    <w:p>
      <w:pPr>
        <w:spacing w:line="520" w:lineRule="exact"/>
        <w:rPr>
          <w:rFonts w:ascii="仿宋" w:eastAsia="仿宋" w:hAnsi="仿宋" w:cs="仿宋" w:hint="eastAsia"/>
          <w:bCs/>
          <w:sz w:val="24"/>
        </w:rPr>
      </w:pPr>
      <w:r>
        <w:rPr>
          <w:rFonts w:ascii="仿宋" w:eastAsia="仿宋" w:hAnsi="仿宋" w:cs="仿宋" w:hint="eastAsia"/>
          <w:bCs/>
          <w:sz w:val="24"/>
        </w:rPr>
        <w:t xml:space="preserve">2.技术规范</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2.1提交货物（含软件及相关服务）的技术规范应与招标文件的技术规范和技术规范附件（如果有的话）及响应文件的规格响应表（如果被甲方接受的话）相一致。若技术规范中无相应说明，则以国家有关部门最新颁布的相应标准及规范为准。 </w:t>
      </w:r>
    </w:p>
    <w:p>
      <w:pPr>
        <w:spacing w:line="520" w:lineRule="exact"/>
        <w:rPr>
          <w:rFonts w:ascii="仿宋" w:eastAsia="仿宋" w:hAnsi="仿宋" w:cs="仿宋" w:hint="eastAsia"/>
          <w:sz w:val="24"/>
        </w:rPr>
      </w:pPr>
      <w:r>
        <w:rPr>
          <w:rFonts w:ascii="仿宋" w:eastAsia="仿宋" w:hAnsi="仿宋" w:cs="仿宋" w:hint="eastAsia"/>
          <w:sz w:val="24"/>
        </w:rPr>
        <w:t xml:space="preserve">3.专利权</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spacing w:line="520" w:lineRule="exact"/>
        <w:rPr>
          <w:rFonts w:ascii="仿宋" w:eastAsia="仿宋" w:hAnsi="仿宋" w:cs="仿宋" w:hint="eastAsia"/>
          <w:sz w:val="24"/>
        </w:rPr>
      </w:pPr>
      <w:r>
        <w:rPr>
          <w:rFonts w:ascii="仿宋" w:eastAsia="仿宋" w:hAnsi="仿宋" w:cs="仿宋" w:hint="eastAsia"/>
          <w:sz w:val="24"/>
        </w:rPr>
        <w:t xml:space="preserve">4.包装要求</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4.1除合同另有规定外，</w:t>
      </w:r>
      <w:r>
        <w:rPr>
          <w:rFonts w:ascii="仿宋" w:eastAsia="仿宋" w:hAnsi="仿宋" w:hint="eastAsia"/>
          <w:color w:val="000000"/>
          <w:sz w:val="24"/>
        </w:rPr>
        <w:t xml:space="preserve">本项目中涉及商品的</w:t>
      </w:r>
      <w:r>
        <w:rPr>
          <w:rFonts w:ascii="仿宋" w:eastAsia="仿宋" w:hAnsi="仿宋"/>
          <w:color w:val="000000"/>
          <w:sz w:val="24"/>
        </w:rPr>
        <w:t xml:space="preserve">包装应按照“财办库〔2020〕123号《关于印发《商品包装政府采购需求标准（试行）》、《快递包装政府采购需求标准（试行）》的通知》”执行</w:t>
      </w:r>
      <w:r>
        <w:rPr>
          <w:rFonts w:ascii="仿宋" w:eastAsia="仿宋" w:hAnsi="仿宋" w:hint="eastAsia"/>
          <w:color w:val="000000"/>
          <w:sz w:val="24"/>
        </w:rPr>
        <w:t xml:space="preserve">,在供货、安装过程中能做到低碳物流、环保节约、提高资源利用率；涉及设备运维参考《绿色数据中心政府采购需求标准（试行）》（财库【2023】7号文）执行</w:t>
      </w:r>
      <w:r>
        <w:rPr>
          <w:rFonts w:ascii="仿宋" w:eastAsia="仿宋" w:hAnsi="仿宋" w:cs="仿宋" w:hint="eastAsia"/>
          <w:sz w:val="24"/>
        </w:rPr>
        <w:t xml:space="preserve">。使包装适应于远距离运输、防潮、防震、防锈和防粗暴装卸，确保货物（含软件及相关服务）安全无损运抵制现场。由于包装不善所引起的货物（含软件及相关服务）锈蚀、损坏和损失均由乙方承担。</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4.2每件包装箱内应附一份详细装箱单和质量合格证。</w:t>
      </w:r>
    </w:p>
    <w:p>
      <w:pPr>
        <w:spacing w:line="520" w:lineRule="exact"/>
        <w:rPr>
          <w:rFonts w:ascii="仿宋" w:eastAsia="仿宋" w:hAnsi="仿宋" w:cs="仿宋" w:hint="eastAsia"/>
          <w:sz w:val="24"/>
        </w:rPr>
      </w:pPr>
      <w:r>
        <w:rPr>
          <w:rFonts w:ascii="仿宋" w:eastAsia="仿宋" w:hAnsi="仿宋" w:cs="仿宋" w:hint="eastAsia"/>
          <w:sz w:val="24"/>
        </w:rPr>
        <w:t xml:space="preserve">5.装运标志</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5.1 乙方应在每一包装箱邻接的四侧用不褪色的油漆以醒目的中文字样做出下列标记: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（1）收货人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（2）合同号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（3）装运标志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（4）收货人代号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（5）目的地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（6）货物（含软件及相关服务）名称、品目号和箱号</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（7）毛重／净重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（8）尺寸（长X宽X高，以厘米计） </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5.3因缺少装运标志或者装运标志不明确导致货物在运输、装卸过程中产生的损失，乙方应承担相应的过错责任。</w:t>
      </w:r>
    </w:p>
    <w:p>
      <w:pPr>
        <w:spacing w:line="520" w:lineRule="exact"/>
        <w:rPr>
          <w:rFonts w:ascii="仿宋" w:eastAsia="仿宋" w:hAnsi="仿宋" w:cs="仿宋" w:hint="eastAsia"/>
          <w:sz w:val="24"/>
        </w:rPr>
      </w:pPr>
      <w:r>
        <w:rPr>
          <w:rFonts w:ascii="仿宋" w:eastAsia="仿宋" w:hAnsi="仿宋" w:cs="仿宋" w:hint="eastAsia"/>
          <w:sz w:val="24"/>
        </w:rPr>
        <w:t xml:space="preserve">6.付款方式</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6.1本合同以人民币付款。</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6.2乙方应按照与甲方签订的合同规定交货。交货后乙方向甲方提供下列单据，甲方按合同规定审核后付款:</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（1）发票；</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（2）制造厂家出具的质量检验证书等；</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（3）装箱单；</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（4）验收合格证；</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（5）使用方加盖公章证明货物交付使用合格的验收表。</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6.3甲方将按招标文件中规定的付款方式安排付款。</w:t>
      </w:r>
    </w:p>
    <w:p>
      <w:pPr>
        <w:spacing w:line="520" w:lineRule="exact"/>
        <w:rPr>
          <w:rFonts w:ascii="仿宋" w:eastAsia="仿宋" w:hAnsi="仿宋" w:cs="仿宋" w:hint="eastAsia"/>
          <w:sz w:val="24"/>
        </w:rPr>
      </w:pPr>
      <w:r>
        <w:rPr>
          <w:rFonts w:ascii="仿宋" w:eastAsia="仿宋" w:hAnsi="仿宋" w:cs="仿宋" w:hint="eastAsia"/>
          <w:sz w:val="24"/>
        </w:rPr>
        <w:t xml:space="preserve">7.伴随服务</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7.1乙方应按照国家有关规定和合同中所附的服务承诺提供服务。</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7.2除第7.1条规定外，乙方还应提供下列服务:</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（1）货物的现场安装和启动监督；</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（2）提供货物组装和维修所需的工具；</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（3）在合同中乙方承诺的期限内对所提供货物实施运行监督、维修，但前提条件是该服务并不能免除乙方在质量保证期内应承担的义务；</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（4）在项目交货现场就货物的安装、启动、运行、维护对甲方人员进行培训。</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7.3伴随服务的费用应含在合同价中，不单独进行支付。</w:t>
      </w:r>
    </w:p>
    <w:p>
      <w:pPr>
        <w:spacing w:line="520" w:lineRule="exact"/>
        <w:rPr>
          <w:rFonts w:ascii="仿宋" w:eastAsia="仿宋" w:hAnsi="仿宋" w:cs="仿宋" w:hint="eastAsia"/>
          <w:sz w:val="24"/>
        </w:rPr>
      </w:pPr>
      <w:r>
        <w:rPr>
          <w:rFonts w:ascii="仿宋" w:eastAsia="仿宋" w:hAnsi="仿宋" w:cs="仿宋" w:hint="eastAsia"/>
          <w:sz w:val="24"/>
        </w:rPr>
        <w:t xml:space="preserve">8.质量保证</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8.3 乙方在收到通知后三十天内应免费维修或更换有缺陷的货物（含软件及相关服务）或部件。 </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8.4 如果乙方在收到通知后三十天内没有弥补缺陷，甲方可采取必要的补救措施，但风险和费用将由乙方承担。</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8.5 除合同专用条款规定外，合同项下货物（含软件及相关服务）的质量保证期为自货物（含软件及相关服务）通过最终验收起不少于3年（具体以投标人提供的承诺书中的质保时间为准）。</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8.6本项目中涉及涂料、胶黏剂、油墨、清洗剂等挥发性有机物产品的，乙方要执行国家和江苏省VOCs含量限制标准。乙方所投产品优先使用低挥发性原辅材料，使用低VOCs含量的涂料、胶黏剂等。</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9.检验及安装</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pPr>
        <w:spacing w:line="520" w:lineRule="exact"/>
        <w:ind w:firstLine="660"/>
        <w:rPr>
          <w:rFonts w:ascii="仿宋" w:eastAsia="仿宋" w:hAnsi="仿宋" w:cs="仿宋" w:hint="eastAsia"/>
          <w:b/>
          <w:sz w:val="24"/>
        </w:rPr>
      </w:pPr>
      <w:r>
        <w:rPr>
          <w:rFonts w:ascii="仿宋" w:eastAsia="仿宋" w:hAnsi="仿宋" w:cs="仿宋" w:hint="eastAsia"/>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pPr>
        <w:spacing w:line="520" w:lineRule="exact"/>
        <w:ind w:firstLine="660"/>
        <w:rPr>
          <w:rFonts w:ascii="仿宋" w:eastAsia="仿宋" w:hAnsi="仿宋" w:cs="仿宋" w:hint="eastAsia"/>
          <w:b/>
          <w:sz w:val="24"/>
        </w:rPr>
      </w:pPr>
      <w:r>
        <w:rPr>
          <w:rFonts w:ascii="仿宋" w:eastAsia="仿宋" w:hAnsi="仿宋" w:cs="仿宋" w:hint="eastAsia"/>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9.4 甲方有权提出在货物（含软件及相关服务）制造过程中派人到制造厂进行监造，乙方有义务为甲方监造人员提供方便。</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9.5 制造厂对所供货物（含软件及相关服务）进行机械运转试验和性能试验时，必须提前通知甲方。 </w:t>
      </w:r>
    </w:p>
    <w:p>
      <w:pPr>
        <w:spacing w:line="520" w:lineRule="exact"/>
        <w:ind w:firstLine="660"/>
        <w:rPr>
          <w:rFonts w:ascii="仿宋" w:eastAsia="仿宋" w:hAnsi="仿宋" w:cs="仿宋" w:hint="eastAsia"/>
          <w:sz w:val="24"/>
        </w:rPr>
      </w:pPr>
      <w:r>
        <w:rPr>
          <w:rFonts w:ascii="仿宋" w:eastAsia="仿宋" w:hAnsi="仿宋" w:cs="仿宋" w:hint="eastAsia"/>
          <w:sz w:val="24"/>
        </w:rPr>
        <w:t xml:space="preserve">9.6 货物（含软件及相关服务）的安装按招标文件要求进行。</w:t>
      </w:r>
    </w:p>
    <w:p>
      <w:pPr>
        <w:spacing w:line="520" w:lineRule="exact"/>
        <w:rPr>
          <w:rFonts w:ascii="仿宋" w:eastAsia="仿宋" w:hAnsi="仿宋" w:cs="仿宋" w:hint="eastAsia"/>
          <w:sz w:val="24"/>
        </w:rPr>
      </w:pPr>
      <w:r>
        <w:rPr>
          <w:rFonts w:ascii="仿宋" w:eastAsia="仿宋" w:hAnsi="仿宋" w:cs="仿宋" w:hint="eastAsia"/>
          <w:sz w:val="24"/>
        </w:rPr>
        <w:t xml:space="preserve">10.索赔</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10.1 除责任应由保险公司或运输部门承担的之外，甲方有权根据甲方按检验标准自己检验的结果或当地商检部门出具的商检证书向乙方提出索赔。 </w:t>
      </w:r>
    </w:p>
    <w:p>
      <w:pPr>
        <w:spacing w:line="520" w:lineRule="exact"/>
        <w:ind w:firstLine="658"/>
        <w:rPr>
          <w:rFonts w:ascii="仿宋" w:eastAsia="仿宋" w:hAnsi="仿宋" w:cs="仿宋" w:hint="eastAsia"/>
          <w:sz w:val="24"/>
        </w:rPr>
      </w:pPr>
      <w:r>
        <w:rPr>
          <w:rFonts w:ascii="仿宋" w:eastAsia="仿宋" w:hAnsi="仿宋" w:cs="仿宋" w:hint="eastAsia"/>
          <w:sz w:val="24"/>
        </w:rPr>
        <w:t xml:space="preserve">10.2 在第 8条和第9条规定的检验期和质量保证期内，如果乙方对甲方提出的索赔和差异负有责任，乙方应按照甲方同意的下列一种或多种方式解决索赔事宜:</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（2）根据货物（含软件及相关服务）的低劣程度、损坏程度以及甲方遭受损失的数额，经买卖双方商定降低货物（含软件及相关服务）的价格。</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pPr>
        <w:spacing w:line="520" w:lineRule="exact"/>
        <w:ind w:firstLine="360"/>
        <w:rPr>
          <w:rFonts w:ascii="仿宋" w:eastAsia="仿宋" w:hAnsi="仿宋" w:cs="仿宋" w:hint="eastAsia"/>
          <w:sz w:val="24"/>
        </w:rPr>
      </w:pPr>
      <w:r>
        <w:rPr>
          <w:rFonts w:ascii="仿宋" w:eastAsia="仿宋" w:hAnsi="仿宋" w:cs="仿宋" w:hint="eastAsia"/>
          <w:sz w:val="24"/>
        </w:rPr>
        <w:t xml:space="preserve">10.3 如果在甲方发出索赔通知后 30 天内，乙方未能答复，上达索赔应视为已被乙方接受。若乙方未能在甲方提出索赔通知后 30 天内或甲方同意的更长时间内，按照第 10.2 条规定的任何一种方法解决索赔事宜，甲方将从已付款中扣回索赔金颔。如果这些金额不足以补偿索赔金额，甲方有权向乙方提出不足部分的补偿。</w:t>
      </w:r>
    </w:p>
    <w:p>
      <w:pPr>
        <w:spacing w:line="520" w:lineRule="exact"/>
        <w:rPr>
          <w:rFonts w:ascii="仿宋" w:eastAsia="仿宋" w:hAnsi="仿宋" w:cs="仿宋" w:hint="eastAsia"/>
          <w:sz w:val="24"/>
        </w:rPr>
      </w:pPr>
      <w:r>
        <w:rPr>
          <w:rFonts w:ascii="仿宋" w:eastAsia="仿宋" w:hAnsi="仿宋" w:cs="仿宋" w:hint="eastAsia"/>
          <w:sz w:val="24"/>
        </w:rPr>
        <w:t xml:space="preserve">11.拖延交货</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11.1 乙方应按照合同专用条款中规定的交货期交货和提供服务。 </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11.2 如果乙方毫无理由地拖延交货，将受到以下制裁:加收违约损失赔偿和／或终止合同。 </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pPr>
        <w:spacing w:line="520" w:lineRule="exact"/>
        <w:rPr>
          <w:rFonts w:ascii="仿宋" w:eastAsia="仿宋" w:hAnsi="仿宋" w:cs="仿宋" w:hint="eastAsia"/>
          <w:sz w:val="24"/>
        </w:rPr>
      </w:pPr>
      <w:r>
        <w:rPr>
          <w:rFonts w:ascii="仿宋" w:eastAsia="仿宋" w:hAnsi="仿宋" w:cs="仿宋" w:hint="eastAsia"/>
          <w:sz w:val="24"/>
        </w:rPr>
        <w:t xml:space="preserve">12.误期赔偿</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p>
    <w:p>
      <w:pPr>
        <w:spacing w:line="520" w:lineRule="exact"/>
        <w:rPr>
          <w:rFonts w:ascii="仿宋" w:eastAsia="仿宋" w:hAnsi="仿宋" w:cs="仿宋" w:hint="eastAsia"/>
          <w:sz w:val="24"/>
        </w:rPr>
      </w:pPr>
      <w:r>
        <w:rPr>
          <w:rFonts w:ascii="仿宋" w:eastAsia="仿宋" w:hAnsi="仿宋" w:cs="仿宋" w:hint="eastAsia"/>
          <w:sz w:val="24"/>
        </w:rPr>
        <w:t xml:space="preserve">13.不可抗力</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pPr>
        <w:spacing w:line="520" w:lineRule="exact"/>
        <w:rPr>
          <w:rFonts w:ascii="仿宋" w:eastAsia="仿宋" w:hAnsi="仿宋" w:cs="仿宋" w:hint="eastAsia"/>
          <w:sz w:val="24"/>
        </w:rPr>
      </w:pPr>
      <w:r>
        <w:rPr>
          <w:rFonts w:ascii="仿宋" w:eastAsia="仿宋" w:hAnsi="仿宋" w:cs="仿宋" w:hint="eastAsia"/>
          <w:sz w:val="24"/>
        </w:rPr>
        <w:t xml:space="preserve">14.税费</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14.1中国政府根据现行税法规定对甲方征收的与本合同有关的一切税费，均由甲方负担。</w:t>
      </w:r>
    </w:p>
    <w:p>
      <w:pPr>
        <w:spacing w:line="520" w:lineRule="exact"/>
        <w:ind w:firstLine="567"/>
        <w:rPr>
          <w:rFonts w:ascii="仿宋" w:eastAsia="仿宋" w:hAnsi="仿宋" w:cs="仿宋" w:hint="eastAsia"/>
          <w:sz w:val="24"/>
        </w:rPr>
      </w:pPr>
      <w:r>
        <w:rPr>
          <w:rFonts w:ascii="仿宋" w:eastAsia="仿宋" w:hAnsi="仿宋" w:cs="仿宋" w:hint="eastAsia"/>
          <w:sz w:val="24"/>
        </w:rPr>
        <w:t xml:space="preserve">14.2中国政府根据现行税法规定对乙方征收的与本合同有关的一切税费均由乙方负担。</w:t>
      </w:r>
    </w:p>
    <w:p>
      <w:pPr>
        <w:spacing w:line="520" w:lineRule="exact"/>
        <w:rPr>
          <w:rFonts w:ascii="仿宋" w:eastAsia="仿宋" w:hAnsi="仿宋" w:cs="仿宋" w:hint="eastAsia"/>
          <w:sz w:val="24"/>
        </w:rPr>
      </w:pPr>
      <w:r>
        <w:rPr>
          <w:rFonts w:ascii="仿宋" w:eastAsia="仿宋" w:hAnsi="仿宋" w:cs="仿宋" w:hint="eastAsia"/>
          <w:sz w:val="24"/>
        </w:rPr>
        <w:t xml:space="preserve">15.履约保证金</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15.1</w:t>
      </w:r>
      <w:r>
        <w:rPr>
          <w:rFonts w:ascii="仿宋" w:eastAsia="仿宋" w:hAnsi="仿宋" w:cs="仿宋" w:hint="eastAsia"/>
          <w:b/>
          <w:sz w:val="24"/>
        </w:rPr>
        <w:t xml:space="preserve">为保证合同的顺利执行，乙方必须在与甲方签订合同前，向甲方提交金额为中标总价1%的履约保证金，逾期未提交履约保证金作自动放弃中标处理。</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15.2履约保证金应当以支票、汇票、本票或者保险公司、金融机构、担保机构出具的保函等非现金形式提交。提交形式由乙方自主选择，甲方应按淮财发【2022】207 号通知规定接受乙方提交的保证保险。</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15.3如乙方未能履行合同规定的义务，甲方有权从履约保证金中取得补偿。</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15.4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p>
    <w:p>
      <w:pPr>
        <w:spacing w:line="520" w:lineRule="exact"/>
        <w:ind w:firstLine="480"/>
        <w:rPr>
          <w:rFonts w:ascii="仿宋" w:eastAsia="仿宋" w:hAnsi="仿宋" w:cs="仿宋" w:hint="eastAsia"/>
          <w:sz w:val="24"/>
        </w:rPr>
      </w:pPr>
      <w:r>
        <w:rPr>
          <w:rFonts w:ascii="仿宋" w:eastAsia="仿宋" w:hAnsi="仿宋" w:cs="仿宋" w:hint="eastAsia"/>
          <w:sz w:val="24"/>
        </w:rPr>
        <w:t xml:space="preserve">15.5履约保证金在项目验收合格后退还给乙方。</w:t>
      </w:r>
    </w:p>
    <w:p>
      <w:pPr>
        <w:spacing w:line="520" w:lineRule="exact"/>
        <w:rPr>
          <w:rFonts w:ascii="仿宋" w:eastAsia="仿宋" w:hAnsi="仿宋" w:cs="仿宋" w:hint="eastAsia"/>
          <w:sz w:val="24"/>
        </w:rPr>
      </w:pPr>
      <w:r>
        <w:rPr>
          <w:rFonts w:ascii="仿宋" w:eastAsia="仿宋" w:hAnsi="仿宋" w:cs="仿宋" w:hint="eastAsia"/>
          <w:sz w:val="24"/>
        </w:rPr>
        <w:t xml:space="preserve">16.争议解决办法 </w:t>
      </w:r>
    </w:p>
    <w:p>
      <w:pPr>
        <w:widowControl/>
        <w:spacing w:line="360" w:lineRule="auto"/>
        <w:ind w:firstLine="480"/>
        <w:jc w:val="left"/>
        <w:rPr>
          <w:rFonts w:ascii="仿宋" w:eastAsia="仿宋" w:hAnsi="仿宋" w:cs="宋体"/>
          <w:sz w:val="24"/>
        </w:rPr>
      </w:pPr>
      <w:r>
        <w:rPr>
          <w:rFonts w:ascii="仿宋" w:eastAsia="仿宋" w:hAnsi="仿宋" w:cs="宋体" w:hint="eastAsia"/>
          <w:color w:val="000000"/>
          <w:sz w:val="24"/>
        </w:rPr>
        <w:t xml:space="preserve">16.1 在执行本合同所发生的或与本合同有关一切争端，甲方和乙方应通过友好协商的办法进行解决。协商不成的，按照以下方式解决。</w:t>
      </w:r>
    </w:p>
    <w:p>
      <w:pPr>
        <w:widowControl/>
        <w:spacing w:line="360" w:lineRule="auto"/>
        <w:ind w:firstLine="480"/>
        <w:jc w:val="left"/>
        <w:rPr>
          <w:rFonts w:ascii="仿宋" w:eastAsia="仿宋" w:hAnsi="仿宋" w:cs="宋体"/>
          <w:sz w:val="24"/>
        </w:rPr>
      </w:pPr>
      <w:r>
        <w:rPr>
          <w:rFonts w:ascii="Wingdings 2" w:eastAsia="Wingdings 2" w:hAnsi="Wingdings 2" w:cs="Wingdings 2"/>
          <w:color w:val="000000"/>
          <w:sz w:val="24"/>
        </w:rPr>
        <w:t xml:space="preserve">R</w:t>
      </w:r>
      <w:r>
        <w:rPr>
          <w:rFonts w:ascii="仿宋" w:eastAsia="仿宋" w:hAnsi="仿宋" w:cs="宋体" w:hint="eastAsia"/>
          <w:color w:val="000000"/>
          <w:sz w:val="24"/>
        </w:rPr>
        <w:t xml:space="preserve">向甲方所在地人民法院提起诉讼。 </w:t>
      </w:r>
    </w:p>
    <w:p>
      <w:pPr>
        <w:spacing w:line="520" w:lineRule="exact"/>
        <w:rPr>
          <w:rFonts w:ascii="仿宋" w:eastAsia="仿宋" w:hAnsi="仿宋" w:cs="仿宋" w:hint="eastAsia"/>
          <w:sz w:val="24"/>
        </w:rPr>
      </w:pPr>
      <w:r>
        <w:rPr>
          <w:rFonts w:ascii="仿宋" w:eastAsia="仿宋" w:hAnsi="仿宋" w:cs="仿宋" w:hint="eastAsia"/>
          <w:sz w:val="24"/>
        </w:rPr>
        <w:t xml:space="preserve">17.违约终止合同</w:t>
      </w:r>
    </w:p>
    <w:p>
      <w:pPr>
        <w:pStyle w:val="Default"/>
        <w:spacing w:line="520" w:lineRule="exact"/>
        <w:ind w:firstLine="560"/>
        <w:rPr>
          <w:rFonts w:hAnsi="仿宋" w:hint="eastAsia"/>
          <w:color w:val="000000"/>
        </w:rPr>
      </w:pPr>
      <w:r>
        <w:rPr>
          <w:rFonts w:hAnsi="仿宋" w:hint="eastAsia"/>
          <w:color w:val="000000"/>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pPr>
        <w:pStyle w:val="Default"/>
        <w:spacing w:line="520" w:lineRule="exact"/>
        <w:ind w:firstLine="560"/>
        <w:rPr>
          <w:rFonts w:hAnsi="仿宋" w:hint="eastAsia"/>
          <w:color w:val="000000"/>
        </w:rPr>
      </w:pPr>
      <w:r>
        <w:rPr>
          <w:rFonts w:hAnsi="仿宋" w:hint="eastAsia"/>
          <w:color w:val="000000"/>
        </w:rPr>
        <w:t xml:space="preserve">（1）如果乙方未能在合同规定的期限或甲方同意延期的限期内提供全部或部分货物（含软件及相关服务）； </w:t>
      </w:r>
    </w:p>
    <w:p>
      <w:pPr>
        <w:pStyle w:val="Default"/>
        <w:spacing w:line="520" w:lineRule="exact"/>
        <w:ind w:firstLine="560"/>
        <w:rPr>
          <w:rFonts w:hAnsi="仿宋" w:hint="eastAsia"/>
          <w:color w:val="000000"/>
        </w:rPr>
      </w:pPr>
      <w:r>
        <w:rPr>
          <w:rFonts w:hAnsi="仿宋" w:hint="eastAsia"/>
          <w:color w:val="000000"/>
        </w:rPr>
        <w:t xml:space="preserve">（2）如果乙方未能履行合同规定的其它义务。</w:t>
      </w:r>
    </w:p>
    <w:p>
      <w:pPr>
        <w:pStyle w:val="Default"/>
        <w:spacing w:line="520" w:lineRule="exact"/>
        <w:ind w:firstLine="560"/>
        <w:rPr>
          <w:rFonts w:hAnsi="仿宋" w:hint="eastAsia"/>
          <w:color w:val="000000"/>
        </w:rPr>
      </w:pPr>
      <w:r>
        <w:rPr>
          <w:rFonts w:hAnsi="仿宋" w:hint="eastAsia"/>
          <w:color w:val="000000"/>
        </w:rPr>
        <w:t xml:space="preserve">（3）乙方中标后，需在7日内提供软件设计方案，并经甲方同意后方可实施。如未能在规定时限内提供甲方认可的软件设计方案，超期7日后，甲方有权终止合同。</w:t>
      </w:r>
    </w:p>
    <w:p>
      <w:pPr>
        <w:pStyle w:val="Default"/>
        <w:spacing w:line="520" w:lineRule="exact"/>
        <w:ind w:firstLine="560"/>
        <w:rPr>
          <w:rFonts w:hAnsi="仿宋" w:hint="eastAsia"/>
          <w:color w:val="000000"/>
        </w:rPr>
      </w:pPr>
      <w:r>
        <w:rPr>
          <w:rFonts w:hAnsi="仿宋" w:hint="eastAsia"/>
          <w:color w:val="000000"/>
        </w:rPr>
        <w:t xml:space="preserve">（4） 乙方在软件开发中，需每周向甲方汇报软件开发进度，如在软件开发中，乙方未能按甲方需求进行开发，经沟通后，乙方仍不能调整，甲方有权终止合同。</w:t>
      </w:r>
    </w:p>
    <w:p>
      <w:pPr>
        <w:pStyle w:val="Default"/>
        <w:spacing w:line="520" w:lineRule="exact"/>
        <w:ind w:firstLine="560"/>
        <w:rPr>
          <w:rFonts w:hAnsi="仿宋" w:hint="eastAsia"/>
          <w:color w:val="000000"/>
        </w:rPr>
      </w:pPr>
      <w:r>
        <w:rPr>
          <w:rFonts w:hAnsi="仿宋" w:hint="eastAsia"/>
          <w:color w:val="000000"/>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18.破产中止合同</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    18.1如果乙方破产或无清偿能力，甲方可在任何时候以书面形式通知乙方中止合同而不给乙方补偿。该中止合同将不损害或影响甲方和使用方已经采取或将要采取的任何行动或补救措施的权力。</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19.转让</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    19.1 除甲方和事先书面同意外，乙方不得部分转让或全部转让其应履行的合同义务。</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20.合同生效及其它</w:t>
      </w:r>
    </w:p>
    <w:p>
      <w:pPr>
        <w:spacing w:line="520" w:lineRule="exact"/>
        <w:rPr>
          <w:rFonts w:ascii="仿宋" w:eastAsia="仿宋" w:hAnsi="仿宋" w:cs="仿宋" w:hint="eastAsia"/>
          <w:b/>
          <w:sz w:val="24"/>
        </w:rPr>
      </w:pPr>
      <w:r>
        <w:rPr>
          <w:rFonts w:ascii="仿宋" w:eastAsia="仿宋" w:hAnsi="仿宋" w:cs="仿宋" w:hint="eastAsia"/>
          <w:sz w:val="24"/>
        </w:rPr>
        <w:t xml:space="preserve">     20.1政府采购</w:t>
      </w:r>
      <w:r>
        <w:rPr>
          <w:rFonts w:ascii="仿宋" w:eastAsia="仿宋" w:hAnsi="仿宋" w:cs="仿宋" w:hint="eastAsia"/>
          <w:sz w:val="24"/>
          <w:u w:val="single"/>
        </w:rPr>
        <w:t xml:space="preserve">   （编号）         </w:t>
      </w:r>
      <w:r>
        <w:rPr>
          <w:rFonts w:ascii="仿宋" w:eastAsia="仿宋" w:hAnsi="仿宋" w:cs="仿宋" w:hint="eastAsia"/>
          <w:sz w:val="24"/>
        </w:rPr>
        <w:t xml:space="preserve">招标文件、乙方提交的</w:t>
      </w:r>
      <w:r>
        <w:rPr>
          <w:rFonts w:ascii="仿宋" w:eastAsia="仿宋" w:hAnsi="仿宋" w:cs="仿宋" w:hint="eastAsia"/>
          <w:sz w:val="24"/>
          <w:u w:val="single"/>
        </w:rPr>
        <w:t xml:space="preserve">   （编号）     </w:t>
      </w:r>
      <w:r>
        <w:rPr>
          <w:rFonts w:ascii="仿宋" w:eastAsia="仿宋" w:hAnsi="仿宋" w:cs="仿宋" w:hint="eastAsia"/>
          <w:sz w:val="24"/>
        </w:rPr>
        <w:t xml:space="preserve">响应文件、本次招标的中标通知书和乙方的澄清等内容将作为本次采购合同文件的主要内容。乙方在合同履行过程中若发生服务内容缩减、服务不及时的现象，甲方有权对乙方处以适当的经济处罚。</w:t>
      </w:r>
    </w:p>
    <w:p>
      <w:pPr>
        <w:pStyle w:val="纯文本1"/>
        <w:spacing w:line="520" w:lineRule="exact"/>
        <w:ind w:firstLine="480"/>
        <w:rPr>
          <w:rFonts w:ascii="仿宋" w:eastAsia="仿宋" w:hAnsi="仿宋" w:cs="仿宋" w:hint="eastAsia"/>
          <w:color w:val="FF0000"/>
          <w:sz w:val="24"/>
          <w:szCs w:val="24"/>
        </w:rPr>
      </w:pPr>
      <w:r>
        <w:rPr>
          <w:rFonts w:ascii="仿宋" w:eastAsia="仿宋" w:hAnsi="仿宋" w:cs="仿宋" w:hint="eastAsia"/>
          <w:sz w:val="24"/>
          <w:szCs w:val="24"/>
        </w:rPr>
        <w:t xml:space="preserve">20.2甲、乙双方通过采购人平台和投标人平台签订电子合同（加盖电子签章）</w:t>
      </w:r>
      <w:r>
        <w:rPr>
          <w:rFonts w:ascii="仿宋" w:eastAsia="仿宋" w:hAnsi="仿宋" w:cs="仿宋" w:hint="eastAsia"/>
          <w:color w:val="FF0000"/>
          <w:sz w:val="24"/>
          <w:szCs w:val="24"/>
        </w:rPr>
        <w:t xml:space="preserve"> </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    20.3合同货物交付使用后所发生的合同纠纷，甲方与乙方进行处理。</w:t>
      </w:r>
    </w:p>
    <w:p>
      <w:pPr>
        <w:pStyle w:val="纯文本1"/>
        <w:spacing w:line="520" w:lineRule="exact"/>
        <w:rPr>
          <w:rFonts w:ascii="仿宋" w:eastAsia="仿宋" w:hAnsi="仿宋" w:cs="仿宋" w:hint="eastAsia"/>
          <w:sz w:val="24"/>
          <w:szCs w:val="24"/>
        </w:rPr>
      </w:pPr>
      <w:r>
        <w:rPr>
          <w:rFonts w:ascii="仿宋" w:eastAsia="仿宋" w:hAnsi="仿宋" w:cs="仿宋" w:hint="eastAsia"/>
          <w:sz w:val="24"/>
          <w:szCs w:val="24"/>
        </w:rPr>
        <w:t xml:space="preserve">    20.4如需修改或补充合同内容，应经乙方、甲方协商，签署书面修改或补充协议。该协议将作为本合同不可分割的一部分。</w:t>
      </w:r>
    </w:p>
    <w:p>
      <w:pPr>
        <w:spacing w:line="520" w:lineRule="exact"/>
        <w:ind w:firstLine="480"/>
        <w:rPr>
          <w:rFonts w:ascii="仿宋" w:eastAsia="仿宋" w:hAnsi="仿宋" w:cs="仿宋"/>
          <w:sz w:val="24"/>
        </w:rPr>
      </w:pPr>
      <w:r>
        <w:rPr>
          <w:rFonts w:ascii="仿宋" w:eastAsia="仿宋" w:hAnsi="仿宋" w:cs="仿宋" w:hint="eastAsia"/>
          <w:sz w:val="24"/>
        </w:rPr>
        <w:t xml:space="preserve">20.5本合同应按照中华人民共和国的现行法律进行解释。</w:t>
      </w:r>
    </w:p>
    <w:p>
      <w:pPr>
        <w:tabs>
          <w:tab w:val="left" w:pos="180"/>
        </w:tabs>
        <w:spacing w:line="640" w:lineRule="exact"/>
        <w:jc w:val="center"/>
        <w:rPr>
          <w:rFonts w:ascii="仿宋" w:eastAsia="仿宋" w:hAnsi="仿宋" w:cs="仿宋"/>
          <w:b/>
          <w:sz w:val="32"/>
          <w:szCs w:val="32"/>
        </w:rPr>
      </w:pPr>
      <w:r>
        <w:br w:type="page"/>
      </w:r>
      <w:r>
        <w:rPr>
          <w:rFonts w:ascii="仿宋" w:eastAsia="仿宋" w:hAnsi="仿宋" w:cs="仿宋" w:hint="eastAsia"/>
          <w:b/>
          <w:sz w:val="32"/>
          <w:szCs w:val="32"/>
        </w:rPr>
        <w:t xml:space="preserve">安全管理协议</w:t>
      </w:r>
    </w:p>
    <w:p>
      <w:pPr>
        <w:spacing w:line="440" w:lineRule="exact"/>
        <w:jc w:val="left"/>
        <w:rPr>
          <w:rFonts w:ascii="仿宋" w:eastAsia="仿宋" w:hAnsi="仿宋" w:cs="仿宋" w:hint="eastAsia"/>
          <w:color w:val="000000"/>
          <w:sz w:val="24"/>
        </w:rPr>
      </w:pPr>
      <w:r>
        <w:rPr>
          <w:rFonts w:ascii="仿宋" w:eastAsia="仿宋" w:hAnsi="仿宋" w:cs="仿宋" w:hint="eastAsia"/>
          <w:color w:val="000000"/>
          <w:sz w:val="24"/>
        </w:rPr>
        <w:t xml:space="preserve">甲方: </w:t>
      </w:r>
    </w:p>
    <w:p>
      <w:pPr>
        <w:pStyle w:val="纯文本1"/>
        <w:spacing w:line="440" w:lineRule="exact"/>
        <w:rPr>
          <w:rFonts w:ascii="仿宋" w:eastAsia="仿宋" w:hAnsi="仿宋" w:cs="仿宋" w:hint="eastAsia"/>
          <w:sz w:val="24"/>
          <w:szCs w:val="24"/>
        </w:rPr>
      </w:pPr>
      <w:r>
        <w:rPr>
          <w:rFonts w:ascii="仿宋" w:eastAsia="仿宋" w:hAnsi="仿宋" w:cs="仿宋" w:hint="eastAsia"/>
          <w:color w:val="000000"/>
          <w:sz w:val="24"/>
          <w:szCs w:val="24"/>
        </w:rPr>
        <w:t xml:space="preserve">乙方:</w:t>
      </w:r>
    </w:p>
    <w:p>
      <w:pPr>
        <w:spacing w:line="440" w:lineRule="exact"/>
        <w:rPr>
          <w:rFonts w:ascii="仿宋" w:eastAsia="仿宋" w:hAnsi="仿宋"/>
          <w:sz w:val="24"/>
        </w:rPr>
      </w:pPr>
      <w:r>
        <w:rPr>
          <w:rFonts w:ascii="仿宋" w:eastAsia="仿宋" w:hAnsi="仿宋" w:hint="eastAsia"/>
          <w:sz w:val="24"/>
        </w:rPr>
        <w:t xml:space="preserve">    甲方将本项目发包给乙方施工，为贯彻“安全第一、预防为主”的方针，根据《江苏省工程安全管理暂行规定》和国家有关法规，明确双方的安全生产责任，确保施工安全，双方在签订建筑安装工程合同的同时，签订本协议。</w:t>
      </w:r>
    </w:p>
    <w:p>
      <w:pPr>
        <w:spacing w:line="440" w:lineRule="exact"/>
        <w:ind w:firstLine="420"/>
        <w:rPr>
          <w:rFonts w:ascii="仿宋" w:eastAsia="仿宋" w:hAnsi="仿宋"/>
          <w:sz w:val="24"/>
        </w:rPr>
      </w:pPr>
      <w:r>
        <w:rPr>
          <w:rFonts w:ascii="仿宋" w:eastAsia="仿宋" w:hAnsi="仿宋" w:hint="eastAsia"/>
          <w:sz w:val="24"/>
        </w:rPr>
        <w:t xml:space="preserve">一、承包施工项目</w:t>
      </w:r>
    </w:p>
    <w:p>
      <w:pPr>
        <w:spacing w:line="440" w:lineRule="exact"/>
        <w:ind w:firstLine="420"/>
        <w:rPr>
          <w:rFonts w:ascii="仿宋" w:eastAsia="仿宋" w:hAnsi="仿宋"/>
          <w:sz w:val="24"/>
        </w:rPr>
      </w:pPr>
      <w:r>
        <w:rPr>
          <w:rFonts w:ascii="仿宋" w:eastAsia="仿宋" w:hAnsi="仿宋" w:hint="eastAsia"/>
          <w:sz w:val="24"/>
        </w:rPr>
        <w:t xml:space="preserve">项目名称：</w:t>
      </w:r>
    </w:p>
    <w:p>
      <w:pPr>
        <w:spacing w:line="440" w:lineRule="exact"/>
        <w:ind w:firstLine="420"/>
        <w:rPr>
          <w:rFonts w:ascii="仿宋" w:eastAsia="仿宋" w:hAnsi="仿宋"/>
          <w:sz w:val="24"/>
        </w:rPr>
      </w:pPr>
      <w:r>
        <w:rPr>
          <w:rFonts w:ascii="仿宋" w:eastAsia="仿宋" w:hAnsi="仿宋" w:cs="宋体" w:hint="eastAsia"/>
          <w:sz w:val="24"/>
        </w:rPr>
        <w:t xml:space="preserve">合同履行地点</w:t>
      </w:r>
      <w:r>
        <w:rPr>
          <w:rFonts w:ascii="仿宋" w:eastAsia="仿宋" w:hAnsi="仿宋" w:hint="eastAsia"/>
          <w:sz w:val="24"/>
        </w:rPr>
        <w:t xml:space="preserve">：</w:t>
      </w:r>
      <w:r>
        <w:rPr>
          <w:rFonts w:ascii="仿宋" w:eastAsia="仿宋" w:hAnsi="仿宋" w:cs="宋体" w:hint="eastAsia"/>
          <w:sz w:val="24"/>
        </w:rPr>
        <w:t xml:space="preserve">淮安市公安局淮阴分局指定地点</w:t>
      </w:r>
    </w:p>
    <w:p>
      <w:pPr>
        <w:spacing w:line="440" w:lineRule="exact"/>
        <w:ind w:firstLine="420"/>
        <w:rPr>
          <w:rFonts w:ascii="仿宋" w:eastAsia="仿宋" w:hAnsi="仿宋"/>
          <w:sz w:val="24"/>
        </w:rPr>
      </w:pPr>
      <w:r>
        <w:rPr>
          <w:rFonts w:ascii="仿宋" w:eastAsia="仿宋" w:hAnsi="仿宋" w:hint="eastAsia"/>
          <w:sz w:val="24"/>
        </w:rPr>
        <w:t xml:space="preserve">二、工程项目施工期限</w:t>
      </w:r>
    </w:p>
    <w:p>
      <w:pPr>
        <w:spacing w:line="440" w:lineRule="exact"/>
        <w:ind w:firstLine="105"/>
        <w:rPr>
          <w:rFonts w:ascii="仿宋" w:eastAsia="仿宋" w:hAnsi="仿宋"/>
          <w:sz w:val="24"/>
        </w:rPr>
      </w:pPr>
      <w:r>
        <w:rPr>
          <w:rFonts w:ascii="仿宋" w:eastAsia="仿宋" w:hAnsi="仿宋" w:hint="eastAsia"/>
          <w:sz w:val="24"/>
        </w:rPr>
        <w:t xml:space="preserve">   按照甲乙双方合同协议书</w:t>
      </w:r>
    </w:p>
    <w:p>
      <w:pPr>
        <w:spacing w:line="440" w:lineRule="exact"/>
        <w:ind w:firstLine="420"/>
        <w:rPr>
          <w:rFonts w:ascii="仿宋" w:eastAsia="仿宋" w:hAnsi="仿宋"/>
          <w:sz w:val="24"/>
        </w:rPr>
      </w:pPr>
      <w:r>
        <w:rPr>
          <w:rFonts w:ascii="仿宋" w:eastAsia="仿宋" w:hAnsi="仿宋" w:hint="eastAsia"/>
          <w:sz w:val="24"/>
        </w:rPr>
        <w:t xml:space="preserve">三、协议内容</w:t>
      </w:r>
    </w:p>
    <w:p>
      <w:pPr>
        <w:spacing w:line="440" w:lineRule="exact"/>
        <w:ind w:firstLine="420"/>
        <w:rPr>
          <w:rFonts w:ascii="仿宋" w:eastAsia="仿宋" w:hAnsi="仿宋"/>
          <w:sz w:val="24"/>
        </w:rPr>
      </w:pPr>
      <w:r>
        <w:rPr>
          <w:rFonts w:ascii="仿宋" w:eastAsia="仿宋" w:hAnsi="仿宋" w:hint="eastAsia"/>
          <w:sz w:val="24"/>
        </w:rPr>
        <w:t xml:space="preserve">1、乙方必须认真贯彻国家、江苏省和上级劳动保护、安全生产主管部门颁发的有关安全生产、消防工作的方针、政策、严格执行有关劳动保护法规、条例、规定。</w:t>
      </w:r>
    </w:p>
    <w:p>
      <w:pPr>
        <w:spacing w:line="440" w:lineRule="exact"/>
        <w:ind w:firstLine="420"/>
        <w:rPr>
          <w:rFonts w:ascii="仿宋" w:eastAsia="仿宋" w:hAnsi="仿宋"/>
          <w:sz w:val="24"/>
        </w:rPr>
      </w:pPr>
      <w:r>
        <w:rPr>
          <w:rFonts w:ascii="仿宋" w:eastAsia="仿宋" w:hAnsi="仿宋" w:hint="eastAsia"/>
          <w:sz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p>
    <w:p>
      <w:pPr>
        <w:spacing w:line="440" w:lineRule="exact"/>
        <w:ind w:firstLine="420"/>
        <w:rPr>
          <w:rFonts w:ascii="仿宋" w:eastAsia="仿宋" w:hAnsi="仿宋"/>
          <w:sz w:val="24"/>
        </w:rPr>
      </w:pPr>
      <w:r>
        <w:rPr>
          <w:rFonts w:ascii="仿宋" w:eastAsia="仿宋" w:hAnsi="仿宋" w:hint="eastAsia"/>
          <w:sz w:val="24"/>
        </w:rPr>
        <w:t xml:space="preserve">3、乙方在施工前要认真勘察现场，进场后首先必须做好施工现场围护，防止闲杂人员进入施工现场，发生安全事故。</w:t>
      </w:r>
    </w:p>
    <w:p>
      <w:pPr>
        <w:spacing w:line="440" w:lineRule="exact"/>
        <w:ind w:firstLine="420"/>
        <w:rPr>
          <w:rFonts w:ascii="仿宋" w:eastAsia="仿宋" w:hAnsi="仿宋"/>
          <w:sz w:val="24"/>
        </w:rPr>
      </w:pPr>
      <w:r>
        <w:rPr>
          <w:rFonts w:ascii="仿宋" w:eastAsia="仿宋" w:hAnsi="仿宋" w:hint="eastAsia"/>
          <w:sz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p>
    <w:p>
      <w:pPr>
        <w:spacing w:line="440" w:lineRule="exact"/>
        <w:ind w:firstLine="420"/>
        <w:rPr>
          <w:rFonts w:ascii="仿宋" w:eastAsia="仿宋" w:hAnsi="仿宋"/>
          <w:sz w:val="24"/>
        </w:rPr>
      </w:pPr>
      <w:r>
        <w:rPr>
          <w:rFonts w:ascii="仿宋" w:eastAsia="仿宋" w:hAnsi="仿宋" w:hint="eastAsia"/>
          <w:sz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p>
    <w:p>
      <w:pPr>
        <w:spacing w:line="440" w:lineRule="exact"/>
        <w:ind w:firstLine="420"/>
        <w:rPr>
          <w:rFonts w:ascii="仿宋" w:eastAsia="仿宋" w:hAnsi="仿宋"/>
          <w:sz w:val="24"/>
        </w:rPr>
      </w:pPr>
      <w:r>
        <w:rPr>
          <w:rFonts w:ascii="仿宋" w:eastAsia="仿宋" w:hAnsi="仿宋" w:hint="eastAsia"/>
          <w:sz w:val="24"/>
        </w:rPr>
        <w:t xml:space="preserve">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p>
    <w:p>
      <w:pPr>
        <w:spacing w:line="440" w:lineRule="exact"/>
        <w:ind w:firstLine="420"/>
        <w:rPr>
          <w:rFonts w:ascii="仿宋" w:eastAsia="仿宋" w:hAnsi="仿宋"/>
          <w:sz w:val="24"/>
        </w:rPr>
      </w:pPr>
      <w:r>
        <w:rPr>
          <w:rFonts w:ascii="仿宋" w:eastAsia="仿宋" w:hAnsi="仿宋" w:hint="eastAsia"/>
          <w:sz w:val="24"/>
        </w:rPr>
        <w:t xml:space="preserve">7、施工期间，乙方指派</w:t>
      </w:r>
      <w:r>
        <w:rPr>
          <w:rFonts w:ascii="仿宋" w:eastAsia="仿宋" w:hAnsi="仿宋" w:hint="eastAsia"/>
          <w:sz w:val="24"/>
          <w:u w:val="single"/>
        </w:rPr>
        <w:t xml:space="preserve">       </w:t>
      </w:r>
      <w:r>
        <w:rPr>
          <w:rFonts w:ascii="仿宋" w:eastAsia="仿宋" w:hAnsi="仿宋" w:hint="eastAsia"/>
          <w:sz w:val="24"/>
        </w:rPr>
        <w:t xml:space="preserve">同志负责本工程项目的有关安全、防火工作；甲方指派</w:t>
      </w:r>
      <w:r>
        <w:rPr>
          <w:rFonts w:ascii="仿宋" w:eastAsia="仿宋" w:hAnsi="仿宋" w:hint="eastAsia"/>
          <w:sz w:val="24"/>
          <w:u w:val="single"/>
        </w:rPr>
        <w:t xml:space="preserve">      </w:t>
      </w:r>
      <w:r>
        <w:rPr>
          <w:rFonts w:ascii="仿宋" w:eastAsia="仿宋" w:hAnsi="仿宋" w:hint="eastAsia"/>
          <w:sz w:val="24"/>
        </w:rPr>
        <w:t xml:space="preserve">同志负责联系、检查督促乙方执行有关安全、防火规定。甲乙双方应经常联系，相互协助检查和处理工程施工有关的安全、防火工作，共同预防事故发生。</w:t>
      </w:r>
    </w:p>
    <w:p>
      <w:pPr>
        <w:spacing w:line="440" w:lineRule="exact"/>
        <w:ind w:firstLine="420"/>
        <w:rPr>
          <w:rFonts w:ascii="仿宋" w:eastAsia="仿宋" w:hAnsi="仿宋"/>
          <w:sz w:val="24"/>
        </w:rPr>
      </w:pPr>
      <w:r>
        <w:rPr>
          <w:rFonts w:ascii="仿宋" w:eastAsia="仿宋" w:hAnsi="仿宋" w:hint="eastAsia"/>
          <w:sz w:val="24"/>
        </w:rPr>
        <w:t xml:space="preserve">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p>
    <w:p>
      <w:pPr>
        <w:spacing w:line="440" w:lineRule="exact"/>
        <w:ind w:firstLine="420"/>
        <w:rPr>
          <w:rFonts w:ascii="仿宋" w:eastAsia="仿宋" w:hAnsi="仿宋"/>
          <w:sz w:val="24"/>
        </w:rPr>
      </w:pPr>
      <w:r>
        <w:rPr>
          <w:rFonts w:ascii="仿宋" w:eastAsia="仿宋" w:hAnsi="仿宋" w:hint="eastAsia"/>
          <w:sz w:val="24"/>
        </w:rPr>
        <w:t xml:space="preserve">9、在生产操作过程中的个人防护用品，由各方自理，甲乙双方都应督促施工现场人员自觉穿戴好防护用品。</w:t>
      </w:r>
    </w:p>
    <w:p>
      <w:pPr>
        <w:spacing w:line="440" w:lineRule="exact"/>
        <w:ind w:firstLine="420"/>
        <w:rPr>
          <w:rFonts w:ascii="仿宋" w:eastAsia="仿宋" w:hAnsi="仿宋"/>
          <w:sz w:val="24"/>
        </w:rPr>
      </w:pPr>
      <w:r>
        <w:rPr>
          <w:rFonts w:ascii="仿宋" w:eastAsia="仿宋" w:hAnsi="仿宋" w:hint="eastAsia"/>
          <w:sz w:val="24"/>
        </w:rPr>
        <w:t xml:space="preserve">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p>
    <w:p>
      <w:pPr>
        <w:spacing w:line="440" w:lineRule="exact"/>
        <w:ind w:firstLine="420"/>
        <w:rPr>
          <w:rFonts w:ascii="仿宋" w:eastAsia="仿宋" w:hAnsi="仿宋"/>
          <w:sz w:val="24"/>
        </w:rPr>
      </w:pPr>
      <w:r>
        <w:rPr>
          <w:rFonts w:ascii="仿宋" w:eastAsia="仿宋" w:hAnsi="仿宋" w:hint="eastAsia"/>
          <w:sz w:val="24"/>
        </w:rPr>
        <w:t xml:space="preserve">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p>
    <w:p>
      <w:pPr>
        <w:spacing w:line="440" w:lineRule="exact"/>
        <w:ind w:firstLine="420"/>
        <w:rPr>
          <w:rFonts w:ascii="仿宋" w:eastAsia="仿宋" w:hAnsi="仿宋"/>
          <w:sz w:val="24"/>
        </w:rPr>
      </w:pPr>
      <w:r>
        <w:rPr>
          <w:rFonts w:ascii="仿宋" w:eastAsia="仿宋" w:hAnsi="仿宋" w:hint="eastAsia"/>
          <w:sz w:val="24"/>
        </w:rPr>
        <w:t xml:space="preserve">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p>
    <w:p>
      <w:pPr>
        <w:spacing w:line="440" w:lineRule="exact"/>
        <w:ind w:firstLine="420"/>
        <w:rPr>
          <w:rFonts w:ascii="仿宋" w:eastAsia="仿宋" w:hAnsi="仿宋"/>
          <w:sz w:val="24"/>
        </w:rPr>
      </w:pPr>
      <w:r>
        <w:rPr>
          <w:rFonts w:ascii="仿宋" w:eastAsia="仿宋" w:hAnsi="仿宋" w:hint="eastAsia"/>
          <w:sz w:val="24"/>
        </w:rPr>
        <w:t xml:space="preserve">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p>
    <w:p>
      <w:pPr>
        <w:spacing w:line="440" w:lineRule="exact"/>
        <w:ind w:firstLine="420"/>
        <w:rPr>
          <w:rFonts w:ascii="仿宋" w:eastAsia="仿宋" w:hAnsi="仿宋"/>
          <w:sz w:val="24"/>
        </w:rPr>
      </w:pPr>
      <w:r>
        <w:rPr>
          <w:rFonts w:ascii="仿宋" w:eastAsia="仿宋" w:hAnsi="仿宋" w:hint="eastAsia"/>
          <w:sz w:val="24"/>
        </w:rPr>
        <w:t xml:space="preserve">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p>
    <w:p>
      <w:pPr>
        <w:spacing w:line="440" w:lineRule="exact"/>
        <w:ind w:firstLine="420"/>
        <w:rPr>
          <w:rFonts w:ascii="仿宋" w:eastAsia="仿宋" w:hAnsi="仿宋"/>
          <w:sz w:val="24"/>
        </w:rPr>
      </w:pPr>
      <w:r>
        <w:rPr>
          <w:rFonts w:ascii="仿宋" w:eastAsia="仿宋" w:hAnsi="仿宋" w:hint="eastAsia"/>
          <w:sz w:val="24"/>
        </w:rPr>
        <w:t xml:space="preserve">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p>
    <w:p>
      <w:pPr>
        <w:spacing w:line="440" w:lineRule="exact"/>
        <w:ind w:firstLine="420"/>
        <w:rPr>
          <w:rFonts w:ascii="仿宋" w:eastAsia="仿宋" w:hAnsi="仿宋"/>
          <w:sz w:val="24"/>
        </w:rPr>
      </w:pPr>
      <w:r>
        <w:rPr>
          <w:rFonts w:ascii="仿宋" w:eastAsia="仿宋" w:hAnsi="仿宋" w:hint="eastAsia"/>
          <w:sz w:val="24"/>
        </w:rPr>
        <w:t xml:space="preserve">16、乙方在施工中，应注意地下管线及高压架空线路的保护。甲方对地下管线和障碍物应详细交底，乙方应贯彻交底要求，如遇有情况，应及时向监理、甲方和有关部门联系，采取保护措施。</w:t>
      </w:r>
    </w:p>
    <w:p>
      <w:pPr>
        <w:spacing w:line="440" w:lineRule="exact"/>
        <w:ind w:firstLine="420"/>
        <w:rPr>
          <w:rFonts w:ascii="仿宋" w:eastAsia="仿宋" w:hAnsi="仿宋"/>
          <w:sz w:val="24"/>
        </w:rPr>
      </w:pPr>
      <w:r>
        <w:rPr>
          <w:rFonts w:ascii="仿宋" w:eastAsia="仿宋" w:hAnsi="仿宋" w:hint="eastAsia"/>
          <w:sz w:val="24"/>
        </w:rPr>
        <w:t xml:space="preserve">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p>
    <w:p>
      <w:pPr>
        <w:spacing w:line="440" w:lineRule="exact"/>
        <w:ind w:firstLine="420"/>
        <w:rPr>
          <w:rFonts w:ascii="仿宋" w:eastAsia="仿宋" w:hAnsi="仿宋"/>
          <w:sz w:val="24"/>
        </w:rPr>
      </w:pPr>
      <w:r>
        <w:rPr>
          <w:rFonts w:ascii="仿宋" w:eastAsia="仿宋" w:hAnsi="仿宋" w:hint="eastAsia"/>
          <w:sz w:val="24"/>
        </w:rPr>
        <w:t xml:space="preserve">⑴、乙方负责购买外来施工人员（含临时工）的人身意外伤害，现场财产和设备保险、综合保险（综合保险费按相关文件规定缴纳），费用已包含在总价中。</w:t>
      </w:r>
    </w:p>
    <w:p>
      <w:pPr>
        <w:spacing w:line="440" w:lineRule="exact"/>
        <w:ind w:firstLine="420"/>
        <w:rPr>
          <w:rFonts w:ascii="仿宋" w:eastAsia="仿宋" w:hAnsi="仿宋"/>
          <w:sz w:val="24"/>
        </w:rPr>
      </w:pPr>
      <w:r>
        <w:rPr>
          <w:rFonts w:ascii="仿宋" w:eastAsia="仿宋" w:hAnsi="仿宋" w:hint="eastAsia"/>
          <w:sz w:val="24"/>
        </w:rPr>
        <w:t xml:space="preserve">⑵、乙方应对现场作业、施工方法及施工工程的完备性、稳定性和安全性承担全部责任，乙方在施工期间，发生一切安全事故有乙方负责，与甲方无关。</w:t>
      </w:r>
    </w:p>
    <w:p>
      <w:pPr>
        <w:spacing w:line="440" w:lineRule="exact"/>
        <w:ind w:firstLine="420"/>
        <w:rPr>
          <w:rFonts w:ascii="仿宋" w:eastAsia="仿宋" w:hAnsi="仿宋"/>
          <w:sz w:val="24"/>
        </w:rPr>
      </w:pPr>
      <w:r>
        <w:rPr>
          <w:rFonts w:ascii="仿宋" w:eastAsia="仿宋" w:hAnsi="仿宋" w:hint="eastAsia"/>
          <w:sz w:val="24"/>
        </w:rPr>
        <w:t xml:space="preserve">18．本协议经立协双方签字、盖章有效。作为合同正本的附件一式四份，甲、乙双方各执二份。</w:t>
      </w:r>
    </w:p>
    <w:p>
      <w:pPr>
        <w:spacing w:line="440" w:lineRule="exact"/>
        <w:ind w:firstLine="420"/>
        <w:rPr>
          <w:rFonts w:ascii="仿宋" w:eastAsia="仿宋" w:hAnsi="仿宋"/>
          <w:sz w:val="24"/>
        </w:rPr>
      </w:pPr>
      <w:r>
        <w:rPr>
          <w:rFonts w:ascii="仿宋" w:eastAsia="仿宋" w:hAnsi="仿宋" w:hint="eastAsia"/>
          <w:sz w:val="24"/>
        </w:rPr>
        <w:t xml:space="preserve">19．本协议同工程合同正本同日生效，甲、乙双方必须严格执行，由于违反本协议而造成伤亡事故，由违约方承担一切责任。</w:t>
      </w:r>
    </w:p>
    <w:p>
      <w:pPr>
        <w:spacing w:line="360" w:lineRule="auto"/>
        <w:ind w:firstLine="403"/>
        <w:rPr>
          <w:rFonts w:ascii="仿宋" w:eastAsia="仿宋" w:hAnsi="仿宋"/>
          <w:sz w:val="24"/>
        </w:rPr>
      </w:pPr>
    </w:p>
    <w:p>
      <w:pPr>
        <w:spacing w:line="360" w:lineRule="auto"/>
        <w:ind w:firstLine="403"/>
        <w:rPr>
          <w:rFonts w:ascii="仿宋" w:eastAsia="仿宋" w:hAnsi="仿宋"/>
          <w:sz w:val="24"/>
        </w:rPr>
      </w:pPr>
      <w:r>
        <w:rPr>
          <w:rFonts w:ascii="仿宋" w:eastAsia="仿宋" w:hAnsi="仿宋" w:hint="eastAsia"/>
          <w:sz w:val="24"/>
        </w:rPr>
        <w:t xml:space="preserve">甲方（盖章）：                    乙方（盖章）：</w:t>
      </w:r>
    </w:p>
    <w:sectPr>
      <w:pgSz w:w="11906" w:h="16839" w:orient="portrait"/>
      <w:pgMar w:top="1267" w:right="1416" w:bottom="1156" w:left="1785"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华文彩云">
    <w:panose1 w:val="02010800040101010101"/>
    <w:charset w:val="86"/>
    <w:family w:val="auto"/>
    <w:pitch w:val="default"/>
    <w:sig w:usb0="00000001" w:usb1="080F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Constantia">
    <w:panose1 w:val="02030602050306030303"/>
    <w:charset w:val="00"/>
    <w:family w:val="auto"/>
    <w:pitch w:val="default"/>
    <w:sig w:usb0="A00002EF" w:usb1="4000204B" w:usb2="00000000"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Book Antiqua">
    <w:panose1 w:val="02040602050305030304"/>
    <w:charset w:val="00"/>
    <w:family w:val="auto"/>
    <w:pitch w:val="default"/>
    <w:sig w:usb0="00000287" w:usb1="00000000" w:usb2="00000000" w:usb3="00000000" w:csb0="2000009F" w:csb1="DFD70000"/>
  </w:font>
  <w:font w:name="华文行楷">
    <w:panose1 w:val="02010800040101010101"/>
    <w:charset w:val="86"/>
    <w:family w:val="auto"/>
    <w:pitch w:val="default"/>
    <w:sig w:usb0="00000001" w:usb1="080F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spacing w:line="196" w:lineRule="auto"/>
      <w:ind w:left="4277"/>
      <w:rPr>
        <w:rFonts w:eastAsia="Times New Roman"/>
        <w:sz w:val="17"/>
        <w:szCs w:val="17"/>
      </w:rPr>
    </w:pP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widowControl/>
      <w:spacing w:line="179" w:lineRule="auto"/>
      <w:ind w:firstLine="420"/>
      <w:jc w:val="left"/>
      <w:rPr>
        <w:rFonts w:ascii="华文行楷" w:eastAsia="华文行楷" w:hAnsi="华文行楷" w:cs="华文行楷"/>
        <w:sz w:val="28"/>
        <w:szCs w:val="28"/>
      </w:rPr>
    </w:pPr>
    <w:r>
      <w:rPr/>
      <mc:AlternateContent xmlns:mc="http://schemas.openxmlformats.org/markup-compatibility/2006">
        <mc:Choice Requires="wps">
          <w:drawing>
            <wp:anchor distT="0" distB="0" distL="114300" distR="114300" simplePos="0" relativeHeight="251659264" behindDoc="0" locked="0" layoutInCell="0" allowOverlap="1">
              <wp:simplePos x="0" y="0"/>
              <wp:positionH relativeFrom="page">
                <wp:posOffset>1141095</wp:posOffset>
              </wp:positionH>
              <wp:positionV relativeFrom="page">
                <wp:posOffset>795655</wp:posOffset>
              </wp:positionV>
              <wp:extent cx="5519420" cy="9525"/>
              <wp:effectExtent l="0" t="0" r="0" b="0"/>
              <wp:wrapNone/>
              <wp:docPr id="1" name="任意多边形 1"/>
              <wp:cNvGraphicFramePr/>
              <a:graphic xmlns:a="http://schemas.openxmlformats.org/drawingml/2006/main">
                <a:graphicData uri="http://schemas.microsoft.com/office/word/2010/wordprocessingShape">
                  <wps:wsp xmlns:wps="http://schemas.microsoft.com/office/word/2010/wordprocessingShape">
                    <wps:cNvSpPr/>
                    <wps:spPr bwMode="auto">
                      <a:xfrm>
                        <a:off x="0" y="0"/>
                        <a:ext cx="5519420" cy="9525"/>
                      </a:xfrm>
                      <a:custGeom>
                        <a:avLst/>
                        <a:gdLst>
                          <a:gd name="gd0" fmla="val 65536"/>
                          <a:gd name="gd1" fmla="val 0"/>
                          <a:gd name="gd2" fmla="val 0"/>
                          <a:gd name="gd3" fmla="val 8691"/>
                          <a:gd name="gd4" fmla="val 0"/>
                          <a:gd name="gd5" fmla="val 8691"/>
                          <a:gd name="gd6" fmla="val 14"/>
                          <a:gd name="gd7" fmla="val 0"/>
                          <a:gd name="gd8" fmla="val 14"/>
                          <a:gd name="gd9" fmla="val 0"/>
                          <a:gd name="gd10" fmla="val 0"/>
                          <a:gd name="gd11" fmla="*/ w 0 8692"/>
                          <a:gd name="gd12" fmla="*/ h 0 15"/>
                          <a:gd name="gd13" fmla="*/ w 21600 8692"/>
                          <a:gd name="gd14" fmla="*/ h 21600 15"/>
                        </a:gdLst>
                        <a:rect l="gd11" t="gd12" r="gd13" b="gd14"/>
                        <a:pathLst>
                          <a:path fill="norm" h="15" w="8692" stroke="1">
                            <a:moveTo>
                              <a:pt x="gd1" y="gd2"/>
                            </a:moveTo>
                            <a:lnTo>
                              <a:pt x="gd3" y="gd4"/>
                            </a:lnTo>
                            <a:lnTo>
                              <a:pt x="gd5" y="gd6"/>
                            </a:lnTo>
                            <a:lnTo>
                              <a:pt x="gd7" y="gd8"/>
                            </a:lnTo>
                            <a:lnTo>
                              <a:pt x="gd9" y="gd10"/>
                            </a:lnTo>
                            <a:close/>
                          </a:path>
                          <a:path fill="norm" h="15" w="8692" stroke="1"/>
                        </a:pathLst>
                      </a:custGeom>
                      <a:solidFill>
                        <a:srgbClr val="000000"/>
                      </a:solidFill>
                      <a:ln>
                        <a:noFill/>
                      </a:ln>
                    </wps:spPr>
                    <wps:bodyPr rot="0"/>
                  </wps:wsp>
                </a:graphicData>
              </a:graphic>
            </wp:anchor>
          </w:drawing>
        </mc:Choice>
        <mc:Fallback>
          <w:pict>
            <v:shape id="任意多边形 1" o:spid="_x0000_s2049" style="width:434.6pt;height:0.75pt;margin-top:62.65pt;margin-left:89.85pt;mso-position-horizontal-relative:page;mso-position-vertical-relative:page;mso-wrap-distance-bottom:0;mso-wrap-distance-left:9pt;mso-wrap-distance-right:9pt;mso-wrap-distance-top:0;mso-wrap-style:square;position:absolute;v-text-anchor:top;z-index:251658240" coordsize="21600,21600" o:allowincell="f" path="m,l21598,l21598,l21598,20160l21598,20160l,20160l,20160l,xee" fillcolor="black" stroked="f"/>
          </w:pict>
        </mc:Fallback>
      </mc:AlternateContent>
    </w:r>
    <w:r>
      <w:rPr>
        <w:rFonts w:ascii="Arial" w:eastAsia="Arial" w:hAnsi="Arial" w:cs="Arial"/>
        <w:color w:val="000000"/>
        <w:szCs w:val="21"/>
      </w:rPr>
      <w:drawing>
        <wp:anchor distT="0" distB="0" distL="114300" distR="114300" simplePos="0" relativeHeight="251660288" behindDoc="0" locked="0" layoutInCell="0" allowOverlap="1">
          <wp:simplePos x="0" y="0"/>
          <wp:positionH relativeFrom="page">
            <wp:posOffset>1143000</wp:posOffset>
          </wp:positionH>
          <wp:positionV relativeFrom="page">
            <wp:posOffset>795020</wp:posOffset>
          </wp:positionV>
          <wp:extent cx="5274310" cy="889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121018473" name="图片 2"/>
                  <pic:cNvPicPr/>
                </pic:nvPicPr>
                <pic:blipFill>
                  <a:blip xmlns:r="http://schemas.openxmlformats.org/officeDocument/2006/relationships" r:embed="rId1"/>
                  <a:stretch>
                    <a:fillRect/>
                  </a:stretch>
                </pic:blipFill>
                <pic:spPr>
                  <a:xfrm>
                    <a:off x="0" y="0"/>
                    <a:ext cx="5274310" cy="8890"/>
                  </a:xfrm>
                  <a:prstGeom prst="rect">
                    <a:avLst/>
                  </a:prstGeom>
                  <a:noFill/>
                  <a:ln>
                    <a:noFill/>
                  </a:ln>
                </pic:spPr>
              </pic:pic>
            </a:graphicData>
          </a:graphic>
        </wp:anchor>
      </w:drawing>
    </w:r>
    <w:r>
      <w:rPr>
        <w:rFonts w:ascii="微软雅黑" w:eastAsia="微软雅黑" w:hAnsi="微软雅黑" w:cs="微软雅黑"/>
        <w:color w:val="000000"/>
        <w:spacing w:val="-6"/>
        <w:sz w:val="28"/>
        <w:szCs w:val="28"/>
      </w:rPr>
      <w:t xml:space="preserve">淮安市淮阴区政府采购“</w:t>
    </w:r>
    <w:r>
      <w:rPr>
        <w:rFonts w:ascii="微软雅黑" w:eastAsia="微软雅黑" w:hAnsi="微软雅黑" w:cs="微软雅黑"/>
        <w:color w:val="000000"/>
        <w:spacing w:val="-45"/>
        <w:sz w:val="28"/>
        <w:szCs w:val="28"/>
      </w:rPr>
      <w:t xml:space="preserve"> </w:t>
    </w:r>
    <w:r>
      <w:rPr>
        <w:rFonts w:ascii="微软雅黑" w:eastAsia="微软雅黑" w:hAnsi="微软雅黑" w:cs="微软雅黑" w:hint="eastAsia"/>
        <w:color w:val="000000"/>
        <w:spacing w:val="-6"/>
        <w:sz w:val="28"/>
        <w:szCs w:val="28"/>
      </w:rPr>
      <w:t xml:space="preserve">苏采云</w:t>
    </w:r>
    <w:r>
      <w:rPr>
        <w:rFonts w:ascii="微软雅黑" w:eastAsia="微软雅黑" w:hAnsi="微软雅黑" w:cs="微软雅黑"/>
        <w:color w:val="000000"/>
        <w:spacing w:val="-6"/>
        <w:sz w:val="28"/>
        <w:szCs w:val="28"/>
      </w:rPr>
      <w:t xml:space="preserve">全流程不见面交易</w:t>
    </w:r>
    <w:r>
      <w:rPr>
        <w:rFonts w:ascii="微软雅黑" w:eastAsia="微软雅黑" w:hAnsi="微软雅黑" w:cs="微软雅黑"/>
        <w:color w:val="000000"/>
        <w:spacing w:val="-54"/>
        <w:sz w:val="28"/>
        <w:szCs w:val="28"/>
      </w:rPr>
      <w:t xml:space="preserve"> </w:t>
    </w:r>
    <w:r>
      <w:rPr>
        <w:rFonts w:ascii="微软雅黑" w:eastAsia="微软雅黑" w:hAnsi="微软雅黑" w:cs="微软雅黑"/>
        <w:color w:val="000000"/>
        <w:spacing w:val="-6"/>
        <w:sz w:val="28"/>
        <w:szCs w:val="28"/>
      </w:rPr>
      <w:t xml:space="preserve">”公开招标文件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chineseCounting"/>
      <w:suff w:val="nothing"/>
      <w:lvlText w:val="%1、"/>
      <w:lvlJc w:val="left"/>
      <w:rPr>
        <w:rFonts w:hint="eastAsia"/>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5">
    <w:multiLevelType w:val="multilevel"/>
    <w:lvl w:ilvl="0">
      <w:start w:val="1"/>
      <w:numFmt w:val="decimal"/>
      <w:suff w:val="tab"/>
      <w:lvlText w:val="%1."/>
      <w:lvlJc w:val="left"/>
      <w:pPr>
        <w:tabs>
          <w:tab w:val="left" w:pos="2126"/>
        </w:tabs>
        <w:ind w:left="2126" w:hanging="425"/>
      </w:pPr>
      <w:rPr>
        <w:rFonts w:ascii="Times New Roman" w:hAnsi="Times New Roman" w:cs="Book Antiqua"/>
        <w:b w:val="0"/>
        <w:bCs/>
        <w:i w:val="0"/>
        <w:iCs w:val="0"/>
        <w:sz w:val="21"/>
        <w:szCs w:val="21"/>
        <w:u w:val="none"/>
      </w:rPr>
    </w:lvl>
    <w:lvl w:ilvl="1">
      <w:start w:val="1"/>
      <w:numFmt w:val="lowerLetter"/>
      <w:suff w:val="tab"/>
      <w:lvlText w:val="%2."/>
      <w:lvlJc w:val="left"/>
      <w:pPr>
        <w:tabs>
          <w:tab w:val="left" w:pos="2551"/>
        </w:tabs>
        <w:ind w:left="2551" w:hanging="425"/>
      </w:pPr>
      <w:rPr>
        <w:rFonts w:ascii="Times New Roman" w:hAnsi="Times New Roman" w:cs="Book Antiqua"/>
        <w:b w:val="0"/>
        <w:bCs/>
        <w:i w:val="0"/>
        <w:iCs w:val="0"/>
        <w:sz w:val="21"/>
        <w:szCs w:val="21"/>
        <w:u w:val="none"/>
      </w:rPr>
    </w:lvl>
    <w:lvl w:ilvl="2">
      <w:start w:val="1"/>
      <w:numFmt w:val="lowerRoman"/>
      <w:suff w:val="tab"/>
      <w:lvlText w:val="%3."/>
      <w:lvlJc w:val="left"/>
      <w:pPr>
        <w:tabs>
          <w:tab w:val="left" w:pos="2976"/>
        </w:tabs>
        <w:ind w:left="2976" w:hanging="425"/>
      </w:pPr>
      <w:rPr>
        <w:rFonts w:ascii="Times New Roman" w:hAnsi="Times New Roman" w:cs="Book Antiqua"/>
        <w:b w:val="0"/>
        <w:bCs/>
        <w:i w:val="0"/>
        <w:iCs w:val="0"/>
        <w:sz w:val="21"/>
        <w:szCs w:val="21"/>
        <w:u w:val="none"/>
      </w:rPr>
    </w:lvl>
    <w:lvl w:ilvl="3">
      <w:start w:val="1"/>
      <w:numFmt w:val="decimal"/>
      <w:suff w:val="tab"/>
      <w:lvlText w:val="%4)"/>
      <w:lvlJc w:val="left"/>
      <w:pPr>
        <w:tabs>
          <w:tab w:val="left" w:pos="3401"/>
        </w:tabs>
        <w:ind w:left="3401" w:hanging="425"/>
      </w:pPr>
      <w:rPr>
        <w:rFonts w:ascii="Times New Roman" w:hAnsi="Times New Roman" w:cs="Book Antiqua"/>
        <w:b w:val="0"/>
        <w:bCs/>
        <w:i w:val="0"/>
        <w:iCs w:val="0"/>
        <w:sz w:val="21"/>
        <w:szCs w:val="21"/>
        <w:u w:val="none"/>
      </w:rPr>
    </w:lvl>
    <w:lvl w:ilvl="4">
      <w:start w:val="1"/>
      <w:numFmt w:val="bullet"/>
      <w:suff w:val="tab"/>
      <w:lvlText w:val=""/>
      <w:lvlJc w:val="left"/>
      <w:pPr>
        <w:tabs>
          <w:tab w:val="left" w:pos="1260"/>
        </w:tabs>
        <w:ind w:left="1260" w:hanging="420"/>
      </w:pPr>
      <w:rPr>
        <w:rFonts w:ascii="Wingdings" w:hAnsi="Wingdings"/>
      </w:rPr>
    </w:lvl>
    <w:lvl w:ilvl="5">
      <w:start w:val="1"/>
      <w:numFmt w:val="bullet"/>
      <w:suff w:val="tab"/>
      <w:lvlText w:val=""/>
      <w:lvlJc w:val="left"/>
      <w:pPr>
        <w:tabs>
          <w:tab w:val="left" w:pos="1680"/>
        </w:tabs>
        <w:ind w:left="1680" w:hanging="420"/>
      </w:pPr>
      <w:rPr>
        <w:rFonts w:ascii="Wingdings" w:hAnsi="Wingdings"/>
      </w:rPr>
    </w:lvl>
    <w:lvl w:ilvl="6">
      <w:start w:val="1"/>
      <w:numFmt w:val="bullet"/>
      <w:suff w:val="tab"/>
      <w:lvlText w:val=""/>
      <w:lvlJc w:val="left"/>
      <w:pPr>
        <w:tabs>
          <w:tab w:val="left" w:pos="2100"/>
        </w:tabs>
        <w:ind w:left="2100" w:hanging="420"/>
      </w:pPr>
      <w:rPr>
        <w:rFonts w:ascii="Wingdings" w:hAnsi="Wingdings"/>
      </w:rPr>
    </w:lvl>
    <w:lvl w:ilvl="7">
      <w:start w:val="1"/>
      <w:numFmt w:val="bullet"/>
      <w:suff w:val="tab"/>
      <w:lvlText w:val=""/>
      <w:lvlJc w:val="left"/>
      <w:pPr>
        <w:tabs>
          <w:tab w:val="left" w:pos="2520"/>
        </w:tabs>
        <w:ind w:left="2520" w:hanging="420"/>
      </w:pPr>
      <w:rPr>
        <w:rFonts w:ascii="Wingdings" w:hAnsi="Wingdings"/>
      </w:rPr>
    </w:lvl>
    <w:lvl w:ilvl="8">
      <w:start w:val="1"/>
      <w:numFmt w:val="decimal"/>
      <w:suff w:val="tab"/>
      <w:lvlText w:val="%9."/>
      <w:lvlJc w:val="left"/>
      <w:pPr>
        <w:tabs>
          <w:tab w:val="left" w:pos="284"/>
        </w:tabs>
        <w:ind w:left="284" w:hanging="284"/>
      </w:pPr>
      <w:rPr>
        <w:rFonts w:hint="eastAsia"/>
      </w:rPr>
    </w:lvl>
  </w:abstractNum>
  <w:abstractNum w:abstractNumId="6">
    <w:multiLevelType w:val="multilevel"/>
    <w:lvl w:ilvl="0">
      <w:start w:val="1"/>
      <w:numFmt w:val="chineseCountingThousand"/>
      <w:suff w:val="nothing"/>
      <w:lvlText w:val="第%1章"/>
      <w:lvlJc w:val="left"/>
      <w:pPr>
        <w:ind w:left="640" w:firstLine="0"/>
      </w:pPr>
      <w:rPr>
        <w:rFonts w:hint="eastAsia"/>
      </w:rPr>
    </w:lvl>
    <w:lvl w:ilvl="1">
      <w:start w:val="1"/>
      <w:numFmt w:val="decimal"/>
      <w:suff w:val="nothing"/>
      <w:lvlJc w:val="left"/>
      <w:pPr>
        <w:ind w:left="640" w:firstLine="0"/>
      </w:pPr>
      <w:rPr>
        <w:rFonts w:hint="eastAsia"/>
      </w:rPr>
    </w:lvl>
    <w:lvl w:ilvl="2">
      <w:start w:val="1"/>
      <w:numFmt w:val="decimal"/>
      <w:suff w:val="nothing"/>
      <w:lvlJc w:val="left"/>
      <w:pPr>
        <w:ind w:left="640" w:firstLine="0"/>
      </w:pPr>
      <w:rPr>
        <w:rFonts w:hint="eastAsia"/>
      </w:rPr>
    </w:lvl>
    <w:lvl w:ilvl="3">
      <w:start w:val="1"/>
      <w:numFmt w:val="decimal"/>
      <w:suff w:val="nothing"/>
      <w:lvlJc w:val="left"/>
      <w:pPr>
        <w:ind w:left="640" w:firstLine="0"/>
      </w:pPr>
      <w:rPr>
        <w:rFonts w:hint="eastAsia"/>
      </w:rPr>
    </w:lvl>
    <w:lvl w:ilvl="4">
      <w:start w:val="1"/>
      <w:numFmt w:val="decimal"/>
      <w:suff w:val="nothing"/>
      <w:lvlJc w:val="left"/>
      <w:pPr>
        <w:ind w:left="640" w:firstLine="0"/>
      </w:pPr>
      <w:rPr>
        <w:rFonts w:hint="eastAsia"/>
      </w:rPr>
    </w:lvl>
    <w:lvl w:ilvl="5">
      <w:start w:val="1"/>
      <w:numFmt w:val="decimal"/>
      <w:suff w:val="nothing"/>
      <w:lvlJc w:val="left"/>
      <w:pPr>
        <w:ind w:left="640" w:firstLine="0"/>
      </w:pPr>
      <w:rPr>
        <w:rFonts w:hint="eastAsia"/>
      </w:rPr>
    </w:lvl>
    <w:lvl w:ilvl="6">
      <w:start w:val="1"/>
      <w:numFmt w:val="decimal"/>
      <w:suff w:val="nothing"/>
      <w:lvlJc w:val="left"/>
      <w:pPr>
        <w:ind w:left="640" w:firstLine="0"/>
      </w:pPr>
      <w:rPr>
        <w:rFonts w:hint="eastAsia"/>
      </w:rPr>
    </w:lvl>
    <w:lvl w:ilvl="7">
      <w:start w:val="1"/>
      <w:numFmt w:val="decimal"/>
      <w:suff w:val="nothing"/>
      <w:lvlJc w:val="left"/>
      <w:pPr>
        <w:ind w:left="640" w:firstLine="0"/>
      </w:pPr>
      <w:rPr>
        <w:rFonts w:hint="eastAsia"/>
      </w:rPr>
    </w:lvl>
    <w:lvl w:ilvl="8">
      <w:start w:val="1"/>
      <w:numFmt w:val="decimal"/>
      <w:suff w:val="nothing"/>
      <w:lvlJc w:val="left"/>
      <w:pPr>
        <w:ind w:left="640" w:firstLine="0"/>
      </w:pPr>
      <w:rPr>
        <w:rFonts w:hint="eastAsia"/>
      </w:rPr>
    </w:lvl>
  </w:abstractNum>
  <w:abstractNum w:abstractNumId="7">
    <w:multiLevelType w:val="multilevel"/>
    <w:lvl w:ilvl="0">
      <w:start w:val="2"/>
      <w:numFmt w:val="chineseCountingThousand"/>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decimal"/>
      <w:suff w:val="nothing"/>
      <w:lvlJc w:val="left"/>
      <w:pPr>
        <w:ind w:left="-212" w:firstLine="0"/>
      </w:pPr>
      <w:rPr>
        <w:rFonts w:hint="eastAsia"/>
      </w:rPr>
    </w:lvl>
    <w:lvl w:ilvl="6">
      <w:start w:val="1"/>
      <w:numFmt w:val="decimal"/>
      <w:suff w:val="nothing"/>
      <w:lvlJc w:val="left"/>
      <w:pPr>
        <w:ind w:left="-212" w:firstLine="0"/>
      </w:pPr>
      <w:rPr>
        <w:rFonts w:hint="eastAsia"/>
      </w:rPr>
    </w:lvl>
    <w:lvl w:ilvl="7">
      <w:start w:val="1"/>
      <w:numFmt w:val="decimal"/>
      <w:suff w:val="nothing"/>
      <w:lvlJc w:val="left"/>
      <w:pPr>
        <w:ind w:left="-212" w:firstLine="0"/>
      </w:pPr>
      <w:rPr>
        <w:rFonts w:hint="eastAsia"/>
      </w:rPr>
    </w:lvl>
    <w:lvl w:ilvl="8">
      <w:start w:val="1"/>
      <w:numFmt w:val="decimal"/>
      <w:suff w:val="nothing"/>
      <w:lvlJc w:val="left"/>
      <w:pPr>
        <w:ind w:left="-212" w:firstLine="0"/>
      </w:pPr>
      <w:rPr>
        <w:rFonts w:hint="eastAsia"/>
      </w:rPr>
    </w:lvl>
  </w:abstractNum>
  <w:abstractNum w:abstractNumId="8">
    <w:multiLevelType w:val="multilevel"/>
    <w:lvl w:ilvl="0">
      <w:start w:val="1"/>
      <w:numFmt w:val="decimal"/>
      <w:suff w:val="tab"/>
      <w:lvlText w:val="%1."/>
      <w:lvlJc w:val="left"/>
      <w:pPr>
        <w:tabs>
          <w:tab w:val="left" w:pos="312"/>
        </w:tabs>
      </w:pPr>
      <w:rPr/>
    </w:lvl>
    <w:lvl w:ilvl="1">
      <w:start w:val="1"/>
      <w:numFmt w:val="bullet"/>
      <w:suff w:val="tab"/>
      <w:lvlText w:val="o"/>
      <w:lvlJc w:val="left"/>
      <w:pPr>
        <w:ind w:left="1440" w:hanging="360"/>
      </w:pPr>
      <w:rPr>
        <w:rFonts w:ascii="Courier New" w:eastAsia="Courier New" w:hAnsi="Courier New" w:cs="Courier New" w:hint="default"/>
      </w:rPr>
    </w:lvl>
    <w:lvl w:ilvl="2">
      <w:start w:val="1"/>
      <w:numFmt w:val="bullet"/>
      <w:suff w:val="tab"/>
      <w:lvlText w:val="§"/>
      <w:lvlJc w:val="left"/>
      <w:pPr>
        <w:ind w:left="2160" w:hanging="360"/>
      </w:pPr>
      <w:rPr>
        <w:rFonts w:ascii="Wingdings" w:eastAsia="Wingdings" w:hAnsi="Wingdings" w:cs="Wingdings" w:hint="default"/>
      </w:rPr>
    </w:lvl>
    <w:lvl w:ilvl="3">
      <w:start w:val="1"/>
      <w:numFmt w:val="bullet"/>
      <w:suff w:val="tab"/>
      <w:lvlText w:val="·"/>
      <w:lvlJc w:val="left"/>
      <w:pPr>
        <w:ind w:left="2880" w:hanging="360"/>
      </w:pPr>
      <w:rPr>
        <w:rFonts w:ascii="Symbol" w:eastAsia="Symbol" w:hAnsi="Symbol" w:cs="Symbol" w:hint="default"/>
      </w:rPr>
    </w:lvl>
    <w:lvl w:ilvl="4">
      <w:start w:val="1"/>
      <w:numFmt w:val="bullet"/>
      <w:suff w:val="tab"/>
      <w:lvlText w:val="o"/>
      <w:lvlJc w:val="left"/>
      <w:pPr>
        <w:ind w:left="3600" w:hanging="360"/>
      </w:pPr>
      <w:rPr>
        <w:rFonts w:ascii="Courier New" w:eastAsia="Courier New" w:hAnsi="Courier New" w:cs="Courier New" w:hint="default"/>
      </w:rPr>
    </w:lvl>
    <w:lvl w:ilvl="5">
      <w:start w:val="1"/>
      <w:numFmt w:val="bullet"/>
      <w:suff w:val="tab"/>
      <w:lvlText w:val="§"/>
      <w:lvlJc w:val="left"/>
      <w:pPr>
        <w:ind w:left="4320" w:hanging="360"/>
      </w:pPr>
      <w:rPr>
        <w:rFonts w:ascii="Wingdings" w:eastAsia="Wingdings" w:hAnsi="Wingdings" w:cs="Wingdings" w:hint="default"/>
      </w:rPr>
    </w:lvl>
    <w:lvl w:ilvl="6">
      <w:start w:val="1"/>
      <w:numFmt w:val="bullet"/>
      <w:suff w:val="tab"/>
      <w:lvlText w:val="·"/>
      <w:lvlJc w:val="left"/>
      <w:pPr>
        <w:ind w:left="5040" w:hanging="360"/>
      </w:pPr>
      <w:rPr>
        <w:rFonts w:ascii="Symbol" w:eastAsia="Symbol" w:hAnsi="Symbol" w:cs="Symbol" w:hint="default"/>
      </w:rPr>
    </w:lvl>
    <w:lvl w:ilvl="7">
      <w:start w:val="1"/>
      <w:numFmt w:val="bullet"/>
      <w:suff w:val="tab"/>
      <w:lvlText w:val="o"/>
      <w:lvlJc w:val="left"/>
      <w:pPr>
        <w:ind w:left="5760" w:hanging="360"/>
      </w:pPr>
      <w:rPr>
        <w:rFonts w:ascii="Courier New" w:eastAsia="Courier New" w:hAnsi="Courier New" w:cs="Courier New" w:hint="default"/>
      </w:rPr>
    </w:lvl>
    <w:lvl w:ilvl="8">
      <w:start w:val="1"/>
      <w:numFmt w:val="bullet"/>
      <w:suff w:val="tab"/>
      <w:lvlText w:val="§"/>
      <w:lvlJc w:val="left"/>
      <w:pPr>
        <w:ind w:left="6480" w:hanging="360"/>
      </w:pPr>
      <w:rPr>
        <w:rFonts w:ascii="Wingdings" w:eastAsia="Wingdings" w:hAnsi="Wingdings" w:cs="Wingdings" w:hint="default"/>
      </w:rPr>
    </w:lvl>
  </w:abstractNum>
  <w:abstractNum w:abstractNumId="9">
    <w:multiLevelType w:val="multilevel"/>
    <w:lvl w:ilvl="0">
      <w:start w:val="1"/>
      <w:numFmt w:val="chineseCountingThousand"/>
      <w:suff w:val="tab"/>
      <w:lvlText w:val="%1、"/>
      <w:lvlJc w:val="left"/>
      <w:pPr>
        <w:tabs>
          <w:tab w:val="left" w:pos="420"/>
        </w:tabs>
        <w:ind w:left="420" w:hanging="420"/>
      </w:pPr>
      <w:rPr>
        <w:rFonts w:hint="eastAsia"/>
        <w:b/>
        <w:i w:val="0"/>
      </w:rPr>
    </w:lvl>
    <w:lvl w:ilvl="1">
      <w:start w:val="1"/>
      <w:numFmt w:val="lowerLetter"/>
      <w:suff w:val="tab"/>
      <w:lvlText w:val="%2)"/>
      <w:lvlJc w:val="left"/>
      <w:pPr>
        <w:tabs>
          <w:tab w:val="left" w:pos="840"/>
        </w:tabs>
        <w:ind w:left="840" w:hanging="420"/>
      </w:pPr>
      <w:rPr/>
    </w:lvl>
    <w:lvl w:ilvl="2">
      <w:start w:val="1"/>
      <w:numFmt w:val="lowerRoman"/>
      <w:suff w:val="tab"/>
      <w:lvlText w:val="%3."/>
      <w:lvlJc w:val="right"/>
      <w:pPr>
        <w:tabs>
          <w:tab w:val="left" w:pos="1260"/>
        </w:tabs>
        <w:ind w:left="1260" w:hanging="420"/>
      </w:pPr>
      <w:rPr/>
    </w:lvl>
    <w:lvl w:ilvl="3">
      <w:start w:val="1"/>
      <w:numFmt w:val="decimal"/>
      <w:suff w:val="tab"/>
      <w:lvlText w:val="%4."/>
      <w:lvlJc w:val="left"/>
      <w:pPr>
        <w:tabs>
          <w:tab w:val="left" w:pos="1680"/>
        </w:tabs>
        <w:ind w:left="1680" w:hanging="420"/>
      </w:pPr>
      <w:rPr/>
    </w:lvl>
    <w:lvl w:ilvl="4">
      <w:start w:val="1"/>
      <w:numFmt w:val="lowerLetter"/>
      <w:suff w:val="tab"/>
      <w:lvlText w:val="%5)"/>
      <w:lvlJc w:val="left"/>
      <w:pPr>
        <w:tabs>
          <w:tab w:val="left" w:pos="2100"/>
        </w:tabs>
        <w:ind w:left="2100" w:hanging="420"/>
      </w:pPr>
      <w:rPr/>
    </w:lvl>
    <w:lvl w:ilvl="5">
      <w:start w:val="1"/>
      <w:numFmt w:val="lowerRoman"/>
      <w:suff w:val="tab"/>
      <w:lvlText w:val="%6."/>
      <w:lvlJc w:val="right"/>
      <w:pPr>
        <w:tabs>
          <w:tab w:val="left" w:pos="2520"/>
        </w:tabs>
        <w:ind w:left="2520" w:hanging="420"/>
      </w:pPr>
      <w:rPr/>
    </w:lvl>
    <w:lvl w:ilvl="6">
      <w:start w:val="1"/>
      <w:numFmt w:val="decimal"/>
      <w:suff w:val="tab"/>
      <w:lvlText w:val="%7."/>
      <w:lvlJc w:val="left"/>
      <w:pPr>
        <w:tabs>
          <w:tab w:val="left" w:pos="2940"/>
        </w:tabs>
        <w:ind w:left="2940" w:hanging="420"/>
      </w:pPr>
      <w:rPr/>
    </w:lvl>
    <w:lvl w:ilvl="7">
      <w:start w:val="1"/>
      <w:numFmt w:val="lowerLetter"/>
      <w:suff w:val="tab"/>
      <w:lvlText w:val="%8)"/>
      <w:lvlJc w:val="left"/>
      <w:pPr>
        <w:tabs>
          <w:tab w:val="left" w:pos="3360"/>
        </w:tabs>
        <w:ind w:left="3360" w:hanging="420"/>
      </w:pPr>
      <w:rPr/>
    </w:lvl>
    <w:lvl w:ilvl="8">
      <w:start w:val="1"/>
      <w:numFmt w:val="lowerRoman"/>
      <w:suff w:val="tab"/>
      <w:lvlText w:val="%9."/>
      <w:lvlJc w:val="right"/>
      <w:pPr>
        <w:tabs>
          <w:tab w:val="left" w:pos="3780"/>
        </w:tabs>
        <w:ind w:left="3780" w:hanging="4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mc:Ignorable="w14">
  <w:zoom w:percent="100"/>
  <w:bordersDoNotSurroundFooter/>
  <w:bordersDoNotSurroundHeader/>
  <w:doNotTrackMoves/>
  <w:defaultTabStop w:val="420"/>
  <w:characterSpacingControl w:val="doNotCompress"/>
  <w:compat>
    <w:balanceSingleByteDoubleByteWidth/>
    <w:ulTrailSpace/>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4"/>
  </w:compat>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Normal Indent"/>
    <w:lsdException w:name="footnote text"/>
    <w:lsdException w:name="annotation text"/>
    <w:lsdException w:name="header" w:semiHidden="0"/>
    <w:lsdException w:name="footer" w:semiHidden="0"/>
    <w:lsdException w:name="index heading"/>
    <w:lsdException w:name="caption" w:uiPriority="35" w:qFormat="1"/>
    <w:lsdException w:name="table of figures" w:semiHidden="0"/>
    <w:lsdException w:name="envelope address"/>
    <w:lsdException w:name="envelope return"/>
    <w:lsdException w:name="footnote reference" w:semiHidden="0"/>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正文首行缩进21"/>
    <w:link w:val="a_p_1"/>
    <w:qFormat/>
    <w:pPr>
      <w:widowControl w:val="0"/>
      <w:jc w:val="both"/>
    </w:pPr>
    <w:rPr>
      <w:rFonts w:ascii="Times New Roman" w:eastAsia="宋体" w:hAnsi="Times New Roman" w:cs="Times New Roman" w:hint="default"/>
      <w:sz w:val="21"/>
      <w:szCs w:val="24"/>
      <w:lang w:val="en-US" w:eastAsia="zh-CN" w:bidi="ar-SA"/>
    </w:rPr>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CellMar>
        <w:top w:w="0" w:type="dxa"/>
        <w:left w:w="108" w:type="dxa"/>
        <w:bottom w:w="0" w:type="dxa"/>
        <w:right w:w="108" w:type="dxa"/>
      </w:tblCellMar>
    </w:tblPr>
  </w:style>
  <w:style w:type="paragraph" w:customStyle="1" w:styleId="正文首行缩进21">
    <w:name w:val="正文首行缩进 21"/>
    <w:basedOn w:val="正文文本缩进1"/>
    <w:qFormat/>
    <w:pPr>
      <w:widowControl/>
      <w:spacing w:after="120"/>
      <w:ind w:left="420" w:firstLine="420"/>
    </w:pPr>
    <w:rPr>
      <w:rFonts w:ascii="仿宋_GB2312" w:eastAsia="仿宋_GB2312"/>
      <w:color w:val="FF6600"/>
      <w:sz w:val="21"/>
    </w:rPr>
  </w:style>
  <w:style w:type="paragraph" w:customStyle="1" w:styleId="正文文本缩进1">
    <w:name w:val="正文文本缩进1"/>
    <w:basedOn w:val="Normal"/>
    <w:qFormat/>
    <w:pPr>
      <w:ind w:firstLine="630"/>
    </w:pPr>
    <w:rPr>
      <w:rFonts w:ascii="楷体_GB2312" w:eastAsia="楷体_GB2312"/>
      <w:sz w:val="32"/>
      <w:szCs w:val="20"/>
    </w:rPr>
  </w:style>
  <w:style w:type="paragraph" w:styleId="TOC7">
    <w:name w:val="TOC 7"/>
    <w:basedOn w:val="Normal"/>
    <w:next w:val="Normal"/>
    <w:uiPriority w:val="39"/>
    <w:unhideWhenUsed/>
    <w:pPr>
      <w:spacing w:after="57"/>
      <w:ind w:left="1701" w:right="0" w:firstLine="0"/>
    </w:pPr>
    <w:rPr/>
  </w:style>
  <w:style w:type="paragraph" w:styleId="Caption">
    <w:name w:val="Caption"/>
    <w:basedOn w:val="Normal"/>
    <w:next w:val="Normal"/>
    <w:uiPriority w:val="35"/>
    <w:semiHidden/>
    <w:unhideWhenUsed/>
    <w:qFormat/>
    <w:pPr>
      <w:spacing w:line="276" w:lineRule="auto"/>
    </w:pPr>
    <w:rPr>
      <w:b/>
      <w:bCs/>
      <w:color w:val="4F81BD" w:themeColor="accent1"/>
      <w:sz w:val="18"/>
      <w:szCs w:val="18"/>
    </w:rPr>
  </w:style>
  <w:style w:type="paragraph" w:styleId="TOC5">
    <w:name w:val="TOC 5"/>
    <w:basedOn w:val="Normal"/>
    <w:next w:val="Normal"/>
    <w:uiPriority w:val="39"/>
    <w:unhideWhenUsed/>
    <w:pPr>
      <w:spacing w:after="57"/>
      <w:ind w:left="1134" w:right="0" w:firstLine="0"/>
    </w:pPr>
    <w:rPr/>
  </w:style>
  <w:style w:type="paragraph" w:styleId="TOC3">
    <w:name w:val="TOC 3"/>
    <w:basedOn w:val="Normal"/>
    <w:next w:val="Normal"/>
    <w:uiPriority w:val="39"/>
    <w:unhideWhenUsed/>
    <w:pPr>
      <w:spacing w:after="57"/>
      <w:ind w:left="567" w:right="0" w:firstLine="0"/>
    </w:pPr>
    <w:rPr/>
  </w:style>
  <w:style w:type="paragraph" w:styleId="TOC8">
    <w:name w:val="TOC 8"/>
    <w:basedOn w:val="Normal"/>
    <w:next w:val="Normal"/>
    <w:uiPriority w:val="39"/>
    <w:unhideWhenUsed/>
    <w:pPr>
      <w:spacing w:after="57"/>
      <w:ind w:left="1984" w:right="0" w:firstLine="0"/>
    </w:pPr>
    <w:rPr/>
  </w:style>
  <w:style w:type="paragraph" w:styleId="EndnoteText">
    <w:name w:val="Endnote Text"/>
    <w:basedOn w:val="Normal"/>
    <w:link w:val="EndnoteTextChar"/>
    <w:uiPriority w:val="99"/>
    <w:semiHidden/>
    <w:unhideWhenUsed/>
    <w:pPr>
      <w:spacing w:after="0" w:line="240" w:lineRule="auto"/>
    </w:pPr>
    <w:rPr>
      <w:sz w:val="20"/>
    </w:rPr>
  </w:style>
  <w:style w:type="paragraph" w:styleId="Footer">
    <w:name w:val="Footer"/>
    <w:basedOn w:val="Normal"/>
    <w:link w:val="CaptionChar"/>
    <w:uiPriority w:val="99"/>
    <w:unhideWhenUsed/>
    <w:pPr>
      <w:tabs>
        <w:tab w:val="center" w:pos="7143"/>
        <w:tab w:val="right" w:pos="14287"/>
      </w:tabs>
      <w:spacing w:after="0" w:line="240" w:lineRule="auto"/>
    </w:pPr>
    <w:rPr/>
  </w:style>
  <w:style w:type="paragraph" w:styleId="Header">
    <w:name w:val="Header"/>
    <w:basedOn w:val="Normal"/>
    <w:link w:val="HeaderChar"/>
    <w:uiPriority w:val="99"/>
    <w:unhideWhenUsed/>
    <w:pPr>
      <w:tabs>
        <w:tab w:val="center" w:pos="7143"/>
        <w:tab w:val="right" w:pos="14287"/>
      </w:tabs>
      <w:spacing w:after="0" w:line="240" w:lineRule="auto"/>
    </w:pPr>
    <w:rPr/>
  </w:style>
  <w:style w:type="paragraph" w:styleId="TOC1">
    <w:name w:val="TOC 1"/>
    <w:basedOn w:val="Normal"/>
    <w:next w:val="Normal"/>
    <w:uiPriority w:val="39"/>
    <w:unhideWhenUsed/>
    <w:pPr>
      <w:spacing w:after="57"/>
      <w:ind w:left="0" w:right="0" w:firstLine="0"/>
    </w:pPr>
    <w:rPr/>
  </w:style>
  <w:style w:type="paragraph" w:styleId="TOC4">
    <w:name w:val="TOC 4"/>
    <w:basedOn w:val="Normal"/>
    <w:next w:val="Normal"/>
    <w:uiPriority w:val="39"/>
    <w:unhideWhenUsed/>
    <w:pPr>
      <w:spacing w:after="57"/>
      <w:ind w:left="850" w:right="0" w:firstLine="0"/>
    </w:pPr>
    <w:rPr/>
  </w:style>
  <w:style w:type="paragraph" w:styleId="Subtitle">
    <w:name w:val="Subtitle"/>
    <w:basedOn w:val="Normal"/>
    <w:next w:val="Normal"/>
    <w:link w:val="SubtitleChar"/>
    <w:uiPriority w:val="11"/>
    <w:qFormat/>
    <w:pPr>
      <w:spacing w:before="200" w:after="200"/>
    </w:pPr>
    <w:rPr>
      <w:sz w:val="24"/>
      <w:szCs w:val="24"/>
    </w:rPr>
  </w:style>
  <w:style w:type="paragraph" w:styleId="FootnoteText">
    <w:name w:val="Footnote Text"/>
    <w:basedOn w:val="Normal"/>
    <w:link w:val="FootnoteTextChar"/>
    <w:uiPriority w:val="99"/>
    <w:semiHidden/>
    <w:unhideWhenUsed/>
    <w:pPr>
      <w:spacing w:after="40" w:line="240" w:lineRule="auto"/>
    </w:pPr>
    <w:rPr>
      <w:sz w:val="18"/>
    </w:rPr>
  </w:style>
  <w:style w:type="paragraph" w:styleId="TOC6">
    <w:name w:val="TOC 6"/>
    <w:basedOn w:val="Normal"/>
    <w:next w:val="Normal"/>
    <w:uiPriority w:val="39"/>
    <w:unhideWhenUsed/>
    <w:pPr>
      <w:spacing w:after="57"/>
      <w:ind w:left="1417" w:right="0" w:firstLine="0"/>
    </w:pPr>
    <w:rPr/>
  </w:style>
  <w:style w:type="paragraph" w:styleId="TableofFigures">
    <w:name w:val="Table of Figures"/>
    <w:basedOn w:val="Normal"/>
    <w:next w:val="Normal"/>
    <w:uiPriority w:val="99"/>
    <w:unhideWhenUsed/>
    <w:pPr>
      <w:spacing w:after="0" w:afterAutospacing="0"/>
    </w:pPr>
    <w:rPr/>
  </w:style>
  <w:style w:type="paragraph" w:styleId="TOC2">
    <w:name w:val="TOC 2"/>
    <w:basedOn w:val="Normal"/>
    <w:next w:val="Normal"/>
    <w:uiPriority w:val="39"/>
    <w:unhideWhenUsed/>
    <w:pPr>
      <w:spacing w:after="57"/>
      <w:ind w:left="283" w:right="0" w:firstLine="0"/>
    </w:pPr>
    <w:rPr/>
  </w:style>
  <w:style w:type="paragraph" w:styleId="TOC9">
    <w:name w:val="TOC 9"/>
    <w:basedOn w:val="Normal"/>
    <w:next w:val="Normal"/>
    <w:uiPriority w:val="39"/>
    <w:unhideWhenUsed/>
    <w:pPr>
      <w:spacing w:after="57"/>
      <w:ind w:left="2268" w:right="0" w:firstLine="0"/>
    </w:pPr>
    <w:rPr/>
  </w:style>
  <w:style w:type="paragraph" w:styleId="Title">
    <w:name w:val="Title"/>
    <w:basedOn w:val="Normal"/>
    <w:next w:val="Normal"/>
    <w:link w:val="TitleChar"/>
    <w:uiPriority w:val="10"/>
    <w:qFormat/>
    <w:pPr>
      <w:spacing w:before="300" w:after="200"/>
      <w:contextualSpacing/>
    </w:pPr>
    <w:rPr>
      <w:sz w:val="48"/>
      <w:szCs w:val="48"/>
    </w:rPr>
  </w:style>
  <w:style w:type="table" w:styleId="TableGrid">
    <w:name w:val="Table Grid"/>
    <w:uiPriority w:val="59"/>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ndnoteReference">
    <w:name w:val="Endnote Reference"/>
    <w:uiPriority w:val="99"/>
    <w:semiHidden/>
    <w:unhideWhenUsed/>
    <w:rPr>
      <w:vertAlign w:val="superscript"/>
    </w:rPr>
  </w:style>
  <w:style w:type="character" w:styleId="Hyperlink">
    <w:name w:val="Hyperlink"/>
    <w:uiPriority w:val="99"/>
    <w:unhideWhenUsed/>
    <w:rPr>
      <w:color w:val="0000FF" w:themeColor="hyperlink"/>
      <w:u w:val="single"/>
    </w:rPr>
  </w:style>
  <w:style w:type="character" w:styleId="FootnoteReference">
    <w:name w:val="Footnote Reference"/>
    <w:uiPriority w:val="99"/>
    <w:unhideWhenUsed/>
    <w:rPr>
      <w:vertAlign w:val="superscript"/>
    </w:rPr>
  </w:style>
  <w:style w:type="character" w:customStyle="1" w:styleId="Heading1Char">
    <w:name w:val="Heading 1 Char"/>
    <w:link w:val="Heading1"/>
    <w:uiPriority w:val="9"/>
    <w:rPr>
      <w:rFonts w:ascii="Arial" w:eastAsia="Arial" w:hAnsi="Arial" w:cs="Arial"/>
      <w:sz w:val="40"/>
      <w:szCs w:val="40"/>
    </w:rPr>
  </w:style>
  <w:style w:type="character" w:customStyle="1" w:styleId="Heading2Char">
    <w:name w:val="Heading 2 Char"/>
    <w:link w:val="Heading2"/>
    <w:uiPriority w:val="9"/>
    <w:rPr>
      <w:rFonts w:ascii="Arial" w:eastAsia="Arial" w:hAnsi="Arial" w:cs="Arial"/>
      <w:sz w:val="34"/>
    </w:rPr>
  </w:style>
  <w:style w:type="character" w:customStyle="1" w:styleId="Heading3Char">
    <w:name w:val="Heading 3 Char"/>
    <w:link w:val="Heading3"/>
    <w:uiPriority w:val="9"/>
    <w:rPr>
      <w:rFonts w:ascii="Arial" w:eastAsia="Arial" w:hAnsi="Arial" w:cs="Arial"/>
      <w:sz w:val="30"/>
      <w:szCs w:val="30"/>
    </w:rPr>
  </w:style>
  <w:style w:type="character" w:customStyle="1" w:styleId="Heading4Char">
    <w:name w:val="Heading 4 Char"/>
    <w:link w:val="Heading4"/>
    <w:uiPriority w:val="9"/>
    <w:rPr>
      <w:rFonts w:ascii="Arial" w:eastAsia="Arial" w:hAnsi="Arial" w:cs="Arial"/>
      <w:b/>
      <w:bCs/>
      <w:sz w:val="26"/>
      <w:szCs w:val="26"/>
    </w:rPr>
  </w:style>
  <w:style w:type="character" w:customStyle="1" w:styleId="Heading5Char">
    <w:name w:val="Heading 5 Char"/>
    <w:link w:val="Heading5"/>
    <w:uiPriority w:val="9"/>
    <w:rPr>
      <w:rFonts w:ascii="Arial" w:eastAsia="Arial" w:hAnsi="Arial" w:cs="Arial"/>
      <w:b/>
      <w:bCs/>
      <w:sz w:val="24"/>
      <w:szCs w:val="24"/>
    </w:rPr>
  </w:style>
  <w:style w:type="character" w:customStyle="1" w:styleId="Heading6Char">
    <w:name w:val="Heading 6 Char"/>
    <w:link w:val="Heading6"/>
    <w:uiPriority w:val="9"/>
    <w:rPr>
      <w:rFonts w:ascii="Arial" w:eastAsia="Arial" w:hAnsi="Arial" w:cs="Arial"/>
      <w:b/>
      <w:bCs/>
      <w:sz w:val="22"/>
      <w:szCs w:val="22"/>
    </w:rPr>
  </w:style>
  <w:style w:type="character" w:customStyle="1" w:styleId="Heading7Char">
    <w:name w:val="Heading 7 Char"/>
    <w:link w:val="Heading7"/>
    <w:uiPriority w:val="9"/>
    <w:rPr>
      <w:rFonts w:ascii="Arial" w:eastAsia="Arial" w:hAnsi="Arial" w:cs="Arial"/>
      <w:b/>
      <w:bCs/>
      <w:i/>
      <w:iCs/>
      <w:sz w:val="22"/>
      <w:szCs w:val="22"/>
    </w:rPr>
  </w:style>
  <w:style w:type="character" w:customStyle="1" w:styleId="Heading8Char">
    <w:name w:val="Heading 8 Char"/>
    <w:link w:val="Heading8"/>
    <w:uiPriority w:val="9"/>
    <w:rPr>
      <w:rFonts w:ascii="Arial" w:eastAsia="Arial" w:hAnsi="Arial" w:cs="Arial"/>
      <w:i/>
      <w:iCs/>
      <w:sz w:val="22"/>
      <w:szCs w:val="22"/>
    </w:rPr>
  </w:style>
  <w:style w:type="character" w:customStyle="1" w:styleId="Heading9Char">
    <w:name w:val="Heading 9 Char"/>
    <w:link w:val="Heading9"/>
    <w:uiPriority w:val="9"/>
    <w:rPr>
      <w:rFonts w:ascii="Arial" w:eastAsia="Arial" w:hAnsi="Arial" w:cs="Arial"/>
      <w:i/>
      <w:iCs/>
      <w:sz w:val="21"/>
      <w:szCs w:val="21"/>
    </w:rPr>
  </w:style>
  <w:style w:type="paragraph" w:styleId="NoSpacing">
    <w:name w:val="No Spacing"/>
    <w:uiPriority w:val="1"/>
    <w:qFormat/>
    <w:pPr>
      <w:spacing w:before="0" w:after="0" w:line="240" w:lineRule="auto"/>
    </w:pPr>
    <w:rPr>
      <w:rFonts w:ascii="Times New Roman" w:eastAsia="宋体" w:hAnsi="Times New Roman" w:cs="Times New Roman" w:hint="default"/>
    </w:rPr>
  </w:style>
  <w:style w:type="character" w:customStyle="1" w:styleId="TitleChar">
    <w:name w:val="Title Char"/>
    <w:link w:val="Title"/>
    <w:uiPriority w:val="10"/>
    <w:rPr>
      <w:sz w:val="48"/>
      <w:szCs w:val="48"/>
    </w:rPr>
  </w:style>
  <w:style w:type="character" w:customStyle="1" w:styleId="SubtitleChar">
    <w:name w:val="Subtitle Char"/>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contextualSpacing w:val="0"/>
    </w:pPr>
    <w:rPr>
      <w:i/>
    </w:rPr>
  </w:style>
  <w:style w:type="character" w:customStyle="1" w:styleId="IntenseQuoteChar">
    <w:name w:val="Intense Quote Char"/>
    <w:link w:val="IntenseQuote"/>
    <w:uiPriority w:val="30"/>
    <w:rPr>
      <w:i/>
    </w:rPr>
  </w:style>
  <w:style w:type="character" w:customStyle="1" w:styleId="HeaderChar">
    <w:name w:val="Header Char"/>
    <w:link w:val="Header"/>
    <w:uiPriority w:val="99"/>
    <w:rPr/>
  </w:style>
  <w:style w:type="character" w:customStyle="1" w:styleId="FooterChar">
    <w:name w:val="Footer Char"/>
    <w:link w:val="Footer"/>
    <w:uiPriority w:val="99"/>
    <w:rPr/>
  </w:style>
  <w:style w:type="character" w:customStyle="1" w:styleId="CaptionChar">
    <w:name w:val="Caption Char"/>
    <w:link w:val="Footer"/>
    <w:uiPriority w:val="99"/>
    <w:rPr/>
  </w:style>
  <w:style w:type="table" w:customStyle="1" w:styleId="TableGridLight">
    <w:name w:val="Table Grid Light"/>
    <w:uiPriority w:val="59"/>
    <w:pPr>
      <w:spacing w:after="0" w:line="240" w:lineRule="auto"/>
    </w:pPr>
    <w:rPr/>
    <w:tblPr>
      <w:tblBorders>
        <w:top w:val="single" w:sz="4" w:space="0" w:color="AEAEAE" w:themeColor="text1" w:themeTint="50"/>
        <w:left w:val="single" w:sz="4" w:space="0" w:color="AEAEAE" w:themeColor="text1" w:themeTint="50"/>
        <w:bottom w:val="single" w:sz="4" w:space="0" w:color="AEAEAE" w:themeColor="text1" w:themeTint="50"/>
        <w:right w:val="single" w:sz="4" w:space="0" w:color="AEAEAE" w:themeColor="text1" w:themeTint="50"/>
        <w:insideH w:val="single" w:sz="4" w:space="0" w:color="AEAEAE" w:themeColor="text1" w:themeTint="50"/>
        <w:insideV w:val="single" w:sz="4" w:space="0" w:color="AEAEAE" w:themeColor="text1" w:themeTint="50"/>
      </w:tblBorders>
      <w:tblCellMar>
        <w:top w:w="0" w:type="dxa"/>
        <w:left w:w="108" w:type="dxa"/>
        <w:bottom w:w="0" w:type="dxa"/>
        <w:right w:w="108" w:type="dxa"/>
      </w:tblCellMar>
    </w:tblPr>
  </w:style>
  <w:style w:type="table" w:customStyle="1" w:styleId="PlainTable1">
    <w:name w:val="Plain Table 1"/>
    <w:uiPriority w:val="59"/>
    <w:qFormat/>
    <w:pPr>
      <w:spacing w:after="0" w:line="240" w:lineRule="auto"/>
    </w:pPr>
    <w:rPr/>
    <w:tblPr>
      <w:tblBorders>
        <w:top w:val="single" w:sz="4" w:space="0" w:color="AEAEAE" w:themeColor="text1" w:themeTint="50"/>
        <w:left w:val="single" w:sz="4" w:space="0" w:color="AEAEAE" w:themeColor="text1" w:themeTint="50"/>
        <w:bottom w:val="single" w:sz="4" w:space="0" w:color="AEAEAE" w:themeColor="text1" w:themeTint="50"/>
        <w:right w:val="single" w:sz="4" w:space="0" w:color="AEAEAE" w:themeColor="text1" w:themeTint="50"/>
        <w:insideH w:val="single" w:sz="4" w:space="0" w:color="AEAEAE" w:themeColor="text1" w:themeTint="50"/>
        <w:insideV w:val="single" w:sz="4" w:space="0" w:color="AEAEAE"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rPr/>
      <w:tcPr>
        <w:shd w:val="clear" w:color="F1F1F1" w:fill="F1F1F1"/>
      </w:tcPr>
    </w:tblStylePr>
    <w:tblStylePr w:type="band1Horz">
      <w:rPr/>
      <w:tcPr>
        <w:shd w:val="clear" w:color="F1F1F1" w:fill="F1F1F1"/>
      </w:tcPr>
    </w:tblStylePr>
  </w:style>
  <w:style w:type="table" w:customStyle="1" w:styleId="PlainTable2">
    <w:name w:val="Plain Table 2"/>
    <w:uiPriority w:val="59"/>
    <w:pPr>
      <w:spacing w:after="0" w:line="240" w:lineRule="auto"/>
    </w:pPr>
    <w:rPr/>
    <w:tblPr>
      <w:tblBorders>
        <w:top w:val="single" w:sz="4" w:space="0" w:color="auto"/>
        <w:left w:val="none" w:sz="0" w:space="0" w:color="auto" w:themeColor="text1"/>
        <w:bottom w:val="single" w:sz="4" w:space="0" w:color="auto"/>
        <w:right w:val="none" w:sz="0" w:space="0" w:color="auto" w:themeColor="text1"/>
      </w:tblBorders>
      <w:tblCellMar>
        <w:top w:w="0" w:type="dxa"/>
        <w:left w:w="108" w:type="dxa"/>
        <w:bottom w:w="0" w:type="dxa"/>
        <w:right w:w="108" w:type="dxa"/>
      </w:tblCellMar>
    </w:tblPr>
    <w:tblStylePr w:type="firstRow">
      <w:rPr>
        <w:rFonts w:ascii="Arial" w:hAnsi="Arial"/>
        <w:b/>
        <w:color w:val="404040"/>
        <w:sz w:val="22"/>
      </w:rPr>
      <w:tcPr>
        <w:tcBorders>
          <w:top w:val="single" w:sz="4" w:space="0" w:color="auto"/>
          <w:bottom w:val="single" w:sz="4" w:space="0" w:color="auto"/>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rPr/>
      <w:tcPr>
        <w:tcBorders>
          <w:left w:val="single" w:sz="4" w:space="0" w:color="auto"/>
          <w:right w:val="single" w:sz="4" w:space="0" w:color="auto"/>
        </w:tcBorders>
      </w:tcPr>
    </w:tblStylePr>
    <w:tblStylePr w:type="band2Vert">
      <w:rPr/>
      <w:tcPr>
        <w:tcBorders>
          <w:left w:val="single" w:sz="4" w:space="0" w:color="auto"/>
          <w:right w:val="single" w:sz="4" w:space="0" w:color="auto"/>
        </w:tcBorders>
      </w:tcPr>
    </w:tblStylePr>
    <w:tblStylePr w:type="band1Horz">
      <w:rPr/>
      <w:tcPr>
        <w:tcBorders>
          <w:top w:val="single" w:sz="4" w:space="0" w:color="auto"/>
          <w:bottom w:val="single" w:sz="4" w:space="0" w:color="auto"/>
        </w:tcBorders>
      </w:tcPr>
    </w:tblStylePr>
  </w:style>
  <w:style w:type="table" w:customStyle="1" w:styleId="PlainTable3">
    <w:name w:val="Plain Table 3"/>
    <w:uiPriority w:val="99"/>
    <w:pPr>
      <w:spacing w:after="0" w:line="240" w:lineRule="auto"/>
    </w:pPr>
    <w:rPr/>
    <w:tblStylePr w:type="firstRow">
      <w:rPr>
        <w:b/>
        <w:caps/>
        <w:color w:val="404040"/>
      </w:rPr>
      <w:tcPr>
        <w:tcBorders>
          <w:top w:val="nil"/>
          <w:left w:val="nil"/>
          <w:bottom w:val="single" w:sz="4" w:space="0" w:color="404040"/>
          <w:right w:val="nil"/>
        </w:tcBorders>
      </w:tcPr>
    </w:tblStylePr>
    <w:tblStylePr w:type="lastRow">
      <w:rPr>
        <w:b/>
        <w:caps/>
        <w:color w:val="404040"/>
      </w:rPr>
    </w:tblStylePr>
    <w:tblStylePr w:type="firstCol">
      <w:rPr>
        <w:b/>
        <w:caps/>
        <w:color w:val="404040"/>
      </w:r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PlainTable4">
    <w:name w:val="Plain Table 4"/>
    <w:uiPriority w:val="99"/>
    <w:pPr>
      <w:spacing w:after="0" w:line="240" w:lineRule="auto"/>
    </w:pPr>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PlainTable5">
    <w:name w:val="Plain Table 5"/>
    <w:uiPriority w:val="99"/>
    <w:pPr>
      <w:spacing w:after="0" w:line="240" w:lineRule="auto"/>
    </w:pPr>
    <w:rPr/>
    <w:tblStylePr w:type="firstRow">
      <w:rPr>
        <w:i/>
        <w:color w:val="404040"/>
      </w:rPr>
      <w:tcPr>
        <w:tcBorders>
          <w:left w:val="nil"/>
          <w:bottom w:val="single" w:sz="4" w:space="0" w:color="404040"/>
          <w:right w:val="nil"/>
        </w:tcBorders>
        <w:shd w:val="clear" w:color="FFFFFF" w:fill="auto"/>
      </w:tcPr>
    </w:tblStylePr>
    <w:tblStylePr w:type="lastRow">
      <w:rPr>
        <w:i/>
        <w:color w:val="404040"/>
      </w:rPr>
      <w:tcPr>
        <w:tcBorders>
          <w:top w:val="single" w:sz="4" w:space="0" w:color="404040"/>
          <w:left w:val="nil"/>
          <w:right w:val="nil"/>
        </w:tcBorders>
        <w:shd w:val="clear" w:color="FFFFFF" w:fill="auto"/>
      </w:tcPr>
    </w:tblStylePr>
    <w:tblStylePr w:type="firstCol">
      <w:pPr>
        <w:jc w:val="right"/>
      </w:pPr>
      <w:rPr>
        <w:i/>
        <w:color w:val="404040"/>
      </w:rPr>
      <w:tcPr>
        <w:tcBorders>
          <w:right w:val="single" w:sz="4" w:space="0" w:color="404040"/>
        </w:tcBorders>
        <w:shd w:val="clear" w:color="FFFFFF" w:fill="auto"/>
      </w:tcPr>
    </w:tblStylePr>
    <w:tblStylePr w:type="lastCol">
      <w:rPr>
        <w:i/>
        <w:color w:val="404040"/>
      </w:rPr>
      <w:tcPr>
        <w:tcBorders>
          <w:left w:val="single" w:sz="4" w:space="0" w:color="40404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GridTable1Light">
    <w:name w:val="Grid Table 1 Light"/>
    <w:uiPriority w:val="99"/>
    <w:pPr>
      <w:spacing w:after="0" w:line="240" w:lineRule="auto"/>
    </w:pPr>
    <w:rPr/>
    <w:tblPr>
      <w:tbl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insideH w:val="single" w:sz="4" w:space="0" w:color="979797" w:themeColor="text1" w:themeTint="67"/>
        <w:insideV w:val="single" w:sz="4" w:space="0" w:color="979797" w:themeColor="text1" w:themeTint="67"/>
      </w:tblBorders>
    </w:tblPr>
    <w:tblStylePr w:type="firstRow">
      <w:rPr>
        <w:b/>
        <w:color w:val="404040"/>
      </w:rPr>
      <w:tcPr>
        <w:tcBorders>
          <w:bottom w:val="single" w:sz="12" w:space="0" w:color="696969"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979797" w:themeColor="text1" w:themeTint="67"/>
          <w:left w:val="single" w:sz="4" w:space="0" w:color="979797" w:themeColor="text1" w:themeTint="67"/>
          <w:bottom w:val="single" w:sz="4" w:space="0" w:color="979797" w:themeColor="text1" w:themeTint="67"/>
          <w:right w:val="single" w:sz="4" w:space="0" w:color="979797" w:themeColor="text1" w:themeTint="67"/>
        </w:tcBorders>
      </w:tcPr>
    </w:tblStylePr>
  </w:style>
  <w:style w:type="table" w:customStyle="1" w:styleId="GridTable1Light-Accent1">
    <w:name w:val="Grid Table 1 Light - Accent 1"/>
    <w:uiPriority w:val="99"/>
    <w:pPr>
      <w:spacing w:after="0" w:line="240" w:lineRule="auto"/>
    </w:pPr>
    <w:rPr/>
    <w:tblPr>
      <w:tbl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insideH w:val="single" w:sz="4" w:space="0" w:color="B7CCE4" w:themeColor="accent1" w:themeTint="67"/>
        <w:insideV w:val="single" w:sz="4" w:space="0" w:color="B7CCE4" w:themeColor="accent1" w:themeTint="67"/>
      </w:tblBorders>
    </w:tblPr>
    <w:tblStylePr w:type="firstRow">
      <w:rPr>
        <w:b/>
        <w:color w:val="404040"/>
      </w:rPr>
      <w:tcPr>
        <w:tcBorders>
          <w:bottom w:val="single" w:sz="12" w:space="0" w:color="98B5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tcBorders>
      </w:tcPr>
    </w:tblStylePr>
  </w:style>
  <w:style w:type="table" w:customStyle="1" w:styleId="GridTable1Light-Accent2">
    <w:name w:val="Grid Table 1 Light - Accent 2"/>
    <w:uiPriority w:val="99"/>
    <w:pPr>
      <w:spacing w:after="0" w:line="240" w:lineRule="auto"/>
    </w:pPr>
    <w:rPr/>
    <w:tblPr>
      <w:tbl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insideH w:val="single" w:sz="4" w:space="0" w:color="E5B8B7" w:themeColor="accent2" w:themeTint="67"/>
        <w:insideV w:val="single" w:sz="4" w:space="0" w:color="E5B8B7" w:themeColor="accent2" w:themeTint="67"/>
      </w:tblBorders>
    </w:tblPr>
    <w:tblStylePr w:type="firstRow">
      <w:rPr>
        <w:b/>
        <w:color w:val="404040"/>
      </w:r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tcBorders>
      </w:tcPr>
    </w:tblStylePr>
  </w:style>
  <w:style w:type="table" w:customStyle="1" w:styleId="GridTable1Light-Accent3">
    <w:name w:val="Grid Table 1 Light - Accent 3"/>
    <w:uiPriority w:val="99"/>
    <w:pPr>
      <w:spacing w:after="0" w:line="240" w:lineRule="auto"/>
    </w:pPr>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cPr>
        <w:tcBorders>
          <w:bottom w:val="single" w:sz="12" w:space="0" w:color="C4D79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pPr>
      <w:spacing w:after="0" w:line="240" w:lineRule="auto"/>
    </w:pPr>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pPr>
      <w:spacing w:after="0" w:line="240" w:lineRule="auto"/>
    </w:pPr>
    <w:rPr/>
    <w:tblPr>
      <w:tbl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insideH w:val="single" w:sz="4" w:space="0" w:color="B6DDE7" w:themeColor="accent5" w:themeTint="67"/>
        <w:insideV w:val="single" w:sz="4" w:space="0" w:color="B6DDE7" w:themeColor="accent5" w:themeTint="67"/>
      </w:tblBorders>
    </w:tblPr>
    <w:tblStylePr w:type="firstRow">
      <w:rPr>
        <w:b/>
        <w:color w:val="404040"/>
      </w:r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tcBorders>
      </w:tcPr>
    </w:tblStylePr>
  </w:style>
  <w:style w:type="table" w:customStyle="1" w:styleId="GridTable1Light-Accent6">
    <w:name w:val="Grid Table 1 Light - Accent 6"/>
    <w:uiPriority w:val="99"/>
    <w:pPr>
      <w:spacing w:after="0" w:line="240" w:lineRule="auto"/>
    </w:pPr>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pPr>
      <w:spacing w:after="0" w:line="240" w:lineRule="auto"/>
    </w:pPr>
    <w:rPr/>
    <w:tblPr>
      <w:tblBorders>
        <w:bottom w:val="single" w:sz="4" w:space="0" w:color="696969" w:themeColor="text1" w:themeTint="95"/>
        <w:insideH w:val="single" w:sz="4" w:space="0" w:color="696969" w:themeColor="text1" w:themeTint="95"/>
        <w:insideV w:val="single" w:sz="4" w:space="0" w:color="696969" w:themeColor="text1" w:themeTint="95"/>
      </w:tblBorders>
    </w:tblPr>
    <w:tblStylePr w:type="firstRow">
      <w:rPr>
        <w:b/>
        <w:color w:val="404040"/>
      </w:rPr>
      <w:tcPr>
        <w:tcBorders>
          <w:top w:val="nil"/>
          <w:left w:val="nil"/>
          <w:bottom w:val="single" w:sz="12" w:space="0" w:color="696969" w:themeColor="text1" w:themeTint="95"/>
          <w:right w:val="nil"/>
        </w:tcBorders>
        <w:shd w:val="clear" w:color="FFFFFF" w:fill="auto"/>
      </w:tcPr>
    </w:tblStylePr>
    <w:tblStylePr w:type="lastRow">
      <w:rPr>
        <w:b/>
        <w:color w:val="404040"/>
      </w:rPr>
      <w:tcPr>
        <w:tcBorders>
          <w:top w:val="single" w:sz="4" w:space="0" w:color="696969"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GridTable2-Accent1">
    <w:name w:val="Grid Table 2 - Accent 1"/>
    <w:uiPriority w:val="99"/>
    <w:pPr>
      <w:spacing w:after="0" w:line="240" w:lineRule="auto"/>
    </w:pPr>
    <w:rPr/>
    <w:tblPr>
      <w:tblBorders>
        <w:bottom w:val="single" w:sz="4" w:space="0" w:color="5D8BC2" w:themeColor="accent1" w:themeTint="EA"/>
        <w:insideH w:val="single" w:sz="4" w:space="0" w:color="5D8BC2" w:themeColor="accent1" w:themeTint="EA"/>
        <w:insideV w:val="single" w:sz="4" w:space="0" w:color="5D8BC2" w:themeColor="accent1" w:themeTint="EA"/>
      </w:tblBorders>
    </w:tblPr>
    <w:tblStylePr w:type="firstRow">
      <w:rPr>
        <w:b/>
        <w:color w:val="404040"/>
      </w:rPr>
      <w:tcPr>
        <w:tcBorders>
          <w:top w:val="nil"/>
          <w:left w:val="nil"/>
          <w:bottom w:val="single" w:sz="12" w:space="0" w:color="5D8BC2" w:themeColor="accent1" w:themeTint="EA"/>
          <w:right w:val="nil"/>
        </w:tcBorders>
        <w:shd w:val="clear" w:color="FFFFFF" w:fill="auto"/>
      </w:tcPr>
    </w:tblStylePr>
    <w:tblStylePr w:type="lastRow">
      <w:rPr>
        <w:b/>
        <w:color w:val="404040"/>
      </w:rPr>
      <w:tcPr>
        <w:tcBorders>
          <w:top w:val="single" w:sz="4" w:space="0" w:color="5D8B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GridTable2-Accent2">
    <w:name w:val="Grid Table 2 - Accent 2"/>
    <w:uiPriority w:val="99"/>
    <w:pPr>
      <w:spacing w:after="0" w:line="240" w:lineRule="auto"/>
    </w:pPr>
    <w:rPr/>
    <w:tblPr>
      <w:tblBorders>
        <w:bottom w:val="single" w:sz="4" w:space="0" w:color="D99795" w:themeColor="accent2" w:themeTint="97"/>
        <w:insideH w:val="single" w:sz="4" w:space="0" w:color="D99795" w:themeColor="accent2" w:themeTint="97"/>
        <w:insideV w:val="single" w:sz="4" w:space="0" w:color="D99795" w:themeColor="accent2" w:themeTint="97"/>
      </w:tblBorders>
    </w:tblPr>
    <w:tblStylePr w:type="firstRow">
      <w:rPr>
        <w:b/>
        <w:color w:val="404040"/>
      </w:rPr>
      <w:tcPr>
        <w:tcBorders>
          <w:top w:val="nil"/>
          <w:left w:val="nil"/>
          <w:bottom w:val="single" w:sz="12" w:space="0" w:color="D99795" w:themeColor="accent2" w:themeTint="97"/>
          <w:right w:val="nil"/>
        </w:tcBorders>
        <w:shd w:val="clear" w:color="FFFFFF" w:fill="auto"/>
      </w:tcPr>
    </w:tblStylePr>
    <w:tblStylePr w:type="lastRow">
      <w:rPr>
        <w:b/>
        <w:color w:val="404040"/>
      </w:rPr>
      <w:tcPr>
        <w:tcBorders>
          <w:top w:val="single" w:sz="4" w:space="0" w:color="D997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GridTable2-Accent3">
    <w:name w:val="Grid Table 2 - Accent 3"/>
    <w:uiPriority w:val="99"/>
    <w:pPr>
      <w:spacing w:after="0" w:line="240" w:lineRule="auto"/>
    </w:pPr>
    <w:rPr/>
    <w:tblPr>
      <w:tblBorders>
        <w:bottom w:val="single" w:sz="4" w:space="0" w:color="9BBB59" w:themeColor="accent3" w:themeTint="FE"/>
        <w:insideH w:val="single" w:sz="4" w:space="0" w:color="9BBB59" w:themeColor="accent3" w:themeTint="FE"/>
        <w:insideV w:val="single" w:sz="4" w:space="0" w:color="9BBB59" w:themeColor="accent3" w:themeTint="FE"/>
      </w:tblBorders>
    </w:tblPr>
    <w:tblStylePr w:type="firstRow">
      <w:rPr>
        <w:b/>
        <w:color w:val="404040"/>
      </w:rPr>
      <w:tcPr>
        <w:tcBorders>
          <w:top w:val="nil"/>
          <w:left w:val="nil"/>
          <w:bottom w:val="single" w:sz="12" w:space="0" w:color="9BBB59" w:themeColor="accent3" w:themeTint="FE"/>
          <w:right w:val="nil"/>
        </w:tcBorders>
        <w:shd w:val="clear" w:color="FFFFFF" w:fill="auto"/>
      </w:tcPr>
    </w:tblStylePr>
    <w:tblStylePr w:type="lastRow">
      <w:rPr>
        <w:b/>
        <w:color w:val="404040"/>
      </w:rPr>
      <w:tcPr>
        <w:tcBorders>
          <w:top w:val="single" w:sz="4" w:space="0" w:color="9B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GridTable2-Accent4">
    <w:name w:val="Grid Table 2 - Accent 4"/>
    <w:uiPriority w:val="99"/>
    <w:pPr>
      <w:spacing w:after="0" w:line="240" w:lineRule="auto"/>
    </w:pPr>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cPr>
        <w:tcBorders>
          <w:top w:val="nil"/>
          <w:left w:val="nil"/>
          <w:bottom w:val="single" w:sz="12" w:space="0" w:color="B2A1C6" w:themeColor="accent4" w:themeTint="9A"/>
          <w:right w:val="nil"/>
        </w:tcBorders>
        <w:shd w:val="clear" w:color="FFFFFF" w:fill="auto"/>
      </w:tcPr>
    </w:tblStylePr>
    <w:tblStylePr w:type="lastRow">
      <w:rPr>
        <w:b/>
        <w:color w:val="404040"/>
      </w:r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GridTable2-Accent5">
    <w:name w:val="Grid Table 2 - Accent 5"/>
    <w:uiPriority w:val="99"/>
    <w:pPr>
      <w:spacing w:after="0" w:line="240" w:lineRule="auto"/>
    </w:pPr>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cPr>
        <w:tcBorders>
          <w:top w:val="nil"/>
          <w:left w:val="nil"/>
          <w:bottom w:val="single" w:sz="12" w:space="0" w:color="4BACC6" w:themeColor="accent5"/>
          <w:right w:val="nil"/>
        </w:tcBorders>
        <w:shd w:val="clear" w:color="FFFFFF" w:fill="auto"/>
      </w:tcPr>
    </w:tblStylePr>
    <w:tblStylePr w:type="lastRow">
      <w:rPr>
        <w:b/>
        <w:color w:val="404040"/>
      </w:r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GridTable2-Accent6">
    <w:name w:val="Grid Table 2 - Accent 6"/>
    <w:uiPriority w:val="99"/>
    <w:pPr>
      <w:spacing w:after="0" w:line="240" w:lineRule="auto"/>
    </w:pPr>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cPr>
        <w:tcBorders>
          <w:top w:val="nil"/>
          <w:left w:val="nil"/>
          <w:bottom w:val="single" w:sz="12" w:space="0" w:color="F79646" w:themeColor="accent6"/>
          <w:right w:val="nil"/>
        </w:tcBorders>
        <w:shd w:val="clear" w:color="FFFFFF" w:fill="auto"/>
      </w:tcPr>
    </w:tblStylePr>
    <w:tblStylePr w:type="lastRow">
      <w:rPr>
        <w:b/>
        <w:color w:val="404040"/>
      </w:r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GridTable3">
    <w:name w:val="Grid Table 3"/>
    <w:uiPriority w:val="99"/>
    <w:pPr>
      <w:spacing w:after="0" w:line="240" w:lineRule="auto"/>
    </w:pPr>
    <w:rPr/>
    <w:tblPr>
      <w:tblBorders>
        <w:bottom w:val="single" w:sz="4" w:space="0" w:color="696969" w:themeColor="text1" w:themeTint="95"/>
        <w:insideH w:val="single" w:sz="4" w:space="0" w:color="696969" w:themeColor="text1" w:themeTint="95"/>
        <w:insideV w:val="single" w:sz="4" w:space="0" w:color="696969" w:themeColor="text1" w:themeTint="95"/>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GridTable3-Accent1">
    <w:name w:val="Grid Table 3 - Accent 1"/>
    <w:uiPriority w:val="99"/>
    <w:pPr>
      <w:spacing w:after="0" w:line="240" w:lineRule="auto"/>
    </w:pPr>
    <w:rPr/>
    <w:tblPr>
      <w:tblBorders>
        <w:bottom w:val="single" w:sz="4" w:space="0" w:color="5D8BC2" w:themeColor="accent1" w:themeTint="EA"/>
        <w:insideH w:val="single" w:sz="4" w:space="0" w:color="5D8BC2" w:themeColor="accent1" w:themeTint="EA"/>
        <w:insideV w:val="single" w:sz="4" w:space="0" w:color="5D8BC2" w:themeColor="accent1" w:themeTint="EA"/>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GridTable3-Accent2">
    <w:name w:val="Grid Table 3 - Accent 2"/>
    <w:uiPriority w:val="99"/>
    <w:pPr>
      <w:spacing w:after="0" w:line="240" w:lineRule="auto"/>
    </w:pPr>
    <w:rPr/>
    <w:tblPr>
      <w:tblBorders>
        <w:bottom w:val="single" w:sz="4" w:space="0" w:color="D99795" w:themeColor="accent2" w:themeTint="97"/>
        <w:insideH w:val="single" w:sz="4" w:space="0" w:color="D99795" w:themeColor="accent2" w:themeTint="97"/>
        <w:insideV w:val="single" w:sz="4" w:space="0" w:color="D99795" w:themeColor="accent2" w:themeTint="97"/>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GridTable3-Accent3">
    <w:name w:val="Grid Table 3 - Accent 3"/>
    <w:uiPriority w:val="99"/>
    <w:pPr>
      <w:spacing w:after="0" w:line="240" w:lineRule="auto"/>
    </w:pPr>
    <w:rPr/>
    <w:tblPr>
      <w:tblBorders>
        <w:bottom w:val="single" w:sz="4" w:space="0" w:color="9BBB59" w:themeColor="accent3" w:themeTint="FE"/>
        <w:insideH w:val="single" w:sz="4" w:space="0" w:color="9BBB59" w:themeColor="accent3" w:themeTint="FE"/>
        <w:insideV w:val="single" w:sz="4" w:space="0" w:color="9BBB59" w:themeColor="accent3" w:themeTint="FE"/>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GridTable3-Accent4">
    <w:name w:val="Grid Table 3 - Accent 4"/>
    <w:uiPriority w:val="99"/>
    <w:pPr>
      <w:spacing w:after="0" w:line="240" w:lineRule="auto"/>
    </w:pPr>
    <w:rPr/>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GridTable3-Accent5">
    <w:name w:val="Grid Table 3 - Accent 5"/>
    <w:uiPriority w:val="99"/>
    <w:pPr>
      <w:spacing w:after="0" w:line="240" w:lineRule="auto"/>
    </w:pPr>
    <w:rPr/>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GridTable3-Accent6">
    <w:name w:val="Grid Table 3 - Accent 6"/>
    <w:uiPriority w:val="99"/>
    <w:pPr>
      <w:spacing w:after="0" w:line="240" w:lineRule="auto"/>
    </w:pPr>
    <w:rPr/>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GridTable4">
    <w:name w:val="Grid Table 4"/>
    <w:uiPriority w:val="59"/>
    <w:pPr>
      <w:spacing w:after="0" w:line="240" w:lineRule="auto"/>
    </w:pPr>
    <w:rPr/>
    <w:tblPr>
      <w:tblBorders>
        <w:top w:val="single" w:sz="4" w:space="0" w:color="6E6E6E" w:themeColor="text1" w:themeTint="90"/>
        <w:left w:val="single" w:sz="4" w:space="0" w:color="6E6E6E" w:themeColor="text1" w:themeTint="90"/>
        <w:bottom w:val="single" w:sz="4" w:space="0" w:color="6E6E6E" w:themeColor="text1" w:themeTint="90"/>
        <w:right w:val="single" w:sz="4" w:space="0" w:color="6E6E6E" w:themeColor="text1" w:themeTint="90"/>
        <w:insideH w:val="single" w:sz="4" w:space="0" w:color="6E6E6E" w:themeColor="text1" w:themeTint="90"/>
        <w:insideV w:val="single" w:sz="4" w:space="0" w:color="6E6E6E" w:themeColor="text1" w:themeTint="90"/>
      </w:tblBorders>
    </w:tblPr>
    <w:tblStylePr w:type="firstRow">
      <w:rPr>
        <w:rFonts w:ascii="Arial" w:hAnsi="Arial"/>
        <w:b/>
        <w:color w:val="FFFFFF"/>
        <w:sz w:val="22"/>
      </w:rPr>
      <w:tcPr>
        <w:tcBorders>
          <w:top w:val="single" w:sz="4" w:space="0" w:color="auto"/>
          <w:left w:val="single" w:sz="4" w:space="0" w:color="auto"/>
          <w:bottom w:val="single" w:sz="4" w:space="0" w:color="auto"/>
          <w:right w:val="single" w:sz="4" w:space="0" w:color="auto"/>
        </w:tcBorders>
        <w:shd w:val="clear" w:color="000000" w:fill="000000"/>
      </w:tcPr>
    </w:tblStylePr>
    <w:tblStylePr w:type="lastRow">
      <w:rPr>
        <w:b/>
        <w:color w:val="404040"/>
      </w:rPr>
      <w:tcPr>
        <w:tcBorders>
          <w:top w:val="single" w:sz="4" w:space="0" w:color="auto"/>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GridTable4-Accent1">
    <w:name w:val="Grid Table 4 - Accent 1"/>
    <w:uiPriority w:val="59"/>
    <w:pPr>
      <w:spacing w:after="0" w:line="240" w:lineRule="auto"/>
    </w:pPr>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cPr>
        <w:tcBorders>
          <w:top w:val="single" w:sz="4" w:space="0" w:color="5D8BC2" w:themeColor="accent1" w:themeTint="EA"/>
          <w:left w:val="single" w:sz="4" w:space="0" w:color="5D8BC2" w:themeColor="accent1" w:themeTint="EA"/>
          <w:bottom w:val="single" w:sz="4" w:space="0" w:color="5D8BC2" w:themeColor="accent1" w:themeTint="EA"/>
          <w:right w:val="single" w:sz="4" w:space="0" w:color="5D8BC2" w:themeColor="accent1" w:themeTint="EA"/>
        </w:tcBorders>
        <w:shd w:val="clear" w:color="5D8BC2" w:fill="5D8BC2"/>
      </w:tcPr>
    </w:tblStylePr>
    <w:tblStylePr w:type="lastRow">
      <w:rPr>
        <w:b/>
        <w:color w:val="404040"/>
      </w:rPr>
      <w:tcPr>
        <w:tcBorders>
          <w:top w:val="single" w:sz="4" w:space="0" w:color="5D8B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GridTable4-Accent2">
    <w:name w:val="Grid Table 4 - Accent 2"/>
    <w:uiPriority w:val="59"/>
    <w:pPr>
      <w:spacing w:after="0" w:line="240" w:lineRule="auto"/>
    </w:pPr>
    <w:rPr/>
    <w:tblPr>
      <w:tblBorders>
        <w:top w:val="single" w:sz="4" w:space="0" w:color="DB9C9A" w:themeColor="accent2" w:themeTint="90"/>
        <w:left w:val="single" w:sz="4" w:space="0" w:color="DB9C9A" w:themeColor="accent2" w:themeTint="90"/>
        <w:bottom w:val="single" w:sz="4" w:space="0" w:color="DB9C9A" w:themeColor="accent2" w:themeTint="90"/>
        <w:right w:val="single" w:sz="4" w:space="0" w:color="DB9C9A" w:themeColor="accent2" w:themeTint="90"/>
        <w:insideH w:val="single" w:sz="4" w:space="0" w:color="DB9C9A" w:themeColor="accent2" w:themeTint="90"/>
        <w:insideV w:val="single" w:sz="4" w:space="0" w:color="DB9C9A" w:themeColor="accent2" w:themeTint="90"/>
      </w:tblBorders>
    </w:tblPr>
    <w:tblStylePr w:type="firstRow">
      <w:rPr>
        <w:rFonts w:ascii="Arial" w:hAnsi="Arial"/>
        <w:b/>
        <w:color w:val="FFFFFF"/>
        <w:sz w:val="22"/>
      </w:rPr>
      <w:tcPr>
        <w:tc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tcBorders>
        <w:shd w:val="clear" w:color="D99795" w:fill="D99795"/>
      </w:tcPr>
    </w:tblStylePr>
    <w:tblStylePr w:type="lastRow">
      <w:rPr>
        <w:b/>
        <w:color w:val="404040"/>
      </w:rPr>
      <w:tcPr>
        <w:tcBorders>
          <w:top w:val="single" w:sz="4" w:space="0" w:color="D997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GridTable4-Accent3">
    <w:name w:val="Grid Table 4 - Accent 3"/>
    <w:uiPriority w:val="59"/>
    <w:pPr>
      <w:spacing w:after="0" w:line="240" w:lineRule="auto"/>
    </w:pPr>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cPr>
        <w:tcBorders>
          <w:top w:val="single" w:sz="4" w:space="0" w:color="9BBB59" w:themeColor="accent3" w:themeTint="FE"/>
          <w:left w:val="single" w:sz="4" w:space="0" w:color="9BBB59" w:themeColor="accent3" w:themeTint="FE"/>
          <w:bottom w:val="single" w:sz="4" w:space="0" w:color="9BBB59" w:themeColor="accent3" w:themeTint="FE"/>
          <w:right w:val="single" w:sz="4" w:space="0" w:color="9BBB59" w:themeColor="accent3" w:themeTint="FE"/>
        </w:tcBorders>
        <w:shd w:val="clear" w:color="9BBB59" w:fill="9BBB59"/>
      </w:tcPr>
    </w:tblStylePr>
    <w:tblStylePr w:type="lastRow">
      <w:rPr>
        <w:b/>
        <w:color w:val="404040"/>
      </w:rPr>
      <w:tcPr>
        <w:tcBorders>
          <w:top w:val="single" w:sz="4" w:space="0" w:color="9B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GridTable4-Accent4">
    <w:name w:val="Grid Table 4 - Accent 4"/>
    <w:uiPriority w:val="59"/>
    <w:pPr>
      <w:spacing w:after="0" w:line="240" w:lineRule="auto"/>
    </w:pPr>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fill="B2A1C6"/>
      </w:tcPr>
    </w:tblStylePr>
    <w:tblStylePr w:type="lastRow">
      <w:rPr>
        <w:b/>
        <w:color w:val="404040"/>
      </w:r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GridTable4-Accent5">
    <w:name w:val="Grid Table 4 - Accent 5"/>
    <w:uiPriority w:val="59"/>
    <w:pPr>
      <w:spacing w:after="0" w:line="240" w:lineRule="auto"/>
    </w:pPr>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cPr>
    </w:tblStylePr>
    <w:tblStylePr w:type="lastRow">
      <w:rPr>
        <w:b/>
        <w:color w:val="404040"/>
      </w:r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GridTable4-Accent6">
    <w:name w:val="Grid Table 4 - Accent 6"/>
    <w:uiPriority w:val="59"/>
    <w:pPr>
      <w:spacing w:after="0" w:line="240" w:lineRule="auto"/>
    </w:pPr>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cPr>
    </w:tblStylePr>
    <w:tblStylePr w:type="lastRow">
      <w:rPr>
        <w:b/>
        <w:color w:val="404040"/>
      </w:r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GridTable5Dark">
    <w:name w:val="Grid Table 5 Dark"/>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sz="4" w:space="0" w:color="FFFFFF" w:themeColor="light1"/>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rPr/>
      <w:tcPr>
        <w:shd w:val="clear" w:color="898989" w:fill="898989"/>
      </w:tcPr>
    </w:tblStylePr>
    <w:tblStylePr w:type="band1Horz">
      <w:rPr/>
      <w:tcPr>
        <w:shd w:val="clear" w:color="898989" w:fill="898989"/>
      </w:tcPr>
    </w:tblStylePr>
  </w:style>
  <w:style w:type="table" w:customStyle="1" w:styleId="GridTable5Dark-Accent1">
    <w:name w:val="Grid Table 5 Dark- Accent 1"/>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sz="4" w:space="0" w:color="FFFFFF" w:themeColor="light1"/>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rPr/>
      <w:tcPr>
        <w:shd w:val="clear" w:color="AEC5E0" w:fill="AEC5E0"/>
      </w:tcPr>
    </w:tblStylePr>
    <w:tblStylePr w:type="band1Horz">
      <w:rPr/>
      <w:tcPr>
        <w:shd w:val="clear" w:color="AEC5E0" w:fill="AEC5E0"/>
      </w:tcPr>
    </w:tblStylePr>
  </w:style>
  <w:style w:type="table" w:customStyle="1" w:styleId="GridTable5Dark-Accent2">
    <w:name w:val="Grid Table 5 Dark - Accent 2"/>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sz="4" w:space="0" w:color="FFFFFF" w:themeColor="light1"/>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rPr/>
      <w:tcPr>
        <w:shd w:val="clear" w:color="E2AEAD" w:fill="E2AEAD"/>
      </w:tcPr>
    </w:tblStylePr>
    <w:tblStylePr w:type="band1Horz">
      <w:rPr/>
      <w:tcPr>
        <w:shd w:val="clear" w:color="E2AEAD" w:fill="E2AEAD"/>
      </w:tcPr>
    </w:tblStylePr>
  </w:style>
  <w:style w:type="table" w:customStyle="1" w:styleId="GridTable5Dark-Accent3">
    <w:name w:val="Grid Table 5 Dark - Accent 3"/>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sz="4" w:space="0" w:color="FFFFFF" w:themeColor="light1"/>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rPr/>
      <w:tcPr>
        <w:shd w:val="clear" w:color="D1DFB2" w:fill="D1DFB2"/>
      </w:tcPr>
    </w:tblStylePr>
    <w:tblStylePr w:type="band1Horz">
      <w:rPr/>
      <w:tcPr>
        <w:shd w:val="clear" w:color="D1DFB2" w:fill="D1DFB2"/>
      </w:tcPr>
    </w:tblStylePr>
  </w:style>
  <w:style w:type="table" w:customStyle="1" w:styleId="GridTable5Dark-Accent4">
    <w:name w:val="Grid Table 5 Dark- Accent 4"/>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sz="4" w:space="0" w:color="FFFFFF" w:themeColor="light1"/>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rPr/>
      <w:tcPr>
        <w:shd w:val="clear" w:color="C4B7D4" w:fill="C4B7D4"/>
      </w:tcPr>
    </w:tblStylePr>
    <w:tblStylePr w:type="band1Horz">
      <w:rPr/>
      <w:tcPr>
        <w:shd w:val="clear" w:color="C4B7D4" w:fill="C4B7D4"/>
      </w:tcPr>
    </w:tblStylePr>
  </w:style>
  <w:style w:type="table" w:customStyle="1" w:styleId="GridTable5Dark-Accent5">
    <w:name w:val="Grid Table 5 Dark - Accent 5"/>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sz="4" w:space="0" w:color="FFFFFF" w:themeColor="light1"/>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rPr/>
      <w:tcPr>
        <w:shd w:val="clear" w:color="ACD8E4" w:fill="ACD8E4"/>
      </w:tcPr>
    </w:tblStylePr>
    <w:tblStylePr w:type="band1Horz">
      <w:rPr/>
      <w:tcPr>
        <w:shd w:val="clear" w:color="ACD8E4" w:fill="ACD8E4"/>
      </w:tcPr>
    </w:tblStylePr>
  </w:style>
  <w:style w:type="table" w:customStyle="1" w:styleId="GridTable5Dark-Accent6">
    <w:name w:val="Grid Table 5 Dark - Accent 6"/>
    <w:uiPriority w:val="99"/>
    <w:pPr>
      <w:spacing w:after="0" w:line="240" w:lineRule="auto"/>
    </w:pPr>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sz="4" w:space="0" w:color="FFFFFF" w:themeColor="light1"/>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rPr/>
      <w:tcPr>
        <w:shd w:val="clear" w:color="FBCEAA" w:fill="FBCEAA"/>
      </w:tcPr>
    </w:tblStylePr>
    <w:tblStylePr w:type="band1Horz">
      <w:rPr/>
      <w:tcPr>
        <w:shd w:val="clear" w:color="FBCEAA" w:fill="FBCEAA"/>
      </w:tcPr>
    </w:tblStylePr>
  </w:style>
  <w:style w:type="table" w:customStyle="1" w:styleId="GridTable6Colorful">
    <w:name w:val="Grid Table 6 Colorful"/>
    <w:uiPriority w:val="99"/>
    <w:pPr>
      <w:spacing w:after="0" w:line="240" w:lineRule="auto"/>
    </w:pPr>
    <w:rPr/>
    <w:tblPr>
      <w:tblBorders>
        <w:top w:val="single" w:sz="4" w:space="0" w:color="7E7E7E" w:themeColor="text1" w:themeTint="80"/>
        <w:left w:val="single" w:sz="4" w:space="0" w:color="7E7E7E" w:themeColor="text1" w:themeTint="80"/>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Pr>
    <w:tblStylePr w:type="firstRow">
      <w:rPr>
        <w:b/>
        <w:color w:val="7E7E7E" w:themeColor="text1" w:themeShade="95" w:themeTint="80"/>
      </w:rPr>
      <w:tcPr>
        <w:tcBorders>
          <w:bottom w:val="single" w:sz="12" w:space="0" w:color="7E7E7E" w:themeColor="text1" w:themeTint="8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rPr/>
      <w:tcPr>
        <w:shd w:val="clear" w:color="CACACA" w:fill="CACACA"/>
      </w:tcPr>
    </w:tblStylePr>
    <w:tblStylePr w:type="band1Horz">
      <w:rPr>
        <w:rFonts w:ascii="Arial" w:hAnsi="Arial"/>
        <w:color w:val="7E7E7E" w:themeColor="text1" w:themeShade="95" w:themeTint="80"/>
        <w:sz w:val="22"/>
      </w:rPr>
      <w:tcPr>
        <w:shd w:val="clear" w:color="CACACA" w:fill="CACACA"/>
      </w:tcPr>
    </w:tblStylePr>
    <w:tblStylePr w:type="band2Horz">
      <w:rPr>
        <w:rFonts w:ascii="Arial" w:hAnsi="Arial"/>
        <w:color w:val="7E7E7E" w:themeColor="text1" w:themeShade="95" w:themeTint="80"/>
        <w:sz w:val="22"/>
      </w:rPr>
    </w:tblStylePr>
  </w:style>
  <w:style w:type="table" w:customStyle="1" w:styleId="GridTable6Colorful-Accent1">
    <w:name w:val="Grid Table 6 Colorful - Accent 1"/>
    <w:uiPriority w:val="99"/>
    <w:pPr>
      <w:spacing w:after="0" w:line="240" w:lineRule="auto"/>
    </w:pPr>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Shade="95" w:themeTint="80"/>
      </w:rPr>
      <w:tcPr>
        <w:tcBorders>
          <w:bottom w:val="single" w:sz="12" w:space="0" w:color="A6BFDD" w:themeColor="accent1" w:themeTint="8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rPr/>
      <w:tcPr>
        <w:shd w:val="clear" w:color="DBE5F1" w:fill="DBE5F1"/>
      </w:tcPr>
    </w:tblStylePr>
    <w:tblStylePr w:type="band1Horz">
      <w:rPr>
        <w:rFonts w:ascii="Arial" w:hAnsi="Arial"/>
        <w:color w:val="A6BFDD" w:themeColor="accent1" w:themeShade="95" w:themeTint="80"/>
        <w:sz w:val="22"/>
      </w:rPr>
      <w:tcPr>
        <w:shd w:val="clear" w:color="DBE5F1" w:fill="DBE5F1"/>
      </w:tcPr>
    </w:tblStylePr>
    <w:tblStylePr w:type="band2Horz">
      <w:rPr>
        <w:rFonts w:ascii="Arial" w:hAnsi="Arial"/>
        <w:color w:val="A6BFDD" w:themeColor="accent1" w:themeShade="95" w:themeTint="80"/>
        <w:sz w:val="22"/>
      </w:rPr>
    </w:tblStylePr>
  </w:style>
  <w:style w:type="table" w:customStyle="1" w:styleId="GridTable6Colorful-Accent2">
    <w:name w:val="Grid Table 6 Colorful - Accent 2"/>
    <w:uiPriority w:val="99"/>
    <w:pPr>
      <w:spacing w:after="0" w:line="240" w:lineRule="auto"/>
    </w:pPr>
    <w:rPr/>
    <w:tblPr>
      <w:tbl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insideH w:val="single" w:sz="4" w:space="0" w:color="D99795" w:themeColor="accent2" w:themeTint="97"/>
        <w:insideV w:val="single" w:sz="4" w:space="0" w:color="D99795" w:themeColor="accent2" w:themeTint="97"/>
      </w:tblBorders>
    </w:tblPr>
    <w:tblStylePr w:type="firstRow">
      <w:rPr>
        <w:b/>
        <w:color w:val="D99795" w:themeColor="accent2" w:themeShade="95" w:themeTint="97"/>
      </w:rPr>
      <w:tcPr>
        <w:tcBorders>
          <w:bottom w:val="single" w:sz="12" w:space="0" w:color="D99795" w:themeColor="accent2" w:themeTint="97"/>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rPr/>
      <w:tcPr>
        <w:shd w:val="clear" w:color="F2DCDC" w:fill="F2DCDC"/>
      </w:tcPr>
    </w:tblStylePr>
    <w:tblStylePr w:type="band1Horz">
      <w:rPr>
        <w:rFonts w:ascii="Arial" w:hAnsi="Arial"/>
        <w:color w:val="D99795" w:themeColor="accent2" w:themeShade="95" w:themeTint="97"/>
        <w:sz w:val="22"/>
      </w:rPr>
      <w:tcPr>
        <w:shd w:val="clear" w:color="F2DCDC" w:fill="F2DCDC"/>
      </w:tcPr>
    </w:tblStylePr>
    <w:tblStylePr w:type="band2Horz">
      <w:rPr>
        <w:rFonts w:ascii="Arial" w:hAnsi="Arial"/>
        <w:color w:val="D99795" w:themeColor="accent2" w:themeShade="95" w:themeTint="97"/>
        <w:sz w:val="22"/>
      </w:rPr>
    </w:tblStylePr>
  </w:style>
  <w:style w:type="table" w:customStyle="1" w:styleId="GridTable6Colorful-Accent3">
    <w:name w:val="Grid Table 6 Colorful - Accent 3"/>
    <w:uiPriority w:val="99"/>
    <w:pPr>
      <w:spacing w:after="0" w:line="240" w:lineRule="auto"/>
    </w:pPr>
    <w:rPr/>
    <w:tblPr>
      <w:tblBorders>
        <w:top w:val="single" w:sz="4" w:space="0" w:color="9BBB59" w:themeColor="accent3" w:themeTint="FE"/>
        <w:left w:val="single" w:sz="4" w:space="0" w:color="9BBB59" w:themeColor="accent3" w:themeTint="FE"/>
        <w:bottom w:val="single" w:sz="4" w:space="0" w:color="9BBB59" w:themeColor="accent3" w:themeTint="FE"/>
        <w:right w:val="single" w:sz="4" w:space="0" w:color="9BBB59" w:themeColor="accent3" w:themeTint="FE"/>
        <w:insideH w:val="single" w:sz="4" w:space="0" w:color="9BBB59" w:themeColor="accent3" w:themeTint="FE"/>
        <w:insideV w:val="single" w:sz="4" w:space="0" w:color="9BBB59" w:themeColor="accent3" w:themeTint="FE"/>
      </w:tblBorders>
    </w:tblPr>
    <w:tblStylePr w:type="firstRow">
      <w:rPr>
        <w:b/>
        <w:color w:val="9BBB59" w:themeColor="accent3" w:themeShade="95" w:themeTint="FE"/>
      </w:rPr>
      <w:tcPr>
        <w:tcBorders>
          <w:bottom w:val="single" w:sz="12" w:space="0" w:color="9BBB59" w:themeColor="accent3" w:themeTint="FE"/>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rPr/>
      <w:tcPr>
        <w:shd w:val="clear" w:color="EAF1DD" w:fill="EAF1DD"/>
      </w:tcPr>
    </w:tblStylePr>
    <w:tblStylePr w:type="band1Horz">
      <w:rPr>
        <w:rFonts w:ascii="Arial" w:hAnsi="Arial"/>
        <w:color w:val="9BBB59" w:themeColor="accent3" w:themeShade="95" w:themeTint="FE"/>
        <w:sz w:val="22"/>
      </w:rPr>
      <w:tcPr>
        <w:shd w:val="clear" w:color="EAF1DD" w:fill="EAF1DD"/>
      </w:tcPr>
    </w:tblStylePr>
    <w:tblStylePr w:type="band2Horz">
      <w:rPr>
        <w:rFonts w:ascii="Arial" w:hAnsi="Arial"/>
        <w:color w:val="9BBB59" w:themeColor="accent3" w:themeShade="95" w:themeTint="FE"/>
        <w:sz w:val="22"/>
      </w:rPr>
    </w:tblStylePr>
  </w:style>
  <w:style w:type="table" w:customStyle="1" w:styleId="GridTable6Colorful-Accent4">
    <w:name w:val="Grid Table 6 Colorful - Accent 4"/>
    <w:uiPriority w:val="99"/>
    <w:pPr>
      <w:spacing w:after="0" w:line="240" w:lineRule="auto"/>
    </w:pPr>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Shade="95" w:themeTint="9A"/>
      </w:rPr>
      <w:tcPr>
        <w:tcBorders>
          <w:bottom w:val="single" w:sz="12" w:space="0" w:color="B2A1C6" w:themeColor="accent4" w:themeTint="9A"/>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rPr/>
      <w:tcPr>
        <w:shd w:val="clear" w:color="E5DFEC" w:fill="E5DFEC"/>
      </w:tcPr>
    </w:tblStylePr>
    <w:tblStylePr w:type="band1Horz">
      <w:rPr>
        <w:rFonts w:ascii="Arial" w:hAnsi="Arial"/>
        <w:color w:val="B2A1C6" w:themeColor="accent4" w:themeShade="95" w:themeTint="9A"/>
        <w:sz w:val="22"/>
      </w:rPr>
      <w:tcPr>
        <w:shd w:val="clear" w:color="E5DFEC" w:fill="E5DFEC"/>
      </w:tcPr>
    </w:tblStylePr>
    <w:tblStylePr w:type="band2Horz">
      <w:rPr>
        <w:rFonts w:ascii="Arial" w:hAnsi="Arial"/>
        <w:color w:val="B2A1C6" w:themeColor="accent4" w:themeShade="95" w:themeTint="9A"/>
        <w:sz w:val="22"/>
      </w:rPr>
    </w:tblStylePr>
  </w:style>
  <w:style w:type="table" w:customStyle="1" w:styleId="GridTable6Colorful-Accent5">
    <w:name w:val="Grid Table 6 Colorful - Accent 5"/>
    <w:uiPriority w:val="99"/>
    <w:pPr>
      <w:spacing w:after="0" w:line="240" w:lineRule="auto"/>
    </w:pPr>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rPr/>
      <w:tcPr>
        <w:shd w:val="clear" w:color="DAEEF3" w:fill="DAEEF3"/>
      </w:tcPr>
    </w:tblStylePr>
    <w:tblStylePr w:type="band1Horz">
      <w:rPr>
        <w:rFonts w:ascii="Arial" w:hAnsi="Arial"/>
        <w:color w:val="266779" w:themeColor="accent5" w:themeShade="95"/>
        <w:sz w:val="22"/>
      </w:rPr>
      <w:tcPr>
        <w:shd w:val="clear" w:color="DAEEF3"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pPr>
      <w:spacing w:after="0" w:line="240" w:lineRule="auto"/>
    </w:pPr>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rPr/>
      <w:tcPr>
        <w:shd w:val="clear" w:color="FDE9D9" w:fill="FDE9D9"/>
      </w:tcPr>
    </w:tblStylePr>
    <w:tblStylePr w:type="band1Horz">
      <w:rPr>
        <w:rFonts w:ascii="Arial" w:hAnsi="Arial"/>
        <w:color w:val="266779" w:themeColor="accent5" w:themeShade="95"/>
        <w:sz w:val="22"/>
      </w:rPr>
      <w:tcPr>
        <w:shd w:val="clear" w:color="FDE9D9" w:fill="FDE9D9"/>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pPr>
      <w:spacing w:after="0" w:line="240" w:lineRule="auto"/>
    </w:pPr>
    <w:rPr/>
    <w:tblPr>
      <w:tblBorders>
        <w:bottom w:val="single" w:sz="4" w:space="0" w:color="7E7E7E" w:themeColor="text1" w:themeTint="80"/>
        <w:right w:val="single" w:sz="4" w:space="0" w:color="7E7E7E" w:themeColor="text1" w:themeTint="80"/>
        <w:insideH w:val="single" w:sz="4" w:space="0" w:color="7E7E7E" w:themeColor="text1" w:themeTint="80"/>
        <w:insideV w:val="single" w:sz="4" w:space="0" w:color="7E7E7E" w:themeColor="text1" w:themeTint="80"/>
      </w:tblBorders>
    </w:tblPr>
    <w:tblStylePr w:type="firstRow">
      <w:rPr>
        <w:rFonts w:ascii="Arial" w:hAnsi="Arial"/>
        <w:b/>
        <w:color w:val="7E7E7E" w:themeColor="text1" w:themeShade="95" w:themeTint="80"/>
        <w:sz w:val="22"/>
      </w:rPr>
      <w:tcPr>
        <w:tcBorders>
          <w:top w:val="nil"/>
          <w:left w:val="nil"/>
          <w:bottom w:val="single" w:sz="4" w:space="0" w:color="7E7E7E" w:themeColor="text1" w:themeTint="80"/>
          <w:right w:val="nil"/>
        </w:tcBorders>
        <w:shd w:val="clear" w:color="FFFFFF" w:fill="FFFFFF"/>
      </w:tcPr>
    </w:tblStylePr>
    <w:tblStylePr w:type="lastRow">
      <w:rPr>
        <w:rFonts w:ascii="Arial" w:hAnsi="Arial"/>
        <w:b/>
        <w:color w:val="7E7E7E" w:themeColor="text1" w:themeShade="95" w:themeTint="80"/>
        <w:sz w:val="22"/>
      </w:rPr>
      <w:tcPr>
        <w:tcBorders>
          <w:top w:val="single" w:sz="4" w:space="0" w:color="7E7E7E" w:themeColor="text1" w:themeTint="80"/>
          <w:left w:val="nil"/>
          <w:bottom w:val="nil"/>
          <w:right w:val="nil"/>
        </w:tcBorders>
        <w:shd w:val="clear" w:color="FFFFFF" w:fill="FFFFFF"/>
      </w:tcPr>
    </w:tblStylePr>
    <w:tblStylePr w:type="firstCol">
      <w:pPr>
        <w:jc w:val="right"/>
      </w:pPr>
      <w:rPr>
        <w:rFonts w:ascii="Arial" w:hAnsi="Arial"/>
        <w:i/>
        <w:color w:val="7E7E7E" w:themeColor="text1" w:themeShade="95" w:themeTint="80"/>
        <w:sz w:val="22"/>
      </w:rPr>
      <w:tcPr>
        <w:tcBorders>
          <w:top w:val="nil"/>
          <w:left w:val="nil"/>
          <w:bottom w:val="nil"/>
          <w:right w:val="single" w:sz="4" w:space="0" w:color="7E7E7E" w:themeColor="text1" w:themeTint="80"/>
        </w:tcBorders>
        <w:shd w:val="clear" w:color="FFFFFF" w:fill="auto"/>
      </w:tcPr>
    </w:tblStylePr>
    <w:tblStylePr w:type="lastCol">
      <w:rPr>
        <w:rFonts w:ascii="Arial" w:hAnsi="Arial"/>
        <w:i/>
        <w:color w:val="7E7E7E" w:themeColor="text1" w:themeShade="95" w:themeTint="80"/>
        <w:sz w:val="22"/>
      </w:rPr>
      <w:tcPr>
        <w:tcBorders>
          <w:top w:val="nil"/>
          <w:left w:val="single" w:sz="4" w:space="0" w:color="7E7E7E" w:themeColor="text1" w:themeTint="80"/>
          <w:bottom w:val="nil"/>
          <w:right w:val="nil"/>
        </w:tcBorders>
        <w:shd w:val="clear" w:color="FFFFFF" w:fill="auto"/>
      </w:tcPr>
    </w:tblStylePr>
    <w:tblStylePr w:type="band1Vert">
      <w:rPr/>
      <w:tcPr>
        <w:shd w:val="clear" w:color="F1F1F1" w:fill="F1F1F1"/>
      </w:tcPr>
    </w:tblStylePr>
    <w:tblStylePr w:type="band1Horz">
      <w:rPr>
        <w:rFonts w:ascii="Arial" w:hAnsi="Arial"/>
        <w:color w:val="7E7E7E" w:themeColor="text1" w:themeShade="95" w:themeTint="80"/>
        <w:sz w:val="22"/>
      </w:rPr>
      <w:tcPr>
        <w:shd w:val="clear" w:color="F1F1F1" w:fill="F1F1F1"/>
      </w:tcPr>
    </w:tblStylePr>
    <w:tblStylePr w:type="band2Horz">
      <w:rPr>
        <w:rFonts w:ascii="Arial" w:hAnsi="Arial"/>
        <w:color w:val="7E7E7E" w:themeColor="text1" w:themeShade="95" w:themeTint="80"/>
        <w:sz w:val="22"/>
      </w:rPr>
    </w:tblStylePr>
  </w:style>
  <w:style w:type="table" w:customStyle="1" w:styleId="GridTable7Colorful-Accent1">
    <w:name w:val="Grid Table 7 Colorful - Accent 1"/>
    <w:uiPriority w:val="99"/>
    <w:pPr>
      <w:spacing w:after="0" w:line="240" w:lineRule="auto"/>
    </w:pPr>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Shade="95" w:themeTint="80"/>
        <w:sz w:val="22"/>
      </w:rPr>
      <w:tcPr>
        <w:tcBorders>
          <w:top w:val="nil"/>
          <w:left w:val="nil"/>
          <w:bottom w:val="single" w:sz="4" w:space="0" w:color="A6BFDD" w:themeColor="accent1" w:themeTint="80"/>
          <w:right w:val="nil"/>
        </w:tcBorders>
        <w:shd w:val="clear" w:color="FFFFFF" w:fill="FFFFFF"/>
      </w:tcPr>
    </w:tblStylePr>
    <w:tblStylePr w:type="lastRow">
      <w:rPr>
        <w:rFonts w:ascii="Arial" w:hAnsi="Arial"/>
        <w:b/>
        <w:color w:val="A6BFDD" w:themeColor="accent1" w:themeShade="95" w:themeTint="80"/>
        <w:sz w:val="22"/>
      </w:rPr>
      <w:tcPr>
        <w:tcBorders>
          <w:top w:val="single" w:sz="4" w:space="0" w:color="A6BFDD" w:themeColor="accent1" w:themeTint="80"/>
          <w:left w:val="nil"/>
          <w:bottom w:val="nil"/>
          <w:right w:val="nil"/>
        </w:tcBorders>
        <w:shd w:val="clear" w:color="FFFFFF" w:fill="FFFFFF"/>
      </w:tcPr>
    </w:tblStylePr>
    <w:tblStylePr w:type="firstCol">
      <w:pPr>
        <w:jc w:val="right"/>
      </w:pPr>
      <w:rPr>
        <w:rFonts w:ascii="Arial" w:hAnsi="Arial"/>
        <w:i/>
        <w:color w:val="A6BFDD" w:themeColor="accent1" w:themeShade="95" w:themeTint="80"/>
        <w:sz w:val="22"/>
      </w:r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Shade="95" w:themeTint="80"/>
        <w:sz w:val="22"/>
      </w:rPr>
      <w:tcPr>
        <w:tcBorders>
          <w:top w:val="nil"/>
          <w:left w:val="single" w:sz="4" w:space="0" w:color="A6BFDD" w:themeColor="accent1" w:themeTint="80"/>
          <w:bottom w:val="nil"/>
          <w:right w:val="nil"/>
        </w:tcBorders>
        <w:shd w:val="clear" w:color="FFFFFF" w:fill="auto"/>
      </w:tcPr>
    </w:tblStylePr>
    <w:tblStylePr w:type="band1Vert">
      <w:rPr/>
      <w:tcPr>
        <w:shd w:val="clear" w:color="DBE5F1" w:fill="DBE5F1"/>
      </w:tcPr>
    </w:tblStylePr>
    <w:tblStylePr w:type="band1Horz">
      <w:rPr>
        <w:rFonts w:ascii="Arial" w:hAnsi="Arial"/>
        <w:color w:val="A6BFDD" w:themeColor="accent1" w:themeShade="95" w:themeTint="80"/>
        <w:sz w:val="22"/>
      </w:rPr>
      <w:tcPr>
        <w:shd w:val="clear" w:color="DBE5F1" w:fill="DBE5F1"/>
      </w:tcPr>
    </w:tblStylePr>
    <w:tblStylePr w:type="band2Horz">
      <w:rPr>
        <w:rFonts w:ascii="Arial" w:hAnsi="Arial"/>
        <w:color w:val="A6BFDD" w:themeColor="accent1" w:themeShade="95" w:themeTint="80"/>
        <w:sz w:val="22"/>
      </w:rPr>
    </w:tblStylePr>
  </w:style>
  <w:style w:type="table" w:customStyle="1" w:styleId="GridTable7Colorful-Accent2">
    <w:name w:val="Grid Table 7 Colorful - Accent 2"/>
    <w:uiPriority w:val="99"/>
    <w:pPr>
      <w:spacing w:after="0" w:line="240" w:lineRule="auto"/>
    </w:pPr>
    <w:rPr/>
    <w:tblPr>
      <w:tblBorders>
        <w:bottom w:val="single" w:sz="4" w:space="0" w:color="D99795" w:themeColor="accent2" w:themeTint="97"/>
        <w:right w:val="single" w:sz="4" w:space="0" w:color="D99795" w:themeColor="accent2" w:themeTint="97"/>
        <w:insideH w:val="single" w:sz="4" w:space="0" w:color="D99795" w:themeColor="accent2" w:themeTint="97"/>
        <w:insideV w:val="single" w:sz="4" w:space="0" w:color="D99795" w:themeColor="accent2" w:themeTint="97"/>
      </w:tblBorders>
    </w:tblPr>
    <w:tblStylePr w:type="firstRow">
      <w:rPr>
        <w:rFonts w:ascii="Arial" w:hAnsi="Arial"/>
        <w:b/>
        <w:color w:val="D99795" w:themeColor="accent2" w:themeShade="95" w:themeTint="97"/>
        <w:sz w:val="22"/>
      </w:rPr>
      <w:tcPr>
        <w:tcBorders>
          <w:top w:val="nil"/>
          <w:left w:val="nil"/>
          <w:bottom w:val="single" w:sz="4" w:space="0" w:color="D99795" w:themeColor="accent2" w:themeTint="97"/>
          <w:right w:val="nil"/>
        </w:tcBorders>
        <w:shd w:val="clear" w:color="FFFFFF" w:fill="FFFFFF"/>
      </w:tcPr>
    </w:tblStylePr>
    <w:tblStylePr w:type="lastRow">
      <w:rPr>
        <w:rFonts w:ascii="Arial" w:hAnsi="Arial"/>
        <w:b/>
        <w:color w:val="D99795" w:themeColor="accent2" w:themeShade="95" w:themeTint="97"/>
        <w:sz w:val="22"/>
      </w:rPr>
      <w:tcPr>
        <w:tcBorders>
          <w:top w:val="single" w:sz="4" w:space="0" w:color="D99795" w:themeColor="accent2" w:themeTint="97"/>
          <w:left w:val="nil"/>
          <w:bottom w:val="nil"/>
          <w:right w:val="nil"/>
        </w:tcBorders>
        <w:shd w:val="clear" w:color="FFFFFF" w:fill="FFFFFF"/>
      </w:tcPr>
    </w:tblStylePr>
    <w:tblStylePr w:type="firstCol">
      <w:pPr>
        <w:jc w:val="right"/>
      </w:pPr>
      <w:rPr>
        <w:rFonts w:ascii="Arial" w:hAnsi="Arial"/>
        <w:i/>
        <w:color w:val="D99795" w:themeColor="accent2" w:themeShade="95" w:themeTint="97"/>
        <w:sz w:val="22"/>
      </w:rPr>
      <w:tcPr>
        <w:tcBorders>
          <w:top w:val="nil"/>
          <w:left w:val="nil"/>
          <w:bottom w:val="nil"/>
          <w:right w:val="single" w:sz="4" w:space="0" w:color="D99795" w:themeColor="accent2" w:themeTint="97"/>
        </w:tcBorders>
        <w:shd w:val="clear" w:color="FFFFFF" w:fill="auto"/>
      </w:tcPr>
    </w:tblStylePr>
    <w:tblStylePr w:type="lastCol">
      <w:rPr>
        <w:rFonts w:ascii="Arial" w:hAnsi="Arial"/>
        <w:i/>
        <w:color w:val="D99795" w:themeColor="accent2" w:themeShade="95" w:themeTint="97"/>
        <w:sz w:val="22"/>
      </w:rPr>
      <w:tcPr>
        <w:tcBorders>
          <w:top w:val="nil"/>
          <w:left w:val="single" w:sz="4" w:space="0" w:color="D99795" w:themeColor="accent2" w:themeTint="97"/>
          <w:bottom w:val="nil"/>
          <w:right w:val="nil"/>
        </w:tcBorders>
        <w:shd w:val="clear" w:color="FFFFFF" w:fill="auto"/>
      </w:tcPr>
    </w:tblStylePr>
    <w:tblStylePr w:type="band1Vert">
      <w:rPr/>
      <w:tcPr>
        <w:shd w:val="clear" w:color="F2DCDC" w:fill="F2DCDC"/>
      </w:tcPr>
    </w:tblStylePr>
    <w:tblStylePr w:type="band1Horz">
      <w:rPr>
        <w:rFonts w:ascii="Arial" w:hAnsi="Arial"/>
        <w:color w:val="D99795" w:themeColor="accent2" w:themeShade="95" w:themeTint="97"/>
        <w:sz w:val="22"/>
      </w:rPr>
      <w:tcPr>
        <w:shd w:val="clear" w:color="F2DCDC" w:fill="F2DCDC"/>
      </w:tcPr>
    </w:tblStylePr>
    <w:tblStylePr w:type="band2Horz">
      <w:rPr>
        <w:rFonts w:ascii="Arial" w:hAnsi="Arial"/>
        <w:color w:val="D99795" w:themeColor="accent2" w:themeShade="95" w:themeTint="97"/>
        <w:sz w:val="22"/>
      </w:rPr>
    </w:tblStylePr>
  </w:style>
  <w:style w:type="table" w:customStyle="1" w:styleId="GridTable7Colorful-Accent3">
    <w:name w:val="Grid Table 7 Colorful - Accent 3"/>
    <w:uiPriority w:val="99"/>
    <w:pPr>
      <w:spacing w:after="0" w:line="240" w:lineRule="auto"/>
    </w:pPr>
    <w:rPr/>
    <w:tblPr>
      <w:tblBorders>
        <w:bottom w:val="single" w:sz="4" w:space="0" w:color="9BBB59" w:themeColor="accent3" w:themeTint="FE"/>
        <w:right w:val="single" w:sz="4" w:space="0" w:color="9BBB59" w:themeColor="accent3" w:themeTint="FE"/>
        <w:insideH w:val="single" w:sz="4" w:space="0" w:color="9BBB59" w:themeColor="accent3" w:themeTint="FE"/>
        <w:insideV w:val="single" w:sz="4" w:space="0" w:color="9BBB59" w:themeColor="accent3" w:themeTint="FE"/>
      </w:tblBorders>
    </w:tblPr>
    <w:tblStylePr w:type="firstRow">
      <w:rPr>
        <w:rFonts w:ascii="Arial" w:hAnsi="Arial"/>
        <w:b/>
        <w:color w:val="9BBB59" w:themeColor="accent3" w:themeShade="95" w:themeTint="FE"/>
        <w:sz w:val="22"/>
      </w:rPr>
      <w:tcPr>
        <w:tcBorders>
          <w:top w:val="nil"/>
          <w:left w:val="nil"/>
          <w:bottom w:val="single" w:sz="4" w:space="0" w:color="9BBB59" w:themeColor="accent3" w:themeTint="FE"/>
          <w:right w:val="nil"/>
        </w:tcBorders>
        <w:shd w:val="clear" w:color="FFFFFF" w:fill="FFFFFF"/>
      </w:tcPr>
    </w:tblStylePr>
    <w:tblStylePr w:type="lastRow">
      <w:rPr>
        <w:rFonts w:ascii="Arial" w:hAnsi="Arial"/>
        <w:b/>
        <w:color w:val="9BBB59" w:themeColor="accent3" w:themeShade="95" w:themeTint="FE"/>
        <w:sz w:val="22"/>
      </w:rPr>
      <w:tcPr>
        <w:tcBorders>
          <w:top w:val="single" w:sz="4" w:space="0" w:color="9BBB59" w:themeColor="accent3" w:themeTint="FE"/>
          <w:left w:val="nil"/>
          <w:bottom w:val="nil"/>
          <w:right w:val="nil"/>
        </w:tcBorders>
        <w:shd w:val="clear" w:color="FFFFFF" w:fill="FFFFFF"/>
      </w:tcPr>
    </w:tblStylePr>
    <w:tblStylePr w:type="firstCol">
      <w:pPr>
        <w:jc w:val="right"/>
      </w:pPr>
      <w:rPr>
        <w:rFonts w:ascii="Arial" w:hAnsi="Arial"/>
        <w:i/>
        <w:color w:val="9BBB59" w:themeColor="accent3" w:themeShade="95" w:themeTint="FE"/>
        <w:sz w:val="22"/>
      </w:rPr>
      <w:tcPr>
        <w:tcBorders>
          <w:top w:val="nil"/>
          <w:left w:val="nil"/>
          <w:bottom w:val="nil"/>
          <w:right w:val="single" w:sz="4" w:space="0" w:color="9BBB59" w:themeColor="accent3" w:themeTint="FE"/>
        </w:tcBorders>
        <w:shd w:val="clear" w:color="FFFFFF" w:fill="auto"/>
      </w:tcPr>
    </w:tblStylePr>
    <w:tblStylePr w:type="lastCol">
      <w:rPr>
        <w:rFonts w:ascii="Arial" w:hAnsi="Arial"/>
        <w:i/>
        <w:color w:val="9BBB59" w:themeColor="accent3" w:themeShade="95" w:themeTint="FE"/>
        <w:sz w:val="22"/>
      </w:rPr>
      <w:tcPr>
        <w:tcBorders>
          <w:top w:val="nil"/>
          <w:left w:val="single" w:sz="4" w:space="0" w:color="9BBB59" w:themeColor="accent3" w:themeTint="FE"/>
          <w:bottom w:val="nil"/>
          <w:right w:val="nil"/>
        </w:tcBorders>
        <w:shd w:val="clear" w:color="FFFFFF" w:fill="auto"/>
      </w:tcPr>
    </w:tblStylePr>
    <w:tblStylePr w:type="band1Vert">
      <w:rPr/>
      <w:tcPr>
        <w:shd w:val="clear" w:color="EAF1DD" w:fill="EAF1DD"/>
      </w:tcPr>
    </w:tblStylePr>
    <w:tblStylePr w:type="band1Horz">
      <w:rPr>
        <w:rFonts w:ascii="Arial" w:hAnsi="Arial"/>
        <w:color w:val="9BBB59" w:themeColor="accent3" w:themeShade="95" w:themeTint="FE"/>
        <w:sz w:val="22"/>
      </w:rPr>
      <w:tcPr>
        <w:shd w:val="clear" w:color="EAF1DD" w:fill="EAF1DD"/>
      </w:tcPr>
    </w:tblStylePr>
    <w:tblStylePr w:type="band2Horz">
      <w:rPr>
        <w:rFonts w:ascii="Arial" w:hAnsi="Arial"/>
        <w:color w:val="9BBB59" w:themeColor="accent3" w:themeShade="95" w:themeTint="FE"/>
        <w:sz w:val="22"/>
      </w:rPr>
    </w:tblStylePr>
  </w:style>
  <w:style w:type="table" w:customStyle="1" w:styleId="GridTable7Colorful-Accent4">
    <w:name w:val="Grid Table 7 Colorful - Accent 4"/>
    <w:uiPriority w:val="99"/>
    <w:pPr>
      <w:spacing w:after="0" w:line="240" w:lineRule="auto"/>
    </w:pPr>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Shade="95" w:themeTint="9A"/>
        <w:sz w:val="22"/>
      </w:rPr>
      <w:tcPr>
        <w:tcBorders>
          <w:top w:val="nil"/>
          <w:left w:val="nil"/>
          <w:bottom w:val="single" w:sz="4" w:space="0" w:color="B2A1C6" w:themeColor="accent4" w:themeTint="9A"/>
          <w:right w:val="nil"/>
        </w:tcBorders>
        <w:shd w:val="clear" w:color="FFFFFF" w:fill="FFFFFF"/>
      </w:tcPr>
    </w:tblStylePr>
    <w:tblStylePr w:type="lastRow">
      <w:rPr>
        <w:rFonts w:ascii="Arial" w:hAnsi="Arial"/>
        <w:b/>
        <w:color w:val="B2A1C6" w:themeColor="accent4" w:themeShade="95" w:themeTint="9A"/>
        <w:sz w:val="22"/>
      </w:rPr>
      <w:tcPr>
        <w:tcBorders>
          <w:top w:val="single" w:sz="4" w:space="0" w:color="B2A1C6" w:themeColor="accent4" w:themeTint="9A"/>
          <w:left w:val="nil"/>
          <w:bottom w:val="nil"/>
          <w:right w:val="nil"/>
        </w:tcBorders>
        <w:shd w:val="clear" w:color="FFFFFF" w:fill="FFFFFF"/>
      </w:tcPr>
    </w:tblStylePr>
    <w:tblStylePr w:type="firstCol">
      <w:pPr>
        <w:jc w:val="right"/>
      </w:pPr>
      <w:rPr>
        <w:rFonts w:ascii="Arial" w:hAnsi="Arial"/>
        <w:i/>
        <w:color w:val="B2A1C6" w:themeColor="accent4" w:themeShade="95" w:themeTint="9A"/>
        <w:sz w:val="22"/>
      </w:r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Shade="95" w:themeTint="9A"/>
        <w:sz w:val="22"/>
      </w:rPr>
      <w:tcPr>
        <w:tcBorders>
          <w:top w:val="nil"/>
          <w:left w:val="single" w:sz="4" w:space="0" w:color="B2A1C6" w:themeColor="accent4" w:themeTint="9A"/>
          <w:bottom w:val="nil"/>
          <w:right w:val="nil"/>
        </w:tcBorders>
        <w:shd w:val="clear" w:color="FFFFFF" w:fill="auto"/>
      </w:tcPr>
    </w:tblStylePr>
    <w:tblStylePr w:type="band1Vert">
      <w:rPr/>
      <w:tcPr>
        <w:shd w:val="clear" w:color="E5DFEC" w:fill="E5DFEC"/>
      </w:tcPr>
    </w:tblStylePr>
    <w:tblStylePr w:type="band1Horz">
      <w:rPr>
        <w:rFonts w:ascii="Arial" w:hAnsi="Arial"/>
        <w:color w:val="B2A1C6" w:themeColor="accent4" w:themeShade="95" w:themeTint="9A"/>
        <w:sz w:val="22"/>
      </w:rPr>
      <w:tcPr>
        <w:shd w:val="clear" w:color="E5DFEC" w:fill="E5DFEC"/>
      </w:tcPr>
    </w:tblStylePr>
    <w:tblStylePr w:type="band2Horz">
      <w:rPr>
        <w:rFonts w:ascii="Arial" w:hAnsi="Arial"/>
        <w:color w:val="B2A1C6" w:themeColor="accent4" w:themeShade="95" w:themeTint="9A"/>
        <w:sz w:val="22"/>
      </w:rPr>
    </w:tblStylePr>
  </w:style>
  <w:style w:type="table" w:customStyle="1" w:styleId="GridTable7Colorful-Accent5">
    <w:name w:val="Grid Table 7 Colorful - Accent 5"/>
    <w:uiPriority w:val="99"/>
    <w:pPr>
      <w:spacing w:after="0" w:line="240" w:lineRule="auto"/>
    </w:pPr>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cPr>
        <w:tcBorders>
          <w:top w:val="nil"/>
          <w:left w:val="nil"/>
          <w:bottom w:val="single" w:sz="4" w:space="0" w:color="99D0DE" w:themeColor="accent5" w:themeTint="90"/>
          <w:right w:val="nil"/>
        </w:tcBorders>
        <w:shd w:val="clear" w:color="FFFFFF" w:fill="FFFFFF"/>
      </w:tcPr>
    </w:tblStylePr>
    <w:tblStylePr w:type="lastRow">
      <w:rPr>
        <w:rFonts w:ascii="Arial" w:hAnsi="Arial"/>
        <w:b/>
        <w:color w:val="266779" w:themeColor="accent5" w:themeShade="95"/>
        <w:sz w:val="22"/>
      </w:rPr>
      <w:tcPr>
        <w:tcBorders>
          <w:top w:val="single" w:sz="4" w:space="0" w:color="99D0DE" w:themeColor="accent5" w:themeTint="90"/>
          <w:left w:val="nil"/>
          <w:bottom w:val="nil"/>
          <w:right w:val="nil"/>
        </w:tcBorders>
        <w:shd w:val="clear" w:color="FFFFFF" w:fill="FFFFFF"/>
      </w:tcPr>
    </w:tblStylePr>
    <w:tblStylePr w:type="firstCol">
      <w:pPr>
        <w:jc w:val="right"/>
      </w:pPr>
      <w:rPr>
        <w:rFonts w:ascii="Arial" w:hAnsi="Arial"/>
        <w:i/>
        <w:color w:val="266779" w:themeColor="accent5" w:themeShade="95"/>
        <w:sz w:val="22"/>
      </w:r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themeColor="accent5" w:themeShade="95"/>
        <w:sz w:val="22"/>
      </w:rPr>
      <w:tcPr>
        <w:tcBorders>
          <w:top w:val="nil"/>
          <w:left w:val="single" w:sz="4" w:space="0" w:color="99D0DE" w:themeColor="accent5" w:themeTint="90"/>
          <w:bottom w:val="nil"/>
          <w:right w:val="nil"/>
        </w:tcBorders>
        <w:shd w:val="clear" w:color="FFFFFF" w:fill="auto"/>
      </w:tcPr>
    </w:tblStylePr>
    <w:tblStylePr w:type="band1Vert">
      <w:rPr/>
      <w:tcPr>
        <w:shd w:val="clear" w:color="DAEEF3" w:fill="DAEEF3"/>
      </w:tcPr>
    </w:tblStylePr>
    <w:tblStylePr w:type="band1Horz">
      <w:rPr>
        <w:rFonts w:ascii="Arial" w:hAnsi="Arial"/>
        <w:color w:val="266779" w:themeColor="accent5" w:themeShade="95"/>
        <w:sz w:val="22"/>
      </w:rPr>
      <w:tcPr>
        <w:shd w:val="clear" w:color="DAEEF3"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pPr>
      <w:spacing w:after="0" w:line="240" w:lineRule="auto"/>
    </w:pPr>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cPr>
        <w:tcBorders>
          <w:top w:val="nil"/>
          <w:left w:val="nil"/>
          <w:bottom w:val="single" w:sz="4" w:space="0" w:color="FAC396" w:themeColor="accent6" w:themeTint="90"/>
          <w:right w:val="nil"/>
        </w:tcBorders>
        <w:shd w:val="clear" w:color="FFFFFF" w:fill="FFFFFF"/>
      </w:tcPr>
    </w:tblStylePr>
    <w:tblStylePr w:type="lastRow">
      <w:rPr>
        <w:rFonts w:ascii="Arial" w:hAnsi="Arial"/>
        <w:b/>
        <w:color w:val="B15407" w:themeColor="accent6" w:themeShade="95"/>
        <w:sz w:val="22"/>
      </w:rPr>
      <w:tcPr>
        <w:tcBorders>
          <w:top w:val="single" w:sz="4" w:space="0" w:color="FAC396" w:themeColor="accent6" w:themeTint="90"/>
          <w:left w:val="nil"/>
          <w:bottom w:val="nil"/>
          <w:right w:val="nil"/>
        </w:tcBorders>
        <w:shd w:val="clear" w:color="FFFFFF" w:fill="FFFFFF"/>
      </w:tcPr>
    </w:tblStylePr>
    <w:tblStylePr w:type="firstCol">
      <w:pPr>
        <w:jc w:val="right"/>
      </w:pPr>
      <w:rPr>
        <w:rFonts w:ascii="Arial" w:hAnsi="Arial"/>
        <w:i/>
        <w:color w:val="B15407" w:themeColor="accent6" w:themeShade="95"/>
        <w:sz w:val="22"/>
      </w:r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themeColor="accent6" w:themeShade="95"/>
        <w:sz w:val="22"/>
      </w:rPr>
      <w:tcPr>
        <w:tcBorders>
          <w:top w:val="nil"/>
          <w:left w:val="single" w:sz="4" w:space="0" w:color="FAC396" w:themeColor="accent6" w:themeTint="90"/>
          <w:bottom w:val="nil"/>
          <w:right w:val="nil"/>
        </w:tcBorders>
        <w:shd w:val="clear" w:color="FFFFFF" w:fill="auto"/>
      </w:tcPr>
    </w:tblStylePr>
    <w:tblStylePr w:type="band1Vert">
      <w:rPr/>
      <w:tcPr>
        <w:shd w:val="clear" w:color="FDE9D9" w:fill="FDE9D9"/>
      </w:tcPr>
    </w:tblStylePr>
    <w:tblStylePr w:type="band1Horz">
      <w:rPr>
        <w:rFonts w:ascii="Arial" w:hAnsi="Arial"/>
        <w:color w:val="B15407" w:themeColor="accent6" w:themeShade="95"/>
        <w:sz w:val="22"/>
      </w:rPr>
      <w:tcPr>
        <w:shd w:val="clear" w:color="FDE9D9" w:fill="FDE9D9"/>
      </w:tcPr>
    </w:tblStylePr>
    <w:tblStylePr w:type="band2Horz">
      <w:rPr>
        <w:rFonts w:ascii="Arial" w:hAnsi="Arial"/>
        <w:color w:val="B15407" w:themeColor="accent6" w:themeShade="95"/>
        <w:sz w:val="22"/>
      </w:rPr>
    </w:tblStylePr>
  </w:style>
  <w:style w:type="table" w:customStyle="1" w:styleId="ListTable1Light">
    <w:name w:val="List Table 1 Light"/>
    <w:uiPriority w:val="99"/>
    <w:pPr>
      <w:spacing w:after="0" w:line="240" w:lineRule="auto"/>
    </w:pPr>
    <w:rPr/>
    <w:tblStylePr w:type="firstRow">
      <w:rPr>
        <w:b/>
        <w:color w:val="404040"/>
      </w:rPr>
      <w:tcPr>
        <w:tcBorders>
          <w:top w:val="nil"/>
          <w:left w:val="nil"/>
          <w:bottom w:val="single" w:sz="4" w:space="0" w:color="auto"/>
          <w:right w:val="nil"/>
        </w:tcBorders>
      </w:tcPr>
    </w:tblStylePr>
    <w:tblStylePr w:type="lastRow">
      <w:rPr>
        <w:b/>
        <w:color w:val="404040"/>
      </w:rPr>
      <w:tcPr>
        <w:tcBorders>
          <w:top w:val="single" w:sz="4" w:space="0" w:color="auto"/>
          <w:left w:val="nil"/>
          <w:bottom w:val="nil"/>
          <w:right w:val="nil"/>
        </w:tcBorders>
      </w:tcPr>
    </w:tblStylePr>
    <w:tblStylePr w:type="firstCol">
      <w:rPr>
        <w:b/>
        <w:color w:val="404040"/>
      </w:rPr>
    </w:tblStylePr>
    <w:tblStylePr w:type="lastCol">
      <w:rPr>
        <w:b/>
        <w:color w:val="404040"/>
      </w:rPr>
    </w:tblStylePr>
    <w:tblStylePr w:type="band1Vert">
      <w:rPr/>
      <w:tcPr>
        <w:shd w:val="clear" w:color="BEBEBE" w:fill="BEBEBE"/>
      </w:tcPr>
    </w:tblStylePr>
    <w:tblStylePr w:type="band1Horz">
      <w:rPr/>
      <w:tcPr>
        <w:shd w:val="clear" w:color="BEBEBE" w:fill="BEBEBE"/>
      </w:tcPr>
    </w:tblStylePr>
  </w:style>
  <w:style w:type="table" w:customStyle="1" w:styleId="ListTable1Light-Accent1">
    <w:name w:val="List Table 1 Light - Accent 1"/>
    <w:uiPriority w:val="99"/>
    <w:pPr>
      <w:spacing w:after="0" w:line="240" w:lineRule="auto"/>
    </w:pPr>
    <w:rPr/>
    <w:tblStylePr w:type="firstRow">
      <w:rPr>
        <w:b/>
        <w:color w:val="404040"/>
      </w:rPr>
      <w:tcPr>
        <w:tcBorders>
          <w:top w:val="nil"/>
          <w:left w:val="nil"/>
          <w:bottom w:val="single" w:sz="4" w:space="0" w:color="4F81BD" w:themeColor="accent1"/>
          <w:right w:val="nil"/>
        </w:tcBorders>
      </w:tcPr>
    </w:tblStylePr>
    <w:tblStylePr w:type="lastRow">
      <w:rPr>
        <w:b/>
        <w:color w:val="404040"/>
      </w:r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rPr/>
      <w:tcPr>
        <w:shd w:val="clear" w:color="D2DFEE" w:fill="D2DFEE"/>
      </w:tcPr>
    </w:tblStylePr>
    <w:tblStylePr w:type="band1Horz">
      <w:rPr/>
      <w:tcPr>
        <w:shd w:val="clear" w:color="D2DFEE" w:fill="D2DFEE"/>
      </w:tcPr>
    </w:tblStylePr>
  </w:style>
  <w:style w:type="table" w:customStyle="1" w:styleId="ListTable1Light-Accent2">
    <w:name w:val="List Table 1 Light - Accent 2"/>
    <w:uiPriority w:val="99"/>
    <w:pPr>
      <w:spacing w:after="0" w:line="240" w:lineRule="auto"/>
    </w:pPr>
    <w:rPr/>
    <w:tblStylePr w:type="firstRow">
      <w:rPr>
        <w:b/>
        <w:color w:val="404040"/>
      </w:rPr>
      <w:tcPr>
        <w:tcBorders>
          <w:top w:val="nil"/>
          <w:left w:val="nil"/>
          <w:bottom w:val="single" w:sz="4" w:space="0" w:color="C0504D" w:themeColor="accent2"/>
          <w:right w:val="nil"/>
        </w:tcBorders>
      </w:tcPr>
    </w:tblStylePr>
    <w:tblStylePr w:type="lastRow">
      <w:rPr>
        <w:b/>
        <w:color w:val="404040"/>
      </w:r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rPr/>
      <w:tcPr>
        <w:shd w:val="clear" w:color="EFD3D2" w:fill="EFD3D2"/>
      </w:tcPr>
    </w:tblStylePr>
    <w:tblStylePr w:type="band1Horz">
      <w:rPr/>
      <w:tcPr>
        <w:shd w:val="clear" w:color="EFD3D2" w:fill="EFD3D2"/>
      </w:tcPr>
    </w:tblStylePr>
  </w:style>
  <w:style w:type="table" w:customStyle="1" w:styleId="ListTable1Light-Accent3">
    <w:name w:val="List Table 1 Light - Accent 3"/>
    <w:uiPriority w:val="99"/>
    <w:pPr>
      <w:spacing w:after="0" w:line="240" w:lineRule="auto"/>
    </w:pPr>
    <w:rPr/>
    <w:tblStylePr w:type="firstRow">
      <w:rPr>
        <w:b/>
        <w:color w:val="404040"/>
      </w:rPr>
      <w:tcPr>
        <w:tcBorders>
          <w:top w:val="nil"/>
          <w:left w:val="nil"/>
          <w:bottom w:val="single" w:sz="4" w:space="0" w:color="9BBB59" w:themeColor="accent3"/>
          <w:right w:val="nil"/>
        </w:tcBorders>
      </w:tcPr>
    </w:tblStylePr>
    <w:tblStylePr w:type="lastRow">
      <w:rPr>
        <w:b/>
        <w:color w:val="404040"/>
      </w:r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rPr/>
      <w:tcPr>
        <w:shd w:val="clear" w:color="E5EDD5" w:fill="E5EDD5"/>
      </w:tcPr>
    </w:tblStylePr>
    <w:tblStylePr w:type="band1Horz">
      <w:rPr/>
      <w:tcPr>
        <w:shd w:val="clear" w:color="E5EDD5" w:fill="E5EDD5"/>
      </w:tcPr>
    </w:tblStylePr>
  </w:style>
  <w:style w:type="table" w:customStyle="1" w:styleId="ListTable1Light-Accent4">
    <w:name w:val="List Table 1 Light - Accent 4"/>
    <w:uiPriority w:val="99"/>
    <w:pPr>
      <w:spacing w:after="0" w:line="240" w:lineRule="auto"/>
    </w:pPr>
    <w:rPr/>
    <w:tblStylePr w:type="firstRow">
      <w:rPr>
        <w:b/>
        <w:color w:val="404040"/>
      </w:rPr>
      <w:tcPr>
        <w:tcBorders>
          <w:top w:val="nil"/>
          <w:left w:val="nil"/>
          <w:bottom w:val="single" w:sz="4" w:space="0" w:color="8064A2" w:themeColor="accent4"/>
          <w:right w:val="nil"/>
        </w:tcBorders>
      </w:tcPr>
    </w:tblStylePr>
    <w:tblStylePr w:type="lastRow">
      <w:rPr>
        <w:b/>
        <w:color w:val="404040"/>
      </w:r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rPr/>
      <w:tcPr>
        <w:shd w:val="clear" w:color="DFD8E7" w:fill="DFD8E7"/>
      </w:tcPr>
    </w:tblStylePr>
    <w:tblStylePr w:type="band1Horz">
      <w:rPr/>
      <w:tcPr>
        <w:shd w:val="clear" w:color="DFD8E7" w:fill="DFD8E7"/>
      </w:tcPr>
    </w:tblStylePr>
  </w:style>
  <w:style w:type="table" w:customStyle="1" w:styleId="ListTable1Light-Accent5">
    <w:name w:val="List Table 1 Light - Accent 5"/>
    <w:uiPriority w:val="99"/>
    <w:pPr>
      <w:spacing w:after="0" w:line="240" w:lineRule="auto"/>
    </w:pPr>
    <w:rPr/>
    <w:tblStylePr w:type="firstRow">
      <w:rPr>
        <w:b/>
        <w:color w:val="404040"/>
      </w:rPr>
      <w:tcPr>
        <w:tcBorders>
          <w:top w:val="nil"/>
          <w:left w:val="nil"/>
          <w:bottom w:val="single" w:sz="4" w:space="0" w:color="4BACC6" w:themeColor="accent5"/>
          <w:right w:val="nil"/>
        </w:tcBorders>
      </w:tcPr>
    </w:tblStylePr>
    <w:tblStylePr w:type="lastRow">
      <w:rPr>
        <w:b/>
        <w:color w:val="404040"/>
      </w:r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rPr/>
      <w:tcPr>
        <w:shd w:val="clear" w:color="D1EAF0" w:fill="D1EAF0"/>
      </w:tcPr>
    </w:tblStylePr>
    <w:tblStylePr w:type="band1Horz">
      <w:rPr/>
      <w:tcPr>
        <w:shd w:val="clear" w:color="D1EAF0" w:fill="D1EAF0"/>
      </w:tcPr>
    </w:tblStylePr>
  </w:style>
  <w:style w:type="table" w:customStyle="1" w:styleId="ListTable1Light-Accent6">
    <w:name w:val="List Table 1 Light - Accent 6"/>
    <w:uiPriority w:val="99"/>
    <w:pPr>
      <w:spacing w:after="0" w:line="240" w:lineRule="auto"/>
    </w:pPr>
    <w:rPr/>
    <w:tblStylePr w:type="firstRow">
      <w:rPr>
        <w:b/>
        <w:color w:val="404040"/>
      </w:rPr>
      <w:tcPr>
        <w:tcBorders>
          <w:top w:val="nil"/>
          <w:left w:val="nil"/>
          <w:bottom w:val="single" w:sz="4" w:space="0" w:color="F79646" w:themeColor="accent6"/>
          <w:right w:val="nil"/>
        </w:tcBorders>
      </w:tcPr>
    </w:tblStylePr>
    <w:tblStylePr w:type="lastRow">
      <w:rPr>
        <w:b/>
        <w:color w:val="404040"/>
      </w:r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rPr/>
      <w:tcPr>
        <w:shd w:val="clear" w:color="FCE4D0" w:fill="FCE4D0"/>
      </w:tcPr>
    </w:tblStylePr>
    <w:tblStylePr w:type="band1Horz">
      <w:rPr/>
      <w:tcPr>
        <w:shd w:val="clear" w:color="FCE4D0" w:fill="FCE4D0"/>
      </w:tcPr>
    </w:tblStylePr>
  </w:style>
  <w:style w:type="table" w:customStyle="1" w:styleId="ListTable2">
    <w:name w:val="List Table 2"/>
    <w:uiPriority w:val="99"/>
    <w:pPr>
      <w:spacing w:after="0" w:line="240" w:lineRule="auto"/>
    </w:pPr>
    <w:rPr/>
    <w:tblPr>
      <w:tblBorders>
        <w:top w:val="single" w:sz="4" w:space="0" w:color="6E6E6E" w:themeColor="text1" w:themeTint="90"/>
        <w:bottom w:val="single" w:sz="4" w:space="0" w:color="6E6E6E" w:themeColor="text1" w:themeTint="90"/>
        <w:insideH w:val="single" w:sz="4" w:space="0" w:color="6E6E6E" w:themeColor="text1" w:themeTint="90"/>
      </w:tblBorders>
    </w:tblPr>
    <w:tblStylePr w:type="firstRow">
      <w:rPr>
        <w:rFonts w:ascii="Arial" w:hAnsi="Arial"/>
        <w:b/>
        <w:color w:val="404040"/>
        <w:sz w:val="22"/>
      </w:rPr>
      <w:tcPr>
        <w:tcBorders>
          <w:top w:val="single" w:sz="4" w:space="0" w:color="6E6E6E" w:themeColor="text1" w:themeTint="90"/>
          <w:left w:val="nil"/>
          <w:bottom w:val="single" w:sz="4" w:space="0" w:color="6E6E6E" w:themeColor="text1" w:themeTint="90"/>
          <w:right w:val="nil"/>
        </w:tcBorders>
      </w:tcPr>
    </w:tblStylePr>
    <w:tblStylePr w:type="lastRow">
      <w:rPr>
        <w:rFonts w:ascii="Arial" w:hAnsi="Arial"/>
        <w:b/>
        <w:color w:val="404040"/>
        <w:sz w:val="22"/>
      </w:rPr>
      <w:tcPr>
        <w:tcBorders>
          <w:top w:val="single" w:sz="4" w:space="0" w:color="6E6E6E" w:themeColor="text1" w:themeTint="90"/>
          <w:left w:val="nil"/>
          <w:bottom w:val="single" w:sz="4" w:space="0" w:color="6E6E6E"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ListTable2-Accent1">
    <w:name w:val="List Table 2 - Accent 1"/>
    <w:uiPriority w:val="99"/>
    <w:pPr>
      <w:spacing w:after="0" w:line="240" w:lineRule="auto"/>
    </w:pPr>
    <w:rPr/>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ListTable2-Accent2">
    <w:name w:val="List Table 2 - Accent 2"/>
    <w:uiPriority w:val="99"/>
    <w:pPr>
      <w:spacing w:after="0" w:line="240" w:lineRule="auto"/>
    </w:pPr>
    <w:rPr/>
    <w:tblPr>
      <w:tblBorders>
        <w:top w:val="single" w:sz="4" w:space="0" w:color="DB9C9A" w:themeColor="accent2" w:themeTint="90"/>
        <w:bottom w:val="single" w:sz="4" w:space="0" w:color="DB9C9A" w:themeColor="accent2" w:themeTint="90"/>
        <w:insideH w:val="single" w:sz="4" w:space="0" w:color="DB9C9A" w:themeColor="accent2" w:themeTint="90"/>
      </w:tblBorders>
    </w:tblPr>
    <w:tblStylePr w:type="firstRow">
      <w:rPr>
        <w:rFonts w:ascii="Arial" w:hAnsi="Arial"/>
        <w:b/>
        <w:color w:val="404040"/>
        <w:sz w:val="22"/>
      </w:rPr>
      <w:tcPr>
        <w:tcBorders>
          <w:top w:val="single" w:sz="4" w:space="0" w:color="DB9C9A" w:themeColor="accent2" w:themeTint="90"/>
          <w:left w:val="nil"/>
          <w:bottom w:val="single" w:sz="4" w:space="0" w:color="DB9C9A" w:themeColor="accent2" w:themeTint="90"/>
          <w:right w:val="nil"/>
        </w:tcBorders>
      </w:tcPr>
    </w:tblStylePr>
    <w:tblStylePr w:type="lastRow">
      <w:rPr>
        <w:rFonts w:ascii="Arial" w:hAnsi="Arial"/>
        <w:b/>
        <w:color w:val="404040"/>
        <w:sz w:val="22"/>
      </w:rPr>
      <w:tcPr>
        <w:tcBorders>
          <w:top w:val="single" w:sz="4" w:space="0" w:color="DB9C9A" w:themeColor="accent2" w:themeTint="90"/>
          <w:left w:val="nil"/>
          <w:bottom w:val="single" w:sz="4" w:space="0" w:color="DB9C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ListTable2-Accent3">
    <w:name w:val="List Table 2 - Accent 3"/>
    <w:uiPriority w:val="99"/>
    <w:pPr>
      <w:spacing w:after="0" w:line="240" w:lineRule="auto"/>
    </w:pPr>
    <w:rPr/>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ListTable2-Accent4">
    <w:name w:val="List Table 2 - Accent 4"/>
    <w:uiPriority w:val="99"/>
    <w:pPr>
      <w:spacing w:after="0" w:line="240" w:lineRule="auto"/>
    </w:pPr>
    <w:rPr/>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ListTable2-Accent5">
    <w:name w:val="List Table 2 - Accent 5"/>
    <w:uiPriority w:val="99"/>
    <w:pPr>
      <w:spacing w:after="0" w:line="240" w:lineRule="auto"/>
    </w:pPr>
    <w:rPr/>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ListTable2-Accent6">
    <w:name w:val="List Table 2 - Accent 6"/>
    <w:uiPriority w:val="99"/>
    <w:pPr>
      <w:spacing w:after="0" w:line="240" w:lineRule="auto"/>
    </w:pPr>
    <w:rPr/>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ListTable3">
    <w:name w:val="List Table 3"/>
    <w:uiPriority w:val="99"/>
    <w:pPr>
      <w:spacing w:after="0" w:line="240" w:lineRule="auto"/>
    </w:pPr>
    <w:rPr/>
    <w:tblPr>
      <w:tblBorders>
        <w:top w:val="single" w:sz="4" w:space="0" w:color="auto"/>
        <w:left w:val="single" w:sz="4" w:space="0" w:color="auto"/>
        <w:bottom w:val="single" w:sz="4" w:space="0" w:color="auto"/>
        <w:right w:val="single" w:sz="4" w:space="0" w:color="auto"/>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auto"/>
          <w:right w:val="single" w:sz="4" w:space="0" w:color="auto"/>
        </w:tcBorders>
      </w:tcPr>
    </w:tblStylePr>
    <w:tblStylePr w:type="band1Horz">
      <w:rPr>
        <w:rFonts w:ascii="Arial" w:hAnsi="Arial"/>
        <w:color w:val="404040"/>
        <w:sz w:val="22"/>
      </w:rPr>
      <w:tcPr>
        <w:tcBorders>
          <w:top w:val="single" w:sz="4" w:space="0" w:color="auto"/>
          <w:bottom w:val="single" w:sz="4" w:space="0" w:color="auto"/>
        </w:tcBorders>
      </w:tcPr>
    </w:tblStylePr>
  </w:style>
  <w:style w:type="table" w:customStyle="1" w:styleId="ListTable3-Accent1">
    <w:name w:val="List Table 3 - Accent 1"/>
    <w:uiPriority w:val="99"/>
    <w:pPr>
      <w:spacing w:after="0" w:line="240" w:lineRule="auto"/>
    </w:pPr>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4F81BD" w:themeColor="accent1"/>
          <w:right w:val="single" w:sz="4" w:space="0" w:color="4F81BD" w:themeColor="accent1"/>
        </w:tcBorders>
      </w:tcPr>
    </w:tblStylePr>
    <w:tblStylePr w:type="band1Horz">
      <w:rPr>
        <w:rFonts w:ascii="Arial" w:hAnsi="Arial"/>
        <w:color w:val="404040"/>
        <w:sz w:val="22"/>
      </w:r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pPr>
      <w:spacing w:after="0" w:line="240" w:lineRule="auto"/>
    </w:pPr>
    <w:rPr/>
    <w:tblPr>
      <w:tblBorders>
        <w:top w:val="single" w:sz="4" w:space="0" w:color="D99795" w:themeColor="accent2" w:themeTint="97"/>
        <w:left w:val="single" w:sz="4" w:space="0" w:color="D99795" w:themeColor="accent2" w:themeTint="97"/>
        <w:bottom w:val="single" w:sz="4" w:space="0" w:color="D99795" w:themeColor="accent2" w:themeTint="97"/>
        <w:right w:val="single" w:sz="4" w:space="0" w:color="D99795" w:themeColor="accent2" w:themeTint="97"/>
      </w:tblBorders>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D99795" w:themeColor="accent2" w:themeTint="97"/>
          <w:right w:val="single" w:sz="4" w:space="0" w:color="D99795" w:themeColor="accent2" w:themeTint="97"/>
        </w:tcBorders>
      </w:tcPr>
    </w:tblStylePr>
    <w:tblStylePr w:type="band1Horz">
      <w:rPr>
        <w:rFonts w:ascii="Arial" w:hAnsi="Arial"/>
        <w:color w:val="404040"/>
        <w:sz w:val="22"/>
      </w:rPr>
      <w:tcPr>
        <w:tcBorders>
          <w:top w:val="single" w:sz="4" w:space="0" w:color="D99795" w:themeColor="accent2" w:themeTint="97"/>
          <w:bottom w:val="single" w:sz="4" w:space="0" w:color="D99795" w:themeColor="accent2" w:themeTint="97"/>
        </w:tcBorders>
      </w:tcPr>
    </w:tblStylePr>
  </w:style>
  <w:style w:type="table" w:customStyle="1" w:styleId="ListTable3-Accent3">
    <w:name w:val="List Table 3 - Accent 3"/>
    <w:uiPriority w:val="99"/>
    <w:pPr>
      <w:spacing w:after="0" w:line="240" w:lineRule="auto"/>
    </w:pPr>
    <w:rPr/>
    <w:tblPr>
      <w:tblBorders>
        <w:top w:val="single" w:sz="4" w:space="0" w:color="C3D69C" w:themeColor="accent3" w:themeTint="98"/>
        <w:left w:val="single" w:sz="4" w:space="0" w:color="C3D69C" w:themeColor="accent3" w:themeTint="98"/>
        <w:bottom w:val="single" w:sz="4" w:space="0" w:color="C3D69C" w:themeColor="accent3" w:themeTint="98"/>
        <w:right w:val="single" w:sz="4" w:space="0" w:color="C3D69C" w:themeColor="accent3" w:themeTint="98"/>
      </w:tblBorders>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C3D69C" w:themeColor="accent3" w:themeTint="98"/>
          <w:right w:val="single" w:sz="4" w:space="0" w:color="C3D69C" w:themeColor="accent3" w:themeTint="98"/>
        </w:tcBorders>
      </w:tcPr>
    </w:tblStylePr>
    <w:tblStylePr w:type="band1Horz">
      <w:rPr>
        <w:rFonts w:ascii="Arial" w:hAnsi="Arial"/>
        <w:color w:val="404040"/>
        <w:sz w:val="22"/>
      </w:rPr>
      <w:tcPr>
        <w:tcBorders>
          <w:top w:val="single" w:sz="4" w:space="0" w:color="C3D69C" w:themeColor="accent3" w:themeTint="98"/>
          <w:bottom w:val="single" w:sz="4" w:space="0" w:color="C3D69C" w:themeColor="accent3" w:themeTint="98"/>
        </w:tcBorders>
      </w:tcPr>
    </w:tblStylePr>
  </w:style>
  <w:style w:type="table" w:customStyle="1" w:styleId="ListTable3-Accent4">
    <w:name w:val="List Table 3 - Accent 4"/>
    <w:uiPriority w:val="99"/>
    <w:pPr>
      <w:spacing w:after="0" w:line="240" w:lineRule="auto"/>
    </w:pPr>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pPr>
      <w:spacing w:after="0" w:line="240" w:lineRule="auto"/>
    </w:pPr>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pPr>
      <w:spacing w:after="0" w:line="240" w:lineRule="auto"/>
    </w:pPr>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ListTable4-Accent1">
    <w:name w:val="List Table 4 - Accent 1"/>
    <w:uiPriority w:val="99"/>
    <w:pPr>
      <w:spacing w:after="0" w:line="240" w:lineRule="auto"/>
    </w:pPr>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ListTable4-Accent2">
    <w:name w:val="List Table 4 - Accent 2"/>
    <w:uiPriority w:val="99"/>
    <w:pPr>
      <w:spacing w:after="0" w:line="240" w:lineRule="auto"/>
    </w:pPr>
    <w:rPr/>
    <w:tblPr>
      <w:tblBorders>
        <w:top w:val="single" w:sz="4" w:space="0" w:color="DB9C9A" w:themeColor="accent2" w:themeTint="90"/>
        <w:left w:val="single" w:sz="4" w:space="0" w:color="DB9C9A" w:themeColor="accent2" w:themeTint="90"/>
        <w:bottom w:val="single" w:sz="4" w:space="0" w:color="DB9C9A" w:themeColor="accent2" w:themeTint="90"/>
        <w:right w:val="single" w:sz="4" w:space="0" w:color="DB9C9A" w:themeColor="accent2" w:themeTint="90"/>
        <w:insideH w:val="single" w:sz="4" w:space="0" w:color="DB9C9A" w:themeColor="accent2" w:themeTint="90"/>
      </w:tblBorders>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ListTable4-Accent3">
    <w:name w:val="List Table 4 - Accent 3"/>
    <w:uiPriority w:val="99"/>
    <w:pPr>
      <w:spacing w:after="0" w:line="240" w:lineRule="auto"/>
    </w:pPr>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ListTable4-Accent4">
    <w:name w:val="List Table 4 - Accent 4"/>
    <w:uiPriority w:val="99"/>
    <w:pPr>
      <w:spacing w:after="0" w:line="240" w:lineRule="auto"/>
    </w:pPr>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ListTable4-Accent5">
    <w:name w:val="List Table 4 - Accent 5"/>
    <w:uiPriority w:val="99"/>
    <w:pPr>
      <w:spacing w:after="0" w:line="240" w:lineRule="auto"/>
    </w:pPr>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ListTable4-Accent6">
    <w:name w:val="List Table 4 - Accent 6"/>
    <w:uiPriority w:val="99"/>
    <w:pPr>
      <w:spacing w:after="0" w:line="240" w:lineRule="auto"/>
    </w:pPr>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ListTable5Dark">
    <w:name w:val="List Table 5 Dark"/>
    <w:uiPriority w:val="99"/>
    <w:pPr>
      <w:spacing w:after="0" w:line="240" w:lineRule="auto"/>
    </w:pPr>
    <w:rPr/>
    <w:tblPr>
      <w:tblBorders>
        <w:top w:val="single" w:sz="32" w:space="0" w:color="7E7E7E" w:themeColor="text1" w:themeTint="80"/>
        <w:left w:val="single" w:sz="32" w:space="0" w:color="7E7E7E" w:themeColor="text1" w:themeTint="80"/>
        <w:bottom w:val="single" w:sz="32" w:space="0" w:color="7E7E7E" w:themeColor="text1" w:themeTint="80"/>
        <w:right w:val="single" w:sz="32" w:space="0" w:color="7E7E7E" w:themeColor="text1" w:themeTint="80"/>
      </w:tblBorders>
    </w:tblPr>
    <w:tblStylePr w:type="firstRow">
      <w:rPr>
        <w:rFonts w:ascii="Arial" w:hAnsi="Arial"/>
        <w:b/>
        <w:color w:val="FFFFFF" w:themeColor="light1"/>
        <w:sz w:val="22"/>
      </w:rPr>
      <w:tcPr>
        <w:tcBorders>
          <w:top w:val="single" w:sz="32" w:space="0" w:color="7E7E7E" w:themeColor="text1" w:themeTint="80"/>
          <w:bottom w:val="single" w:sz="12" w:space="0" w:color="FFFFFF" w:themeColor="light1"/>
        </w:tcBorders>
        <w:shd w:val="clear" w:color="7E7E7E" w:fill="7E7E7E"/>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7E7E7E" w:themeColor="text1" w:themeTint="80"/>
          <w:right w:val="single" w:sz="4" w:space="0" w:color="FFFFFF" w:themeColor="light1"/>
        </w:tcBorders>
      </w:tcPr>
    </w:tblStylePr>
    <w:tblStylePr w:type="lastCol">
      <w:rPr/>
      <w:tcPr>
        <w:tcBorders>
          <w:left w:val="single" w:sz="4" w:space="0" w:color="FFFFFF" w:themeColor="light1"/>
          <w:right w:val="single" w:sz="32" w:space="0" w:color="7E7E7E" w:themeColor="text1" w:themeTint="80"/>
        </w:tcBorders>
      </w:tcPr>
    </w:tblStylePr>
    <w:tblStylePr w:type="band1Vert">
      <w:rPr/>
      <w:tcPr>
        <w:tcBorders>
          <w:left w:val="single" w:sz="4" w:space="0" w:color="FFFFFF" w:themeColor="light1"/>
          <w:right w:val="single" w:sz="4" w:space="0" w:color="FFFFFF" w:themeColor="light1"/>
        </w:tcBorders>
        <w:shd w:val="clear" w:color="7E7E7E" w:fill="7E7E7E"/>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7E7E7E" w:fill="7E7E7E"/>
      </w:tcPr>
    </w:tblStylePr>
    <w:tblStylePr w:type="band2Horz">
      <w:rPr/>
      <w:tcPr>
        <w:tcBorders>
          <w:top w:val="single" w:sz="4" w:space="0" w:color="FFFFFF" w:themeColor="light1"/>
          <w:bottom w:val="single" w:sz="4" w:space="0" w:color="FFFFFF" w:themeColor="light1"/>
        </w:tcBorders>
        <w:shd w:val="clear" w:color="7E7E7E" w:fill="7E7E7E"/>
      </w:tcPr>
    </w:tblStylePr>
  </w:style>
  <w:style w:type="table" w:customStyle="1" w:styleId="ListTable5Dark-Accent1">
    <w:name w:val="List Table 5 Dark - Accent 1"/>
    <w:uiPriority w:val="99"/>
    <w:pPr>
      <w:spacing w:after="0" w:line="240" w:lineRule="auto"/>
    </w:pPr>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cPr>
        <w:tcBorders>
          <w:top w:val="single" w:sz="32" w:space="0" w:color="4F81BD" w:themeColor="accent1"/>
          <w:bottom w:val="single" w:sz="12" w:space="0" w:color="FFFFFF" w:themeColor="light1"/>
        </w:tcBorders>
        <w:shd w:val="clear" w:color="4F81BD"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4F81BD" w:themeColor="accent1"/>
          <w:right w:val="single" w:sz="4" w:space="0" w:color="FFFFFF" w:themeColor="light1"/>
        </w:tcBorders>
      </w:tcPr>
    </w:tblStylePr>
    <w:tblStylePr w:type="lastCol">
      <w:rPr/>
      <w:tcPr>
        <w:tcBorders>
          <w:left w:val="single" w:sz="4" w:space="0" w:color="FFFFFF" w:themeColor="light1"/>
          <w:right w:val="single" w:sz="32" w:space="0" w:color="4F81BD" w:themeColor="accent1"/>
        </w:tcBorders>
      </w:tcPr>
    </w:tblStylePr>
    <w:tblStylePr w:type="band1Vert">
      <w:rPr/>
      <w:tcPr>
        <w:tcBorders>
          <w:left w:val="single" w:sz="4" w:space="0" w:color="FFFFFF" w:themeColor="light1"/>
          <w:right w:val="single" w:sz="4" w:space="0" w:color="FFFFFF" w:themeColor="light1"/>
        </w:tcBorders>
        <w:shd w:val="clear" w:color="4F81BD" w:fill="4F81BD"/>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4F81BD" w:fill="4F81BD"/>
      </w:tcPr>
    </w:tblStylePr>
    <w:tblStylePr w:type="band2Horz">
      <w:rPr/>
      <w:tcPr>
        <w:tcBorders>
          <w:top w:val="single" w:sz="4" w:space="0" w:color="FFFFFF" w:themeColor="light1"/>
          <w:bottom w:val="single" w:sz="4" w:space="0" w:color="FFFFFF" w:themeColor="light1"/>
        </w:tcBorders>
        <w:shd w:val="clear" w:color="4F81BD" w:fill="4F81BD"/>
      </w:tcPr>
    </w:tblStylePr>
  </w:style>
  <w:style w:type="table" w:customStyle="1" w:styleId="ListTable5Dark-Accent2">
    <w:name w:val="List Table 5 Dark - Accent 2"/>
    <w:uiPriority w:val="99"/>
    <w:pPr>
      <w:spacing w:after="0" w:line="240" w:lineRule="auto"/>
    </w:pPr>
    <w:rPr/>
    <w:tblPr>
      <w:tblBorders>
        <w:top w:val="single" w:sz="32" w:space="0" w:color="D99795" w:themeColor="accent2" w:themeTint="97"/>
        <w:left w:val="single" w:sz="32" w:space="0" w:color="D99795" w:themeColor="accent2" w:themeTint="97"/>
        <w:bottom w:val="single" w:sz="32" w:space="0" w:color="D99795" w:themeColor="accent2" w:themeTint="97"/>
        <w:right w:val="single" w:sz="32" w:space="0" w:color="D99795" w:themeColor="accent2" w:themeTint="97"/>
      </w:tblBorders>
    </w:tblPr>
    <w:tblStylePr w:type="firstRow">
      <w:rPr>
        <w:rFonts w:ascii="Arial" w:hAnsi="Arial"/>
        <w:b/>
        <w:color w:val="FFFFFF" w:themeColor="light1"/>
        <w:sz w:val="22"/>
      </w:rPr>
      <w:tcPr>
        <w:tcBorders>
          <w:top w:val="single" w:sz="32" w:space="0" w:color="D99795" w:themeColor="accent2" w:themeTint="97"/>
          <w:bottom w:val="single" w:sz="12" w:space="0" w:color="FFFFFF" w:themeColor="light1"/>
        </w:tcBorders>
        <w:shd w:val="clear" w:color="D99795" w:fill="D99795"/>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D99795" w:themeColor="accent2" w:themeTint="97"/>
          <w:right w:val="single" w:sz="4" w:space="0" w:color="FFFFFF" w:themeColor="light1"/>
        </w:tcBorders>
      </w:tcPr>
    </w:tblStylePr>
    <w:tblStylePr w:type="lastCol">
      <w:rPr/>
      <w:tcPr>
        <w:tcBorders>
          <w:left w:val="single" w:sz="4" w:space="0" w:color="FFFFFF" w:themeColor="light1"/>
          <w:right w:val="single" w:sz="32" w:space="0" w:color="D99795" w:themeColor="accent2" w:themeTint="97"/>
        </w:tcBorders>
      </w:tcPr>
    </w:tblStylePr>
    <w:tblStylePr w:type="band1Vert">
      <w:rPr/>
      <w:tcPr>
        <w:tcBorders>
          <w:left w:val="single" w:sz="4" w:space="0" w:color="FFFFFF" w:themeColor="light1"/>
          <w:right w:val="single" w:sz="4" w:space="0" w:color="FFFFFF" w:themeColor="light1"/>
        </w:tcBorders>
        <w:shd w:val="clear" w:color="D99795" w:fill="D99795"/>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D99795" w:fill="D99795"/>
      </w:tcPr>
    </w:tblStylePr>
    <w:tblStylePr w:type="band2Horz">
      <w:rPr/>
      <w:tcPr>
        <w:tcBorders>
          <w:top w:val="single" w:sz="4" w:space="0" w:color="FFFFFF" w:themeColor="light1"/>
          <w:bottom w:val="single" w:sz="4" w:space="0" w:color="FFFFFF" w:themeColor="light1"/>
        </w:tcBorders>
        <w:shd w:val="clear" w:color="D99795" w:fill="D99795"/>
      </w:tcPr>
    </w:tblStylePr>
  </w:style>
  <w:style w:type="table" w:customStyle="1" w:styleId="ListTable5Dark-Accent3">
    <w:name w:val="List Table 5 Dark - Accent 3"/>
    <w:uiPriority w:val="99"/>
    <w:pPr>
      <w:spacing w:after="0" w:line="240" w:lineRule="auto"/>
    </w:pPr>
    <w:rPr/>
    <w:tblPr>
      <w:tblBorders>
        <w:top w:val="single" w:sz="32" w:space="0" w:color="C3D69C" w:themeColor="accent3" w:themeTint="98"/>
        <w:left w:val="single" w:sz="32" w:space="0" w:color="C3D69C" w:themeColor="accent3" w:themeTint="98"/>
        <w:bottom w:val="single" w:sz="32" w:space="0" w:color="C3D69C" w:themeColor="accent3" w:themeTint="98"/>
        <w:right w:val="single" w:sz="32" w:space="0" w:color="C3D69C" w:themeColor="accent3" w:themeTint="98"/>
      </w:tblBorders>
    </w:tblPr>
    <w:tblStylePr w:type="firstRow">
      <w:rPr>
        <w:rFonts w:ascii="Arial" w:hAnsi="Arial"/>
        <w:b/>
        <w:color w:val="FFFFFF" w:themeColor="light1"/>
        <w:sz w:val="22"/>
      </w:rPr>
      <w:tcPr>
        <w:tcBorders>
          <w:top w:val="single" w:sz="32" w:space="0" w:color="C3D69C" w:themeColor="accent3" w:themeTint="98"/>
          <w:bottom w:val="single" w:sz="12" w:space="0" w:color="FFFFFF" w:themeColor="light1"/>
        </w:tcBorders>
        <w:shd w:val="clear" w:color="C3D69C" w:fill="C3D69C"/>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C3D69C" w:themeColor="accent3" w:themeTint="98"/>
          <w:right w:val="single" w:sz="4" w:space="0" w:color="FFFFFF" w:themeColor="light1"/>
        </w:tcBorders>
      </w:tcPr>
    </w:tblStylePr>
    <w:tblStylePr w:type="lastCol">
      <w:rPr/>
      <w:tcPr>
        <w:tcBorders>
          <w:left w:val="single" w:sz="4" w:space="0" w:color="FFFFFF" w:themeColor="light1"/>
          <w:right w:val="single" w:sz="32" w:space="0" w:color="C3D69C" w:themeColor="accent3" w:themeTint="98"/>
        </w:tcBorders>
      </w:tcPr>
    </w:tblStylePr>
    <w:tblStylePr w:type="band1Vert">
      <w:rPr/>
      <w:tcPr>
        <w:tcBorders>
          <w:left w:val="single" w:sz="4" w:space="0" w:color="FFFFFF" w:themeColor="light1"/>
          <w:right w:val="single" w:sz="4" w:space="0" w:color="FFFFFF" w:themeColor="light1"/>
        </w:tcBorders>
        <w:shd w:val="clear" w:color="C3D69C" w:fill="C3D69C"/>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C3D69C" w:fill="C3D69C"/>
      </w:tcPr>
    </w:tblStylePr>
    <w:tblStylePr w:type="band2Horz">
      <w:rPr/>
      <w:tcPr>
        <w:tcBorders>
          <w:top w:val="single" w:sz="4" w:space="0" w:color="FFFFFF" w:themeColor="light1"/>
          <w:bottom w:val="single" w:sz="4" w:space="0" w:color="FFFFFF" w:themeColor="light1"/>
        </w:tcBorders>
        <w:shd w:val="clear" w:color="C3D69C" w:fill="C3D69C"/>
      </w:tcPr>
    </w:tblStylePr>
  </w:style>
  <w:style w:type="table" w:customStyle="1" w:styleId="ListTable5Dark-Accent4">
    <w:name w:val="List Table 5 Dark - Accent 4"/>
    <w:uiPriority w:val="99"/>
    <w:pPr>
      <w:spacing w:after="0" w:line="240" w:lineRule="auto"/>
    </w:pPr>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cPr>
        <w:tcBorders>
          <w:top w:val="single" w:sz="32" w:space="0" w:color="B2A1C6" w:themeColor="accent4" w:themeTint="9A"/>
          <w:bottom w:val="single" w:sz="12" w:space="0" w:color="FFFFFF" w:themeColor="light1"/>
        </w:tcBorders>
        <w:shd w:val="clear" w:color="B2A1C6"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B2A1C6" w:themeColor="accent4" w:themeTint="9A"/>
          <w:right w:val="single" w:sz="4" w:space="0" w:color="FFFFFF" w:themeColor="light1"/>
        </w:tcBorders>
      </w:tcPr>
    </w:tblStylePr>
    <w:tblStylePr w:type="lastCol">
      <w:rPr/>
      <w:tcPr>
        <w:tcBorders>
          <w:left w:val="single" w:sz="4" w:space="0" w:color="FFFFFF" w:themeColor="light1"/>
          <w:right w:val="single" w:sz="32" w:space="0" w:color="B2A1C6" w:themeColor="accent4" w:themeTint="9A"/>
        </w:tcBorders>
      </w:tcPr>
    </w:tblStylePr>
    <w:tblStylePr w:type="band1Vert">
      <w:rPr/>
      <w:tcPr>
        <w:tcBorders>
          <w:left w:val="single" w:sz="4" w:space="0" w:color="FFFFFF" w:themeColor="light1"/>
          <w:right w:val="single" w:sz="4" w:space="0" w:color="FFFFFF" w:themeColor="light1"/>
        </w:tcBorders>
        <w:shd w:val="clear" w:color="B2A1C6" w:fill="B2A1C6"/>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B2A1C6" w:fill="B2A1C6"/>
      </w:tcPr>
    </w:tblStylePr>
    <w:tblStylePr w:type="band2Horz">
      <w:rPr/>
      <w:tcPr>
        <w:tcBorders>
          <w:top w:val="single" w:sz="4" w:space="0" w:color="FFFFFF" w:themeColor="light1"/>
          <w:bottom w:val="single" w:sz="4" w:space="0" w:color="FFFFFF" w:themeColor="light1"/>
        </w:tcBorders>
        <w:shd w:val="clear" w:color="B2A1C6" w:fill="B2A1C6"/>
      </w:tcPr>
    </w:tblStylePr>
  </w:style>
  <w:style w:type="table" w:customStyle="1" w:styleId="ListTable5Dark-Accent5">
    <w:name w:val="List Table 5 Dark - Accent 5"/>
    <w:uiPriority w:val="99"/>
    <w:pPr>
      <w:spacing w:after="0" w:line="240" w:lineRule="auto"/>
    </w:pPr>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cPr>
        <w:tcBorders>
          <w:top w:val="single" w:sz="32" w:space="0" w:color="92CCDC" w:themeColor="accent5" w:themeTint="9A"/>
          <w:bottom w:val="single" w:sz="12" w:space="0" w:color="FFFFFF" w:themeColor="light1"/>
        </w:tcBorders>
        <w:shd w:val="clear" w:color="92CCDC"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92CCDC" w:themeColor="accent5" w:themeTint="9A"/>
          <w:right w:val="single" w:sz="4" w:space="0" w:color="FFFFFF" w:themeColor="light1"/>
        </w:tcBorders>
      </w:tcPr>
    </w:tblStylePr>
    <w:tblStylePr w:type="lastCol">
      <w:rPr/>
      <w:tcPr>
        <w:tcBorders>
          <w:left w:val="single" w:sz="4" w:space="0" w:color="FFFFFF" w:themeColor="light1"/>
          <w:right w:val="single" w:sz="32" w:space="0" w:color="92CCDC" w:themeColor="accent5" w:themeTint="9A"/>
        </w:tcBorders>
      </w:tcPr>
    </w:tblStylePr>
    <w:tblStylePr w:type="band1Vert">
      <w:rPr/>
      <w:tcPr>
        <w:tcBorders>
          <w:left w:val="single" w:sz="4" w:space="0" w:color="FFFFFF" w:themeColor="light1"/>
          <w:right w:val="single" w:sz="4" w:space="0" w:color="FFFFFF" w:themeColor="light1"/>
        </w:tcBorders>
        <w:shd w:val="clear" w:color="92CCDC" w:fill="92CCDC"/>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92CCDC" w:fill="92CCDC"/>
      </w:tcPr>
    </w:tblStylePr>
    <w:tblStylePr w:type="band2Horz">
      <w:rPr/>
      <w:tcPr>
        <w:tcBorders>
          <w:top w:val="single" w:sz="4" w:space="0" w:color="FFFFFF" w:themeColor="light1"/>
          <w:bottom w:val="single" w:sz="4" w:space="0" w:color="FFFFFF" w:themeColor="light1"/>
        </w:tcBorders>
        <w:shd w:val="clear" w:color="92CCDC" w:fill="92CCDC"/>
      </w:tcPr>
    </w:tblStylePr>
  </w:style>
  <w:style w:type="table" w:customStyle="1" w:styleId="ListTable5Dark-Accent6">
    <w:name w:val="List Table 5 Dark - Accent 6"/>
    <w:uiPriority w:val="99"/>
    <w:pPr>
      <w:spacing w:after="0" w:line="240" w:lineRule="auto"/>
    </w:pPr>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cPr>
        <w:tcBorders>
          <w:top w:val="single" w:sz="32" w:space="0" w:color="FAC090" w:themeColor="accent6" w:themeTint="98"/>
          <w:bottom w:val="single" w:sz="12" w:space="0" w:color="FFFFFF" w:themeColor="light1"/>
        </w:tcBorders>
        <w:shd w:val="clear" w:color="FAC090"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sz="32" w:space="0" w:color="FAC090" w:themeColor="accent6" w:themeTint="98"/>
          <w:right w:val="single" w:sz="4" w:space="0" w:color="FFFFFF" w:themeColor="light1"/>
        </w:tcBorders>
      </w:tcPr>
    </w:tblStylePr>
    <w:tblStylePr w:type="lastCol">
      <w:rPr/>
      <w:tcPr>
        <w:tcBorders>
          <w:left w:val="single" w:sz="4" w:space="0" w:color="FFFFFF" w:themeColor="light1"/>
          <w:right w:val="single" w:sz="32" w:space="0" w:color="FAC090" w:themeColor="accent6" w:themeTint="98"/>
        </w:tcBorders>
      </w:tcPr>
    </w:tblStylePr>
    <w:tblStylePr w:type="band1Vert">
      <w:rPr/>
      <w:tcPr>
        <w:tcBorders>
          <w:left w:val="single" w:sz="4" w:space="0" w:color="FFFFFF" w:themeColor="light1"/>
          <w:right w:val="single" w:sz="4" w:space="0" w:color="FFFFFF" w:themeColor="light1"/>
        </w:tcBorders>
        <w:shd w:val="clear" w:color="FAC090" w:fill="FAC090"/>
      </w:tcPr>
    </w:tblStylePr>
    <w:tblStylePr w:type="band2Vert">
      <w:rPr/>
      <w:tcPr>
        <w:tcBorders>
          <w:left w:val="single" w:sz="4" w:space="0" w:color="FFFFFF" w:themeColor="light1"/>
          <w:right w:val="single" w:sz="4" w:space="0" w:color="FFFFFF" w:themeColor="light1"/>
        </w:tcBorders>
      </w:tcPr>
    </w:tblStylePr>
    <w:tblStylePr w:type="band1Horz">
      <w:rPr/>
      <w:tcPr>
        <w:tcBorders>
          <w:top w:val="single" w:sz="4" w:space="0" w:color="FFFFFF" w:themeColor="light1"/>
          <w:bottom w:val="single" w:sz="4" w:space="0" w:color="FFFFFF" w:themeColor="light1"/>
        </w:tcBorders>
        <w:shd w:val="clear" w:color="FAC090" w:fill="FAC090"/>
      </w:tcPr>
    </w:tblStylePr>
    <w:tblStylePr w:type="band2Horz">
      <w:rPr/>
      <w:tcPr>
        <w:tcBorders>
          <w:top w:val="single" w:sz="4" w:space="0" w:color="FFFFFF" w:themeColor="light1"/>
          <w:bottom w:val="single" w:sz="4" w:space="0" w:color="FFFFFF" w:themeColor="light1"/>
        </w:tcBorders>
        <w:shd w:val="clear" w:color="FAC090" w:fill="FAC090"/>
      </w:tcPr>
    </w:tblStylePr>
  </w:style>
  <w:style w:type="table" w:customStyle="1" w:styleId="ListTable6Colorful">
    <w:name w:val="List Table 6 Colorful"/>
    <w:uiPriority w:val="99"/>
    <w:pPr>
      <w:spacing w:after="0" w:line="240" w:lineRule="auto"/>
    </w:pPr>
    <w:rPr/>
    <w:tblPr>
      <w:tblBorders>
        <w:top w:val="single" w:sz="4" w:space="0" w:color="7E7E7E" w:themeColor="text1" w:themeTint="80"/>
        <w:bottom w:val="single" w:sz="4" w:space="0" w:color="7E7E7E" w:themeColor="text1" w:themeTint="80"/>
      </w:tblBorders>
    </w:tblPr>
    <w:tblStylePr w:type="firstRow">
      <w:rPr>
        <w:b/>
        <w:color w:val="000000" w:themeColor="text1"/>
      </w:rPr>
      <w:tcPr>
        <w:tcBorders>
          <w:bottom w:val="single" w:sz="4" w:space="0" w:color="7E7E7E" w:themeColor="text1" w:themeTint="80"/>
        </w:tcBorders>
      </w:tcPr>
    </w:tblStylePr>
    <w:tblStylePr w:type="lastRow">
      <w:rPr>
        <w:b/>
        <w:color w:val="000000" w:themeColor="text1"/>
      </w:rPr>
      <w:tcPr>
        <w:tcBorders>
          <w:top w:val="single" w:sz="4" w:space="0" w:color="7E7E7E" w:themeColor="text1" w:themeTint="80"/>
        </w:tcBorders>
      </w:tcPr>
    </w:tblStylePr>
    <w:tblStylePr w:type="firstCol">
      <w:rPr>
        <w:b/>
        <w:color w:val="000000" w:themeColor="text1"/>
      </w:rPr>
    </w:tblStylePr>
    <w:tblStylePr w:type="lastCol">
      <w:rPr>
        <w:b/>
        <w:color w:val="000000" w:themeColor="text1"/>
      </w:rPr>
    </w:tblStylePr>
    <w:tblStylePr w:type="band1Vert">
      <w:rPr/>
      <w:tcPr>
        <w:shd w:val="clear" w:color="BEBEBE" w:fill="BEBEBE"/>
      </w:tcPr>
    </w:tblStylePr>
    <w:tblStylePr w:type="band1Horz">
      <w:rPr>
        <w:rFonts w:ascii="Arial" w:hAnsi="Arial"/>
        <w:color w:val="000000" w:themeColor="text1"/>
        <w:sz w:val="22"/>
      </w:rPr>
      <w:tcPr>
        <w:shd w:val="clear" w:color="BEBEBE" w:fill="BEBEBE"/>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pPr>
      <w:spacing w:after="0" w:line="240" w:lineRule="auto"/>
    </w:pPr>
    <w:rPr/>
    <w:tblPr>
      <w:tblBorders>
        <w:top w:val="single" w:sz="4" w:space="0" w:color="4F81BD" w:themeColor="accent1"/>
        <w:bottom w:val="single" w:sz="4" w:space="0" w:color="4F81BD" w:themeColor="accent1"/>
      </w:tblBorders>
    </w:tblPr>
    <w:tblStylePr w:type="firstRow">
      <w:rPr>
        <w:b/>
        <w:color w:val="2A4B71" w:themeColor="accent1" w:themeShade="95"/>
      </w:rPr>
      <w:tcPr>
        <w:tcBorders>
          <w:bottom w:val="single" w:sz="4" w:space="0" w:color="4F81BD" w:themeColor="accent1"/>
        </w:tcBorders>
      </w:tcPr>
    </w:tblStylePr>
    <w:tblStylePr w:type="lastRow">
      <w:rPr>
        <w:b/>
        <w:color w:val="2A4B71" w:themeColor="accent1" w:themeShade="95"/>
      </w:rPr>
      <w:tcPr>
        <w:tcBorders>
          <w:top w:val="single" w:sz="4" w:space="0" w:color="4F81BD" w:themeColor="accent1"/>
        </w:tcBorders>
      </w:tcPr>
    </w:tblStylePr>
    <w:tblStylePr w:type="firstCol">
      <w:rPr>
        <w:b/>
        <w:color w:val="2A4B71" w:themeColor="accent1" w:themeShade="95"/>
      </w:rPr>
    </w:tblStylePr>
    <w:tblStylePr w:type="lastCol">
      <w:rPr>
        <w:b/>
        <w:color w:val="2A4B71" w:themeColor="accent1" w:themeShade="95"/>
      </w:rPr>
    </w:tblStylePr>
    <w:tblStylePr w:type="band1Vert">
      <w:rPr/>
      <w:tcPr>
        <w:shd w:val="clear" w:color="D2DFEE" w:fill="D2DFEE"/>
      </w:tcPr>
    </w:tblStylePr>
    <w:tblStylePr w:type="band1Horz">
      <w:rPr>
        <w:rFonts w:ascii="Arial" w:hAnsi="Arial"/>
        <w:color w:val="2A4B71" w:themeColor="accent1" w:themeShade="95"/>
        <w:sz w:val="22"/>
      </w:rPr>
      <w:tcPr>
        <w:shd w:val="clear" w:color="D2DFEE" w:fill="D2DFEE"/>
      </w:tcPr>
    </w:tblStylePr>
    <w:tblStylePr w:type="band2Horz">
      <w:rPr>
        <w:rFonts w:ascii="Arial" w:hAnsi="Arial"/>
        <w:color w:val="2A4B71" w:themeColor="accent1" w:themeShade="95"/>
        <w:sz w:val="22"/>
      </w:rPr>
    </w:tblStylePr>
  </w:style>
  <w:style w:type="table" w:customStyle="1" w:styleId="ListTable6Colorful-Accent2">
    <w:name w:val="List Table 6 Colorful - Accent 2"/>
    <w:uiPriority w:val="99"/>
    <w:pPr>
      <w:spacing w:after="0" w:line="240" w:lineRule="auto"/>
    </w:pPr>
    <w:rPr/>
    <w:tblPr>
      <w:tblBorders>
        <w:top w:val="single" w:sz="4" w:space="0" w:color="D99795" w:themeColor="accent2" w:themeTint="97"/>
        <w:bottom w:val="single" w:sz="4" w:space="0" w:color="D99795" w:themeColor="accent2" w:themeTint="97"/>
      </w:tblBorders>
    </w:tblPr>
    <w:tblStylePr w:type="firstRow">
      <w:rPr>
        <w:b/>
        <w:color w:val="D99795" w:themeColor="accent2" w:themeShade="95" w:themeTint="97"/>
      </w:rPr>
      <w:tcPr>
        <w:tcBorders>
          <w:bottom w:val="single" w:sz="4" w:space="0" w:color="D99795" w:themeColor="accent2" w:themeTint="97"/>
        </w:tcBorders>
      </w:tcPr>
    </w:tblStylePr>
    <w:tblStylePr w:type="lastRow">
      <w:rPr>
        <w:b/>
        <w:color w:val="D99795" w:themeColor="accent2" w:themeShade="95" w:themeTint="97"/>
      </w:rPr>
      <w:tcPr>
        <w:tcBorders>
          <w:top w:val="single" w:sz="4" w:space="0" w:color="D99795" w:themeColor="accent2" w:themeTint="97"/>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rPr/>
      <w:tcPr>
        <w:shd w:val="clear" w:color="EFD3D2" w:fill="EFD3D2"/>
      </w:tcPr>
    </w:tblStylePr>
    <w:tblStylePr w:type="band1Horz">
      <w:rPr>
        <w:rFonts w:ascii="Arial" w:hAnsi="Arial"/>
        <w:color w:val="D99795" w:themeColor="accent2" w:themeShade="95" w:themeTint="97"/>
        <w:sz w:val="22"/>
      </w:rPr>
      <w:tcPr>
        <w:shd w:val="clear" w:color="EFD3D2" w:fill="EFD3D2"/>
      </w:tcPr>
    </w:tblStylePr>
    <w:tblStylePr w:type="band2Horz">
      <w:rPr>
        <w:rFonts w:ascii="Arial" w:hAnsi="Arial"/>
        <w:color w:val="D99795" w:themeColor="accent2" w:themeShade="95" w:themeTint="97"/>
        <w:sz w:val="22"/>
      </w:rPr>
    </w:tblStylePr>
  </w:style>
  <w:style w:type="table" w:customStyle="1" w:styleId="ListTable6Colorful-Accent3">
    <w:name w:val="List Table 6 Colorful - Accent 3"/>
    <w:uiPriority w:val="99"/>
    <w:pPr>
      <w:spacing w:after="0" w:line="240" w:lineRule="auto"/>
    </w:pPr>
    <w:rPr/>
    <w:tblPr>
      <w:tblBorders>
        <w:top w:val="single" w:sz="4" w:space="0" w:color="C3D69C" w:themeColor="accent3" w:themeTint="98"/>
        <w:bottom w:val="single" w:sz="4" w:space="0" w:color="C3D69C" w:themeColor="accent3" w:themeTint="98"/>
      </w:tblBorders>
    </w:tblPr>
    <w:tblStylePr w:type="firstRow">
      <w:rPr>
        <w:b/>
        <w:color w:val="C3D69C" w:themeColor="accent3" w:themeShade="95" w:themeTint="98"/>
      </w:rPr>
      <w:tcPr>
        <w:tcBorders>
          <w:bottom w:val="single" w:sz="4" w:space="0" w:color="C3D69C" w:themeColor="accent3" w:themeTint="98"/>
        </w:tcBorders>
      </w:tcPr>
    </w:tblStylePr>
    <w:tblStylePr w:type="lastRow">
      <w:rPr>
        <w:b/>
        <w:color w:val="C3D69C" w:themeColor="accent3" w:themeShade="95" w:themeTint="98"/>
      </w:rPr>
      <w:tcPr>
        <w:tcBorders>
          <w:top w:val="single" w:sz="4" w:space="0" w:color="C3D69C" w:themeColor="accent3" w:themeTint="98"/>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rPr/>
      <w:tcPr>
        <w:shd w:val="clear" w:color="E5EDD5" w:fill="E5EDD5"/>
      </w:tcPr>
    </w:tblStylePr>
    <w:tblStylePr w:type="band1Horz">
      <w:rPr>
        <w:rFonts w:ascii="Arial" w:hAnsi="Arial"/>
        <w:color w:val="C3D69C" w:themeColor="accent3" w:themeShade="95" w:themeTint="98"/>
        <w:sz w:val="22"/>
      </w:rPr>
      <w:tcPr>
        <w:shd w:val="clear" w:color="E5EDD5" w:fill="E5EDD5"/>
      </w:tcPr>
    </w:tblStylePr>
    <w:tblStylePr w:type="band2Horz">
      <w:rPr>
        <w:rFonts w:ascii="Arial" w:hAnsi="Arial"/>
        <w:color w:val="C3D69C" w:themeColor="accent3" w:themeShade="95" w:themeTint="98"/>
        <w:sz w:val="22"/>
      </w:rPr>
    </w:tblStylePr>
  </w:style>
  <w:style w:type="table" w:customStyle="1" w:styleId="ListTable6Colorful-Accent4">
    <w:name w:val="List Table 6 Colorful - Accent 4"/>
    <w:uiPriority w:val="99"/>
    <w:pPr>
      <w:spacing w:after="0" w:line="240" w:lineRule="auto"/>
    </w:pPr>
    <w:rPr/>
    <w:tblPr>
      <w:tblBorders>
        <w:top w:val="single" w:sz="4" w:space="0" w:color="B2A1C6" w:themeColor="accent4" w:themeTint="9A"/>
        <w:bottom w:val="single" w:sz="4" w:space="0" w:color="B2A1C6" w:themeColor="accent4" w:themeTint="9A"/>
      </w:tblBorders>
    </w:tblPr>
    <w:tblStylePr w:type="firstRow">
      <w:rPr>
        <w:b/>
        <w:color w:val="B2A1C6" w:themeColor="accent4" w:themeShade="95" w:themeTint="9A"/>
      </w:rPr>
      <w:tcPr>
        <w:tcBorders>
          <w:bottom w:val="single" w:sz="4" w:space="0" w:color="B2A1C6" w:themeColor="accent4" w:themeTint="9A"/>
        </w:tcBorders>
      </w:tcPr>
    </w:tblStylePr>
    <w:tblStylePr w:type="lastRow">
      <w:rPr>
        <w:b/>
        <w:color w:val="B2A1C6" w:themeColor="accent4" w:themeShade="95" w:themeTint="9A"/>
      </w:rPr>
      <w:tcPr>
        <w:tcBorders>
          <w:top w:val="single" w:sz="4" w:space="0" w:color="B2A1C6" w:themeColor="accent4" w:themeTint="9A"/>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rPr/>
      <w:tcPr>
        <w:shd w:val="clear" w:color="DFD8E7" w:fill="DFD8E7"/>
      </w:tcPr>
    </w:tblStylePr>
    <w:tblStylePr w:type="band1Horz">
      <w:rPr>
        <w:rFonts w:ascii="Arial" w:hAnsi="Arial"/>
        <w:color w:val="B2A1C6" w:themeColor="accent4" w:themeShade="95" w:themeTint="9A"/>
        <w:sz w:val="22"/>
      </w:rPr>
      <w:tcPr>
        <w:shd w:val="clear" w:color="DFD8E7" w:fill="DFD8E7"/>
      </w:tcPr>
    </w:tblStylePr>
    <w:tblStylePr w:type="band2Horz">
      <w:rPr>
        <w:rFonts w:ascii="Arial" w:hAnsi="Arial"/>
        <w:color w:val="B2A1C6" w:themeColor="accent4" w:themeShade="95" w:themeTint="9A"/>
        <w:sz w:val="22"/>
      </w:rPr>
    </w:tblStylePr>
  </w:style>
  <w:style w:type="table" w:customStyle="1" w:styleId="ListTable6Colorful-Accent5">
    <w:name w:val="List Table 6 Colorful - Accent 5"/>
    <w:uiPriority w:val="99"/>
    <w:pPr>
      <w:spacing w:after="0" w:line="240" w:lineRule="auto"/>
    </w:pPr>
    <w:rPr/>
    <w:tblPr>
      <w:tblBorders>
        <w:top w:val="single" w:sz="4" w:space="0" w:color="92CCDC" w:themeColor="accent5" w:themeTint="9A"/>
        <w:bottom w:val="single" w:sz="4" w:space="0" w:color="92CCDC" w:themeColor="accent5" w:themeTint="9A"/>
      </w:tblBorders>
    </w:tblPr>
    <w:tblStylePr w:type="firstRow">
      <w:rPr>
        <w:b/>
        <w:color w:val="92CCDC" w:themeColor="accent5" w:themeShade="95" w:themeTint="9A"/>
      </w:rPr>
      <w:tcPr>
        <w:tcBorders>
          <w:bottom w:val="single" w:sz="4" w:space="0" w:color="92CCDC" w:themeColor="accent5" w:themeTint="9A"/>
        </w:tcBorders>
      </w:tcPr>
    </w:tblStylePr>
    <w:tblStylePr w:type="lastRow">
      <w:rPr>
        <w:b/>
        <w:color w:val="92CCDC" w:themeColor="accent5" w:themeShade="95" w:themeTint="9A"/>
      </w:rPr>
      <w:tcPr>
        <w:tcBorders>
          <w:top w:val="single" w:sz="4" w:space="0" w:color="92CCDC" w:themeColor="accent5" w:themeTint="9A"/>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rPr/>
      <w:tcPr>
        <w:shd w:val="clear" w:color="D1EAF0" w:fill="D1EAF0"/>
      </w:tcPr>
    </w:tblStylePr>
    <w:tblStylePr w:type="band1Horz">
      <w:rPr>
        <w:rFonts w:ascii="Arial" w:hAnsi="Arial"/>
        <w:color w:val="92CCDC" w:themeColor="accent5" w:themeShade="95" w:themeTint="9A"/>
        <w:sz w:val="22"/>
      </w:rPr>
      <w:tcPr>
        <w:shd w:val="clear" w:color="D1EAF0" w:fill="D1EAF0"/>
      </w:tcPr>
    </w:tblStylePr>
    <w:tblStylePr w:type="band2Horz">
      <w:rPr>
        <w:rFonts w:ascii="Arial" w:hAnsi="Arial"/>
        <w:color w:val="92CCDC" w:themeColor="accent5" w:themeShade="95" w:themeTint="9A"/>
        <w:sz w:val="22"/>
      </w:rPr>
    </w:tblStylePr>
  </w:style>
  <w:style w:type="table" w:customStyle="1" w:styleId="ListTable6Colorful-Accent6">
    <w:name w:val="List Table 6 Colorful - Accent 6"/>
    <w:uiPriority w:val="99"/>
    <w:pPr>
      <w:spacing w:after="0" w:line="240" w:lineRule="auto"/>
    </w:pPr>
    <w:rPr/>
    <w:tblPr>
      <w:tblBorders>
        <w:top w:val="single" w:sz="4" w:space="0" w:color="FAC090" w:themeColor="accent6" w:themeTint="98"/>
        <w:bottom w:val="single" w:sz="4" w:space="0" w:color="FAC090" w:themeColor="accent6" w:themeTint="98"/>
      </w:tblBorders>
    </w:tblPr>
    <w:tblStylePr w:type="firstRow">
      <w:rPr>
        <w:b/>
        <w:color w:val="FAC090" w:themeColor="accent6" w:themeShade="95" w:themeTint="98"/>
      </w:rPr>
      <w:tcPr>
        <w:tcBorders>
          <w:bottom w:val="single" w:sz="4" w:space="0" w:color="FAC090" w:themeColor="accent6" w:themeTint="98"/>
        </w:tcBorders>
      </w:tcPr>
    </w:tblStylePr>
    <w:tblStylePr w:type="lastRow">
      <w:rPr>
        <w:b/>
        <w:color w:val="FAC090" w:themeColor="accent6" w:themeShade="95" w:themeTint="98"/>
      </w:rPr>
      <w:tcPr>
        <w:tcBorders>
          <w:top w:val="single" w:sz="4" w:space="0" w:color="FAC090" w:themeColor="accent6" w:themeTint="98"/>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rPr/>
      <w:tcPr>
        <w:shd w:val="clear" w:color="FCE4D0" w:fill="FCE4D0"/>
      </w:tcPr>
    </w:tblStylePr>
    <w:tblStylePr w:type="band1Horz">
      <w:rPr>
        <w:rFonts w:ascii="Arial" w:hAnsi="Arial"/>
        <w:color w:val="FAC090" w:themeColor="accent6" w:themeShade="95" w:themeTint="98"/>
        <w:sz w:val="22"/>
      </w:rPr>
      <w:tcPr>
        <w:shd w:val="clear" w:color="FCE4D0" w:fill="FCE4D0"/>
      </w:tcPr>
    </w:tblStylePr>
    <w:tblStylePr w:type="band2Horz">
      <w:rPr>
        <w:rFonts w:ascii="Arial" w:hAnsi="Arial"/>
        <w:color w:val="FAC090" w:themeColor="accent6" w:themeShade="95" w:themeTint="98"/>
        <w:sz w:val="22"/>
      </w:rPr>
    </w:tblStylePr>
  </w:style>
  <w:style w:type="table" w:customStyle="1" w:styleId="ListTable7Colorful">
    <w:name w:val="List Table 7 Colorful"/>
    <w:uiPriority w:val="99"/>
    <w:pPr>
      <w:spacing w:after="0" w:line="240" w:lineRule="auto"/>
    </w:pPr>
    <w:rPr/>
    <w:tblPr>
      <w:tblBorders>
        <w:right w:val="single" w:sz="4" w:space="0" w:color="7E7E7E" w:themeColor="text1" w:themeTint="80"/>
      </w:tblBorders>
    </w:tblPr>
    <w:tblStylePr w:type="firstRow">
      <w:rPr>
        <w:rFonts w:ascii="Arial" w:hAnsi="Arial"/>
        <w:i/>
        <w:color w:val="7E7E7E" w:themeColor="text1" w:themeShade="95" w:themeTint="80"/>
        <w:sz w:val="22"/>
      </w:rPr>
      <w:tcPr>
        <w:tcBorders>
          <w:top w:val="nil"/>
          <w:left w:val="nil"/>
          <w:bottom w:val="single" w:sz="4" w:space="0" w:color="7E7E7E" w:themeColor="text1" w:themeTint="80"/>
          <w:right w:val="nil"/>
        </w:tcBorders>
        <w:shd w:val="clear" w:color="FFFFFF" w:fill="FFFFFF"/>
      </w:tcPr>
    </w:tblStylePr>
    <w:tblStylePr w:type="lastRow">
      <w:rPr>
        <w:rFonts w:ascii="Arial" w:hAnsi="Arial"/>
        <w:i/>
        <w:color w:val="7E7E7E" w:themeColor="text1" w:themeShade="95" w:themeTint="80"/>
        <w:sz w:val="22"/>
      </w:rPr>
      <w:tcPr>
        <w:tcBorders>
          <w:top w:val="single" w:sz="4" w:space="0" w:color="7E7E7E" w:themeColor="text1" w:themeTint="80"/>
          <w:left w:val="nil"/>
          <w:bottom w:val="nil"/>
          <w:right w:val="nil"/>
        </w:tcBorders>
        <w:shd w:val="clear" w:color="FFFFFF" w:fill="FFFFFF"/>
      </w:tcPr>
    </w:tblStylePr>
    <w:tblStylePr w:type="firstCol">
      <w:pPr>
        <w:jc w:val="right"/>
      </w:pPr>
      <w:rPr>
        <w:rFonts w:ascii="Arial" w:hAnsi="Arial"/>
        <w:i/>
        <w:color w:val="7E7E7E" w:themeColor="text1" w:themeShade="95" w:themeTint="80"/>
        <w:sz w:val="22"/>
      </w:rPr>
      <w:tcPr>
        <w:tcBorders>
          <w:top w:val="nil"/>
          <w:left w:val="nil"/>
          <w:bottom w:val="nil"/>
          <w:right w:val="single" w:sz="4" w:space="0" w:color="7E7E7E" w:themeColor="text1" w:themeTint="80"/>
        </w:tcBorders>
        <w:shd w:val="clear" w:color="FFFFFF" w:fill="auto"/>
      </w:tcPr>
    </w:tblStylePr>
    <w:tblStylePr w:type="lastCol">
      <w:rPr>
        <w:rFonts w:ascii="Arial" w:hAnsi="Arial"/>
        <w:i/>
        <w:color w:val="7E7E7E" w:themeColor="text1" w:themeShade="95" w:themeTint="80"/>
        <w:sz w:val="22"/>
      </w:rPr>
      <w:tcPr>
        <w:tcBorders>
          <w:top w:val="nil"/>
          <w:left w:val="single" w:sz="4" w:space="0" w:color="7E7E7E" w:themeColor="text1" w:themeTint="80"/>
          <w:bottom w:val="nil"/>
          <w:right w:val="nil"/>
        </w:tcBorders>
        <w:shd w:val="clear" w:color="FFFFFF" w:fill="auto"/>
      </w:tcPr>
    </w:tblStylePr>
    <w:tblStylePr w:type="band1Vert">
      <w:rPr/>
      <w:tcPr>
        <w:shd w:val="clear" w:color="BEBEBE" w:fill="BEBEBE"/>
      </w:tcPr>
    </w:tblStylePr>
    <w:tblStylePr w:type="band1Horz">
      <w:rPr>
        <w:rFonts w:ascii="Arial" w:hAnsi="Arial"/>
        <w:color w:val="7E7E7E" w:themeColor="text1" w:themeShade="95" w:themeTint="80"/>
        <w:sz w:val="22"/>
      </w:rPr>
      <w:tcPr>
        <w:shd w:val="clear" w:color="BEBEBE" w:fill="BEBEBE"/>
      </w:tcPr>
    </w:tblStylePr>
    <w:tblStylePr w:type="band2Horz">
      <w:rPr>
        <w:rFonts w:ascii="Arial" w:hAnsi="Arial"/>
        <w:color w:val="7E7E7E" w:themeColor="text1" w:themeShade="95" w:themeTint="80"/>
        <w:sz w:val="22"/>
      </w:rPr>
    </w:tblStylePr>
  </w:style>
  <w:style w:type="table" w:customStyle="1" w:styleId="ListTable7Colorful-Accent1">
    <w:name w:val="List Table 7 Colorful - Accent 1"/>
    <w:uiPriority w:val="99"/>
    <w:pPr>
      <w:spacing w:after="0" w:line="240" w:lineRule="auto"/>
    </w:pPr>
    <w:rPr/>
    <w:tblPr>
      <w:tblBorders>
        <w:right w:val="single" w:sz="4" w:space="0" w:color="4F81BD" w:themeColor="accent1"/>
      </w:tblBorders>
    </w:tblPr>
    <w:tblStylePr w:type="firstRow">
      <w:rPr>
        <w:rFonts w:ascii="Arial" w:hAnsi="Arial"/>
        <w:i/>
        <w:color w:val="2A4B71" w:themeColor="accent1" w:themeShade="95"/>
        <w:sz w:val="22"/>
      </w:rPr>
      <w:tcPr>
        <w:tcBorders>
          <w:top w:val="nil"/>
          <w:left w:val="nil"/>
          <w:bottom w:val="single" w:sz="4" w:space="0" w:color="4F81BD" w:themeColor="accent1"/>
          <w:right w:val="nil"/>
        </w:tcBorders>
        <w:shd w:val="clear" w:color="FFFFFF" w:fill="FFFFFF"/>
      </w:tcPr>
    </w:tblStylePr>
    <w:tblStylePr w:type="lastRow">
      <w:rPr>
        <w:rFonts w:ascii="Arial" w:hAnsi="Arial"/>
        <w:i/>
        <w:color w:val="2A4B71" w:themeColor="accent1" w:themeShade="95"/>
        <w:sz w:val="22"/>
      </w:rPr>
      <w:tcPr>
        <w:tcBorders>
          <w:top w:val="single" w:sz="4" w:space="0" w:color="4F81BD" w:themeColor="accent1"/>
          <w:left w:val="nil"/>
          <w:bottom w:val="nil"/>
          <w:right w:val="nil"/>
        </w:tcBorders>
        <w:shd w:val="clear" w:color="FFFFFF" w:fill="FFFFFF"/>
      </w:tcPr>
    </w:tblStylePr>
    <w:tblStylePr w:type="firstCol">
      <w:pPr>
        <w:jc w:val="right"/>
      </w:pPr>
      <w:rPr>
        <w:rFonts w:ascii="Arial" w:hAnsi="Arial"/>
        <w:i/>
        <w:color w:val="2A4B71" w:themeColor="accent1" w:themeShade="95"/>
        <w:sz w:val="22"/>
      </w:rPr>
      <w:tcPr>
        <w:tcBorders>
          <w:top w:val="nil"/>
          <w:left w:val="nil"/>
          <w:bottom w:val="nil"/>
          <w:right w:val="single" w:sz="4" w:space="0" w:color="4F81BD" w:themeColor="accent1"/>
        </w:tcBorders>
        <w:shd w:val="clear" w:color="FFFFFF" w:fill="auto"/>
      </w:tcPr>
    </w:tblStylePr>
    <w:tblStylePr w:type="lastCol">
      <w:rPr>
        <w:rFonts w:ascii="Arial" w:hAnsi="Arial"/>
        <w:i/>
        <w:color w:val="2A4B71" w:themeColor="accent1" w:themeShade="95"/>
        <w:sz w:val="22"/>
      </w:rPr>
      <w:tcPr>
        <w:tcBorders>
          <w:top w:val="nil"/>
          <w:left w:val="single" w:sz="4" w:space="0" w:color="4F81BD" w:themeColor="accent1"/>
          <w:bottom w:val="nil"/>
          <w:right w:val="nil"/>
        </w:tcBorders>
        <w:shd w:val="clear" w:color="FFFFFF" w:fill="auto"/>
      </w:tcPr>
    </w:tblStylePr>
    <w:tblStylePr w:type="band1Vert">
      <w:rPr/>
      <w:tcPr>
        <w:shd w:val="clear" w:color="D2DFEE" w:fill="D2DFEE"/>
      </w:tcPr>
    </w:tblStylePr>
    <w:tblStylePr w:type="band1Horz">
      <w:rPr>
        <w:rFonts w:ascii="Arial" w:hAnsi="Arial"/>
        <w:color w:val="2A4B71" w:themeColor="accent1" w:themeShade="95"/>
        <w:sz w:val="22"/>
      </w:rPr>
      <w:tcPr>
        <w:shd w:val="clear" w:color="D2DFEE" w:fill="D2DFEE"/>
      </w:tcPr>
    </w:tblStylePr>
    <w:tblStylePr w:type="band2Horz">
      <w:rPr>
        <w:rFonts w:ascii="Arial" w:hAnsi="Arial"/>
        <w:color w:val="2A4B71" w:themeColor="accent1" w:themeShade="95"/>
        <w:sz w:val="22"/>
      </w:rPr>
    </w:tblStylePr>
  </w:style>
  <w:style w:type="table" w:customStyle="1" w:styleId="ListTable7Colorful-Accent2">
    <w:name w:val="List Table 7 Colorful - Accent 2"/>
    <w:uiPriority w:val="99"/>
    <w:pPr>
      <w:spacing w:after="0" w:line="240" w:lineRule="auto"/>
    </w:pPr>
    <w:rPr/>
    <w:tblPr>
      <w:tblBorders>
        <w:right w:val="single" w:sz="4" w:space="0" w:color="D99795" w:themeColor="accent2" w:themeTint="97"/>
      </w:tblBorders>
    </w:tblPr>
    <w:tblStylePr w:type="firstRow">
      <w:rPr>
        <w:rFonts w:ascii="Arial" w:hAnsi="Arial"/>
        <w:i/>
        <w:color w:val="D99795" w:themeColor="accent2" w:themeShade="95" w:themeTint="97"/>
        <w:sz w:val="22"/>
      </w:rPr>
      <w:tcPr>
        <w:tcBorders>
          <w:top w:val="nil"/>
          <w:left w:val="nil"/>
          <w:bottom w:val="single" w:sz="4" w:space="0" w:color="D99795" w:themeColor="accent2" w:themeTint="97"/>
          <w:right w:val="nil"/>
        </w:tcBorders>
        <w:shd w:val="clear" w:color="FFFFFF" w:fill="FFFFFF"/>
      </w:tcPr>
    </w:tblStylePr>
    <w:tblStylePr w:type="lastRow">
      <w:rPr>
        <w:rFonts w:ascii="Arial" w:hAnsi="Arial"/>
        <w:i/>
        <w:color w:val="D99795" w:themeColor="accent2" w:themeShade="95" w:themeTint="97"/>
        <w:sz w:val="22"/>
      </w:rPr>
      <w:tcPr>
        <w:tcBorders>
          <w:top w:val="single" w:sz="4" w:space="0" w:color="D99795" w:themeColor="accent2" w:themeTint="97"/>
          <w:left w:val="nil"/>
          <w:bottom w:val="nil"/>
          <w:right w:val="nil"/>
        </w:tcBorders>
        <w:shd w:val="clear" w:color="FFFFFF" w:fill="FFFFFF"/>
      </w:tcPr>
    </w:tblStylePr>
    <w:tblStylePr w:type="firstCol">
      <w:pPr>
        <w:jc w:val="right"/>
      </w:pPr>
      <w:rPr>
        <w:rFonts w:ascii="Arial" w:hAnsi="Arial"/>
        <w:i/>
        <w:color w:val="D99795" w:themeColor="accent2" w:themeShade="95" w:themeTint="97"/>
        <w:sz w:val="22"/>
      </w:rPr>
      <w:tcPr>
        <w:tcBorders>
          <w:top w:val="nil"/>
          <w:left w:val="nil"/>
          <w:bottom w:val="nil"/>
          <w:right w:val="single" w:sz="4" w:space="0" w:color="D99795" w:themeColor="accent2" w:themeTint="97"/>
        </w:tcBorders>
        <w:shd w:val="clear" w:color="FFFFFF" w:fill="auto"/>
      </w:tcPr>
    </w:tblStylePr>
    <w:tblStylePr w:type="lastCol">
      <w:rPr>
        <w:rFonts w:ascii="Arial" w:hAnsi="Arial"/>
        <w:i/>
        <w:color w:val="D99795" w:themeColor="accent2" w:themeShade="95" w:themeTint="97"/>
        <w:sz w:val="22"/>
      </w:rPr>
      <w:tcPr>
        <w:tcBorders>
          <w:top w:val="nil"/>
          <w:left w:val="single" w:sz="4" w:space="0" w:color="D99795" w:themeColor="accent2" w:themeTint="97"/>
          <w:bottom w:val="nil"/>
          <w:right w:val="nil"/>
        </w:tcBorders>
        <w:shd w:val="clear" w:color="FFFFFF" w:fill="auto"/>
      </w:tcPr>
    </w:tblStylePr>
    <w:tblStylePr w:type="band1Vert">
      <w:rPr/>
      <w:tcPr>
        <w:shd w:val="clear" w:color="EFD3D2" w:fill="EFD3D2"/>
      </w:tcPr>
    </w:tblStylePr>
    <w:tblStylePr w:type="band1Horz">
      <w:rPr>
        <w:rFonts w:ascii="Arial" w:hAnsi="Arial"/>
        <w:color w:val="D99795" w:themeColor="accent2" w:themeShade="95" w:themeTint="97"/>
        <w:sz w:val="22"/>
      </w:rPr>
      <w:tcPr>
        <w:shd w:val="clear" w:color="EFD3D2" w:fill="EFD3D2"/>
      </w:tcPr>
    </w:tblStylePr>
    <w:tblStylePr w:type="band2Horz">
      <w:rPr>
        <w:rFonts w:ascii="Arial" w:hAnsi="Arial"/>
        <w:color w:val="D99795" w:themeColor="accent2" w:themeShade="95" w:themeTint="97"/>
        <w:sz w:val="22"/>
      </w:rPr>
    </w:tblStylePr>
  </w:style>
  <w:style w:type="table" w:customStyle="1" w:styleId="ListTable7Colorful-Accent3">
    <w:name w:val="List Table 7 Colorful - Accent 3"/>
    <w:uiPriority w:val="99"/>
    <w:pPr>
      <w:spacing w:after="0" w:line="240" w:lineRule="auto"/>
    </w:pPr>
    <w:rPr/>
    <w:tblPr>
      <w:tblBorders>
        <w:right w:val="single" w:sz="4" w:space="0" w:color="C3D69C" w:themeColor="accent3" w:themeTint="98"/>
      </w:tblBorders>
    </w:tblPr>
    <w:tblStylePr w:type="firstRow">
      <w:rPr>
        <w:rFonts w:ascii="Arial" w:hAnsi="Arial"/>
        <w:i/>
        <w:color w:val="C3D69C" w:themeColor="accent3" w:themeShade="95" w:themeTint="98"/>
        <w:sz w:val="22"/>
      </w:rPr>
      <w:tcPr>
        <w:tcBorders>
          <w:top w:val="nil"/>
          <w:left w:val="nil"/>
          <w:bottom w:val="single" w:sz="4" w:space="0" w:color="C3D69C" w:themeColor="accent3" w:themeTint="98"/>
          <w:right w:val="nil"/>
        </w:tcBorders>
        <w:shd w:val="clear" w:color="FFFFFF" w:fill="FFFFFF"/>
      </w:tcPr>
    </w:tblStylePr>
    <w:tblStylePr w:type="lastRow">
      <w:rPr>
        <w:rFonts w:ascii="Arial" w:hAnsi="Arial"/>
        <w:i/>
        <w:color w:val="C3D69C" w:themeColor="accent3" w:themeShade="95" w:themeTint="98"/>
        <w:sz w:val="22"/>
      </w:rPr>
      <w:tcPr>
        <w:tcBorders>
          <w:top w:val="single" w:sz="4" w:space="0" w:color="C3D69C" w:themeColor="accent3" w:themeTint="98"/>
          <w:left w:val="nil"/>
          <w:bottom w:val="nil"/>
          <w:right w:val="nil"/>
        </w:tcBorders>
        <w:shd w:val="clear" w:color="FFFFFF" w:fill="FFFFFF"/>
      </w:tcPr>
    </w:tblStylePr>
    <w:tblStylePr w:type="firstCol">
      <w:pPr>
        <w:jc w:val="right"/>
      </w:pPr>
      <w:rPr>
        <w:rFonts w:ascii="Arial" w:hAnsi="Arial"/>
        <w:i/>
        <w:color w:val="C3D69C" w:themeColor="accent3" w:themeShade="95" w:themeTint="98"/>
        <w:sz w:val="22"/>
      </w:rPr>
      <w:tcPr>
        <w:tcBorders>
          <w:top w:val="nil"/>
          <w:left w:val="nil"/>
          <w:bottom w:val="nil"/>
          <w:right w:val="single" w:sz="4" w:space="0" w:color="C3D69C" w:themeColor="accent3" w:themeTint="98"/>
        </w:tcBorders>
        <w:shd w:val="clear" w:color="FFFFFF" w:fill="auto"/>
      </w:tcPr>
    </w:tblStylePr>
    <w:tblStylePr w:type="lastCol">
      <w:rPr>
        <w:rFonts w:ascii="Arial" w:hAnsi="Arial"/>
        <w:i/>
        <w:color w:val="C3D69C" w:themeColor="accent3" w:themeShade="95" w:themeTint="98"/>
        <w:sz w:val="22"/>
      </w:rPr>
      <w:tcPr>
        <w:tcBorders>
          <w:top w:val="nil"/>
          <w:left w:val="single" w:sz="4" w:space="0" w:color="C3D69C" w:themeColor="accent3" w:themeTint="98"/>
          <w:bottom w:val="nil"/>
          <w:right w:val="nil"/>
        </w:tcBorders>
        <w:shd w:val="clear" w:color="FFFFFF" w:fill="auto"/>
      </w:tcPr>
    </w:tblStylePr>
    <w:tblStylePr w:type="band1Vert">
      <w:rPr/>
      <w:tcPr>
        <w:shd w:val="clear" w:color="E5EDD5" w:fill="E5EDD5"/>
      </w:tcPr>
    </w:tblStylePr>
    <w:tblStylePr w:type="band1Horz">
      <w:rPr>
        <w:rFonts w:ascii="Arial" w:hAnsi="Arial"/>
        <w:color w:val="C3D69C" w:themeColor="accent3" w:themeShade="95" w:themeTint="98"/>
        <w:sz w:val="22"/>
      </w:rPr>
      <w:tcPr>
        <w:shd w:val="clear" w:color="E5EDD5" w:fill="E5EDD5"/>
      </w:tcPr>
    </w:tblStylePr>
    <w:tblStylePr w:type="band2Horz">
      <w:rPr>
        <w:rFonts w:ascii="Arial" w:hAnsi="Arial"/>
        <w:color w:val="C3D69C" w:themeColor="accent3" w:themeShade="95" w:themeTint="98"/>
        <w:sz w:val="22"/>
      </w:rPr>
    </w:tblStylePr>
  </w:style>
  <w:style w:type="table" w:customStyle="1" w:styleId="ListTable7Colorful-Accent4">
    <w:name w:val="List Table 7 Colorful - Accent 4"/>
    <w:uiPriority w:val="99"/>
    <w:pPr>
      <w:spacing w:after="0" w:line="240" w:lineRule="auto"/>
    </w:pPr>
    <w:rPr/>
    <w:tblPr>
      <w:tblBorders>
        <w:right w:val="single" w:sz="4" w:space="0" w:color="B2A1C6" w:themeColor="accent4" w:themeTint="9A"/>
      </w:tblBorders>
    </w:tblPr>
    <w:tblStylePr w:type="firstRow">
      <w:rPr>
        <w:rFonts w:ascii="Arial" w:hAnsi="Arial"/>
        <w:i/>
        <w:color w:val="B2A1C6" w:themeColor="accent4" w:themeShade="95" w:themeTint="9A"/>
        <w:sz w:val="22"/>
      </w:rPr>
      <w:tcPr>
        <w:tcBorders>
          <w:top w:val="nil"/>
          <w:left w:val="nil"/>
          <w:bottom w:val="single" w:sz="4" w:space="0" w:color="B2A1C6" w:themeColor="accent4" w:themeTint="9A"/>
          <w:right w:val="nil"/>
        </w:tcBorders>
        <w:shd w:val="clear" w:color="FFFFFF" w:fill="FFFFFF"/>
      </w:tcPr>
    </w:tblStylePr>
    <w:tblStylePr w:type="lastRow">
      <w:rPr>
        <w:rFonts w:ascii="Arial" w:hAnsi="Arial"/>
        <w:i/>
        <w:color w:val="B2A1C6" w:themeColor="accent4" w:themeShade="95" w:themeTint="9A"/>
        <w:sz w:val="22"/>
      </w:rPr>
      <w:tcPr>
        <w:tcBorders>
          <w:top w:val="single" w:sz="4" w:space="0" w:color="B2A1C6" w:themeColor="accent4" w:themeTint="9A"/>
          <w:left w:val="nil"/>
          <w:bottom w:val="nil"/>
          <w:right w:val="nil"/>
        </w:tcBorders>
        <w:shd w:val="clear" w:color="FFFFFF" w:fill="FFFFFF"/>
      </w:tcPr>
    </w:tblStylePr>
    <w:tblStylePr w:type="firstCol">
      <w:pPr>
        <w:jc w:val="right"/>
      </w:pPr>
      <w:rPr>
        <w:rFonts w:ascii="Arial" w:hAnsi="Arial"/>
        <w:i/>
        <w:color w:val="B2A1C6" w:themeColor="accent4" w:themeShade="95" w:themeTint="9A"/>
        <w:sz w:val="22"/>
      </w:r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Shade="95" w:themeTint="9A"/>
        <w:sz w:val="22"/>
      </w:rPr>
      <w:tcPr>
        <w:tcBorders>
          <w:top w:val="nil"/>
          <w:left w:val="single" w:sz="4" w:space="0" w:color="B2A1C6" w:themeColor="accent4" w:themeTint="9A"/>
          <w:bottom w:val="nil"/>
          <w:right w:val="nil"/>
        </w:tcBorders>
        <w:shd w:val="clear" w:color="FFFFFF" w:fill="auto"/>
      </w:tcPr>
    </w:tblStylePr>
    <w:tblStylePr w:type="band1Vert">
      <w:rPr/>
      <w:tcPr>
        <w:shd w:val="clear" w:color="DFD8E7" w:fill="DFD8E7"/>
      </w:tcPr>
    </w:tblStylePr>
    <w:tblStylePr w:type="band1Horz">
      <w:rPr>
        <w:rFonts w:ascii="Arial" w:hAnsi="Arial"/>
        <w:color w:val="B2A1C6" w:themeColor="accent4" w:themeShade="95" w:themeTint="9A"/>
        <w:sz w:val="22"/>
      </w:rPr>
      <w:tcPr>
        <w:shd w:val="clear" w:color="DFD8E7" w:fill="DFD8E7"/>
      </w:tcPr>
    </w:tblStylePr>
    <w:tblStylePr w:type="band2Horz">
      <w:rPr>
        <w:rFonts w:ascii="Arial" w:hAnsi="Arial"/>
        <w:color w:val="B2A1C6" w:themeColor="accent4" w:themeShade="95" w:themeTint="9A"/>
        <w:sz w:val="22"/>
      </w:rPr>
    </w:tblStylePr>
  </w:style>
  <w:style w:type="table" w:customStyle="1" w:styleId="ListTable7Colorful-Accent5">
    <w:name w:val="List Table 7 Colorful - Accent 5"/>
    <w:uiPriority w:val="99"/>
    <w:pPr>
      <w:spacing w:after="0" w:line="240" w:lineRule="auto"/>
    </w:pPr>
    <w:rPr/>
    <w:tblPr>
      <w:tblBorders>
        <w:right w:val="single" w:sz="4" w:space="0" w:color="92CCDC" w:themeColor="accent5" w:themeTint="9A"/>
      </w:tblBorders>
    </w:tblPr>
    <w:tblStylePr w:type="firstRow">
      <w:rPr>
        <w:rFonts w:ascii="Arial" w:hAnsi="Arial"/>
        <w:i/>
        <w:color w:val="92CCDC" w:themeColor="accent5" w:themeShade="95" w:themeTint="9A"/>
        <w:sz w:val="22"/>
      </w:rPr>
      <w:tcPr>
        <w:tcBorders>
          <w:top w:val="nil"/>
          <w:left w:val="nil"/>
          <w:bottom w:val="single" w:sz="4" w:space="0" w:color="92CCDC" w:themeColor="accent5" w:themeTint="9A"/>
          <w:right w:val="nil"/>
        </w:tcBorders>
        <w:shd w:val="clear" w:color="FFFFFF" w:fill="FFFFFF"/>
      </w:tcPr>
    </w:tblStylePr>
    <w:tblStylePr w:type="lastRow">
      <w:rPr>
        <w:rFonts w:ascii="Arial" w:hAnsi="Arial"/>
        <w:i/>
        <w:color w:val="92CCDC" w:themeColor="accent5" w:themeShade="95" w:themeTint="9A"/>
        <w:sz w:val="22"/>
      </w:rPr>
      <w:tcPr>
        <w:tcBorders>
          <w:top w:val="single" w:sz="4" w:space="0" w:color="92CCDC" w:themeColor="accent5" w:themeTint="9A"/>
          <w:left w:val="nil"/>
          <w:bottom w:val="nil"/>
          <w:right w:val="nil"/>
        </w:tcBorders>
        <w:shd w:val="clear" w:color="FFFFFF" w:fill="FFFFFF"/>
      </w:tcPr>
    </w:tblStylePr>
    <w:tblStylePr w:type="firstCol">
      <w:pPr>
        <w:jc w:val="right"/>
      </w:pPr>
      <w:rPr>
        <w:rFonts w:ascii="Arial" w:hAnsi="Arial"/>
        <w:i/>
        <w:color w:val="92CCDC" w:themeColor="accent5" w:themeShade="95" w:themeTint="9A"/>
        <w:sz w:val="22"/>
      </w:r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themeColor="accent5" w:themeShade="95" w:themeTint="9A"/>
        <w:sz w:val="22"/>
      </w:rPr>
      <w:tcPr>
        <w:tcBorders>
          <w:top w:val="nil"/>
          <w:left w:val="single" w:sz="4" w:space="0" w:color="92CCDC" w:themeColor="accent5" w:themeTint="9A"/>
          <w:bottom w:val="nil"/>
          <w:right w:val="nil"/>
        </w:tcBorders>
        <w:shd w:val="clear" w:color="FFFFFF" w:fill="auto"/>
      </w:tcPr>
    </w:tblStylePr>
    <w:tblStylePr w:type="band1Vert">
      <w:rPr/>
      <w:tcPr>
        <w:shd w:val="clear" w:color="D1EAF0" w:fill="D1EAF0"/>
      </w:tcPr>
    </w:tblStylePr>
    <w:tblStylePr w:type="band1Horz">
      <w:rPr>
        <w:rFonts w:ascii="Arial" w:hAnsi="Arial"/>
        <w:color w:val="92CCDC" w:themeColor="accent5" w:themeShade="95" w:themeTint="9A"/>
        <w:sz w:val="22"/>
      </w:rPr>
      <w:tcPr>
        <w:shd w:val="clear" w:color="D1EAF0" w:fill="D1EAF0"/>
      </w:tcPr>
    </w:tblStylePr>
    <w:tblStylePr w:type="band2Horz">
      <w:rPr>
        <w:rFonts w:ascii="Arial" w:hAnsi="Arial"/>
        <w:color w:val="92CCDC" w:themeColor="accent5" w:themeShade="95" w:themeTint="9A"/>
        <w:sz w:val="22"/>
      </w:rPr>
    </w:tblStylePr>
  </w:style>
  <w:style w:type="table" w:customStyle="1" w:styleId="ListTable7Colorful-Accent6">
    <w:name w:val="List Table 7 Colorful - Accent 6"/>
    <w:uiPriority w:val="99"/>
    <w:pPr>
      <w:spacing w:after="0" w:line="240" w:lineRule="auto"/>
    </w:pPr>
    <w:rPr/>
    <w:tblPr>
      <w:tblBorders>
        <w:right w:val="single" w:sz="4" w:space="0" w:color="FAC090" w:themeColor="accent6" w:themeTint="98"/>
      </w:tblBorders>
    </w:tblPr>
    <w:tblStylePr w:type="firstRow">
      <w:rPr>
        <w:rFonts w:ascii="Arial" w:hAnsi="Arial"/>
        <w:i/>
        <w:color w:val="FAC090" w:themeColor="accent6" w:themeShade="95" w:themeTint="98"/>
        <w:sz w:val="22"/>
      </w:rPr>
      <w:tcPr>
        <w:tcBorders>
          <w:top w:val="nil"/>
          <w:left w:val="nil"/>
          <w:bottom w:val="single" w:sz="4" w:space="0" w:color="FAC090" w:themeColor="accent6" w:themeTint="98"/>
          <w:right w:val="nil"/>
        </w:tcBorders>
        <w:shd w:val="clear" w:color="FFFFFF" w:fill="FFFFFF"/>
      </w:tcPr>
    </w:tblStylePr>
    <w:tblStylePr w:type="lastRow">
      <w:rPr>
        <w:rFonts w:ascii="Arial" w:hAnsi="Arial"/>
        <w:i/>
        <w:color w:val="FAC090" w:themeColor="accent6" w:themeShade="95" w:themeTint="98"/>
        <w:sz w:val="22"/>
      </w:rPr>
      <w:tcPr>
        <w:tcBorders>
          <w:top w:val="single" w:sz="4" w:space="0" w:color="FAC090" w:themeColor="accent6" w:themeTint="98"/>
          <w:left w:val="nil"/>
          <w:bottom w:val="nil"/>
          <w:right w:val="nil"/>
        </w:tcBorders>
        <w:shd w:val="clear" w:color="FFFFFF" w:fill="FFFFFF"/>
      </w:tcPr>
    </w:tblStylePr>
    <w:tblStylePr w:type="firstCol">
      <w:pPr>
        <w:jc w:val="right"/>
      </w:pPr>
      <w:rPr>
        <w:rFonts w:ascii="Arial" w:hAnsi="Arial"/>
        <w:i/>
        <w:color w:val="FAC090" w:themeColor="accent6" w:themeShade="95" w:themeTint="98"/>
        <w:sz w:val="22"/>
      </w:r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themeColor="accent6" w:themeShade="95" w:themeTint="98"/>
        <w:sz w:val="22"/>
      </w:rPr>
      <w:tcPr>
        <w:tcBorders>
          <w:top w:val="nil"/>
          <w:left w:val="single" w:sz="4" w:space="0" w:color="FAC090" w:themeColor="accent6" w:themeTint="98"/>
          <w:bottom w:val="nil"/>
          <w:right w:val="nil"/>
        </w:tcBorders>
        <w:shd w:val="clear" w:color="FFFFFF" w:fill="auto"/>
      </w:tcPr>
    </w:tblStylePr>
    <w:tblStylePr w:type="band1Vert">
      <w:rPr/>
      <w:tcPr>
        <w:shd w:val="clear" w:color="FCE4D0" w:fill="FCE4D0"/>
      </w:tcPr>
    </w:tblStylePr>
    <w:tblStylePr w:type="band1Horz">
      <w:rPr>
        <w:rFonts w:ascii="Arial" w:hAnsi="Arial"/>
        <w:color w:val="FAC090" w:themeColor="accent6" w:themeShade="95" w:themeTint="98"/>
        <w:sz w:val="22"/>
      </w:rPr>
      <w:tcPr>
        <w:shd w:val="clear" w:color="FCE4D0" w:fill="FCE4D0"/>
      </w:tcPr>
    </w:tblStylePr>
    <w:tblStylePr w:type="band2Horz">
      <w:rPr>
        <w:rFonts w:ascii="Arial" w:hAnsi="Arial"/>
        <w:color w:val="FAC090" w:themeColor="accent6" w:themeShade="95" w:themeTint="98"/>
        <w:sz w:val="22"/>
      </w:rPr>
    </w:tblStylePr>
  </w:style>
  <w:style w:type="table" w:customStyle="1" w:styleId="Lined-Accent">
    <w:name w:val="Lined - Accen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Lined-Accent1">
    <w:name w:val="Lined - Accent 1"/>
    <w:uiPriority w:val="99"/>
    <w:pPr>
      <w:spacing w:after="0" w:line="240" w:lineRule="auto"/>
    </w:pPr>
    <w:rPr>
      <w:color w:val="404040"/>
    </w:r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Lined-Accent2">
    <w:name w:val="Lined - Accent 2"/>
    <w:uiPriority w:val="99"/>
    <w:pPr>
      <w:spacing w:after="0" w:line="240" w:lineRule="auto"/>
    </w:pPr>
    <w:rPr>
      <w:color w:val="404040"/>
    </w:r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Lined-Accent3">
    <w:name w:val="Lined - Accent 3"/>
    <w:uiPriority w:val="99"/>
    <w:pPr>
      <w:spacing w:after="0" w:line="240" w:lineRule="auto"/>
    </w:pPr>
    <w:rPr>
      <w:color w:val="404040"/>
    </w:r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Lined-Accent4">
    <w:name w:val="Lined - Accent 4"/>
    <w:uiPriority w:val="99"/>
    <w:pPr>
      <w:spacing w:after="0" w:line="240" w:lineRule="auto"/>
    </w:pPr>
    <w:rPr>
      <w:color w:val="404040"/>
    </w:r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Lined-Accent5">
    <w:name w:val="Lined - Accent 5"/>
    <w:uiPriority w:val="99"/>
    <w:pPr>
      <w:spacing w:after="0" w:line="240" w:lineRule="auto"/>
    </w:pPr>
    <w:rPr>
      <w:color w:val="404040"/>
    </w:r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Lined-Accent6">
    <w:name w:val="Lined - Accent 6"/>
    <w:uiPriority w:val="99"/>
    <w:pPr>
      <w:spacing w:after="0" w:line="240" w:lineRule="auto"/>
    </w:pPr>
    <w:rPr>
      <w:color w:val="404040"/>
    </w:r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Bordered&amp;Lined-Accent">
    <w:name w:val="Bordered &amp; Lined - Accent"/>
    <w:uiPriority w:val="99"/>
    <w:pPr>
      <w:spacing w:after="0" w:line="240" w:lineRule="auto"/>
    </w:pPr>
    <w:rPr>
      <w:color w:val="404040"/>
    </w:rPr>
    <w:tblPr>
      <w:tblBorders>
        <w:top w:val="single" w:sz="4" w:space="0" w:color="585858" w:themeColor="text1" w:themeTint="A6"/>
        <w:left w:val="single" w:sz="4" w:space="0" w:color="585858" w:themeColor="text1" w:themeTint="A6"/>
        <w:bottom w:val="single" w:sz="4" w:space="0" w:color="585858" w:themeColor="text1" w:themeTint="A6"/>
        <w:right w:val="single" w:sz="4" w:space="0" w:color="585858" w:themeColor="text1" w:themeTint="A6"/>
        <w:insideH w:val="single" w:sz="4" w:space="0" w:color="585858" w:themeColor="text1" w:themeTint="A6"/>
        <w:insideV w:val="single" w:sz="4" w:space="0" w:color="585858" w:themeColor="text1" w:themeTint="A6"/>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Bordered&amp;Lined-Accent1">
    <w:name w:val="Bordered &amp; Lined - Accent 1"/>
    <w:uiPriority w:val="99"/>
    <w:pPr>
      <w:spacing w:after="0" w:line="240" w:lineRule="auto"/>
    </w:pPr>
    <w:rPr>
      <w:color w:val="404040"/>
    </w:rPr>
    <w:tblPr>
      <w:tblBorders>
        <w:top w:val="single" w:sz="4" w:space="0" w:color="2A4B71" w:themeColor="accent1" w:themeShade="95"/>
        <w:left w:val="single" w:sz="4" w:space="0" w:color="2A4B71" w:themeColor="accent1" w:themeShade="95"/>
        <w:bottom w:val="single" w:sz="4" w:space="0" w:color="2A4B71" w:themeColor="accent1" w:themeShade="95"/>
        <w:right w:val="single" w:sz="4" w:space="0" w:color="2A4B71" w:themeColor="accent1" w:themeShade="95"/>
        <w:insideH w:val="single" w:sz="4" w:space="0" w:color="2A4B71" w:themeColor="accent1" w:themeShade="95"/>
        <w:insideV w:val="single" w:sz="4" w:space="0" w:color="2A4B71" w:themeColor="accent1" w:themeShade="95"/>
      </w:tblBorders>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Bordered&amp;Lined-Accent2">
    <w:name w:val="Bordered &amp; Lined - Accent 2"/>
    <w:uiPriority w:val="99"/>
    <w:pPr>
      <w:spacing w:after="0" w:line="240" w:lineRule="auto"/>
    </w:pPr>
    <w:rPr>
      <w:color w:val="404040"/>
    </w:rPr>
    <w:tblPr>
      <w:tblBorders>
        <w:top w:val="single" w:sz="4" w:space="0" w:color="742B29" w:themeColor="accent2" w:themeShade="95"/>
        <w:left w:val="single" w:sz="4" w:space="0" w:color="742B29" w:themeColor="accent2" w:themeShade="95"/>
        <w:bottom w:val="single" w:sz="4" w:space="0" w:color="742B29" w:themeColor="accent2" w:themeShade="95"/>
        <w:right w:val="single" w:sz="4" w:space="0" w:color="742B29" w:themeColor="accent2" w:themeShade="95"/>
        <w:insideH w:val="single" w:sz="4" w:space="0" w:color="742B29" w:themeColor="accent2" w:themeShade="95"/>
        <w:insideV w:val="single" w:sz="4" w:space="0" w:color="742B29" w:themeColor="accent2" w:themeShade="95"/>
      </w:tblBorders>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Bordered&amp;Lined-Accent3">
    <w:name w:val="Bordered &amp; Lined - Accent 3"/>
    <w:uiPriority w:val="99"/>
    <w:pPr>
      <w:spacing w:after="0" w:line="240" w:lineRule="auto"/>
    </w:pPr>
    <w:rPr>
      <w:color w:val="404040"/>
    </w:rPr>
    <w:tblPr>
      <w:tblBorders>
        <w:top w:val="single" w:sz="4" w:space="0" w:color="5C722E" w:themeColor="accent3" w:themeShade="95"/>
        <w:left w:val="single" w:sz="4" w:space="0" w:color="5C722E" w:themeColor="accent3" w:themeShade="95"/>
        <w:bottom w:val="single" w:sz="4" w:space="0" w:color="5C722E" w:themeColor="accent3" w:themeShade="95"/>
        <w:right w:val="single" w:sz="4" w:space="0" w:color="5C722E" w:themeColor="accent3" w:themeShade="95"/>
        <w:insideH w:val="single" w:sz="4" w:space="0" w:color="5C722E" w:themeColor="accent3" w:themeShade="95"/>
        <w:insideV w:val="single" w:sz="4" w:space="0" w:color="5C722E" w:themeColor="accent3" w:themeShade="95"/>
      </w:tblBorders>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Bordered&amp;Lined-Accent4">
    <w:name w:val="Bordered &amp; Lined - Accent 4"/>
    <w:uiPriority w:val="99"/>
    <w:pPr>
      <w:spacing w:after="0" w:line="240" w:lineRule="auto"/>
    </w:pPr>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Bordered&amp;Lined-Accent5">
    <w:name w:val="Bordered &amp; Lined - Accent 5"/>
    <w:uiPriority w:val="99"/>
    <w:pPr>
      <w:spacing w:after="0" w:line="240" w:lineRule="auto"/>
    </w:pPr>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Bordered&amp;Lined-Accent6">
    <w:name w:val="Bordered &amp; Lined - Accent 6"/>
    <w:uiPriority w:val="99"/>
    <w:pPr>
      <w:spacing w:after="0" w:line="240" w:lineRule="auto"/>
    </w:pPr>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Bordered">
    <w:name w:val="Bordered"/>
    <w:uiPriority w:val="99"/>
    <w:pPr>
      <w:spacing w:after="0" w:line="240" w:lineRule="auto"/>
    </w:pPr>
    <w:rPr/>
    <w:tblPr>
      <w:tblBorders>
        <w:top w:val="single" w:sz="4" w:space="0" w:color="D8D8D8" w:themeColor="text1" w:themeTint="26"/>
        <w:left w:val="single" w:sz="4" w:space="0" w:color="D8D8D8" w:themeColor="text1" w:themeTint="26"/>
        <w:bottom w:val="single" w:sz="4" w:space="0" w:color="D8D8D8" w:themeColor="text1" w:themeTint="26"/>
        <w:right w:val="single" w:sz="4" w:space="0" w:color="D8D8D8" w:themeColor="text1" w:themeTint="26"/>
        <w:insideH w:val="single" w:sz="4" w:space="0" w:color="D8D8D8" w:themeColor="text1" w:themeTint="26"/>
        <w:insideV w:val="single" w:sz="4" w:space="0" w:color="D8D8D8" w:themeColor="text1" w:themeTint="26"/>
      </w:tblBorders>
    </w:tblPr>
    <w:tblStylePr w:type="firstRow">
      <w:rPr>
        <w:rFonts w:ascii="Arial" w:hAnsi="Arial"/>
        <w:color w:val="404040"/>
        <w:sz w:val="22"/>
      </w:rPr>
      <w:tcPr>
        <w:tcBorders>
          <w:bottom w:val="single" w:sz="12" w:space="0" w:color="7E7E7E" w:themeColor="text1" w:themeTint="80"/>
        </w:tcBorders>
      </w:tcPr>
    </w:tblStylePr>
    <w:tblStylePr w:type="lastRow">
      <w:rPr>
        <w:rFonts w:ascii="Arial" w:hAnsi="Arial"/>
        <w:color w:val="404040"/>
        <w:sz w:val="22"/>
      </w:rPr>
      <w:tcPr>
        <w:tcBorders>
          <w:top w:val="single" w:sz="12" w:space="0" w:color="7E7E7E" w:themeColor="text1" w:themeTint="80"/>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7E7E7E" w:themeColor="text1" w:themeTint="80"/>
        </w:tcBorders>
      </w:tcPr>
    </w:tblStylePr>
    <w:tblStylePr w:type="band1Horz">
      <w:rPr>
        <w:rFonts w:ascii="Arial" w:hAnsi="Arial"/>
        <w:color w:val="404040"/>
        <w:sz w:val="22"/>
      </w:rPr>
      <w:tcPr>
        <w:tcBorders>
          <w:top w:val="single" w:sz="4" w:space="0" w:color="D8D8D8" w:themeColor="text1" w:themeTint="26"/>
          <w:left w:val="single" w:sz="4" w:space="0" w:color="D8D8D8" w:themeColor="text1" w:themeTint="26"/>
          <w:bottom w:val="single" w:sz="4" w:space="0" w:color="D8D8D8" w:themeColor="text1" w:themeTint="26"/>
          <w:right w:val="single" w:sz="4" w:space="0" w:color="D8D8D8" w:themeColor="text1" w:themeTint="26"/>
        </w:tcBorders>
      </w:tcPr>
    </w:tblStylePr>
  </w:style>
  <w:style w:type="table" w:customStyle="1" w:styleId="Bordered-Accent1">
    <w:name w:val="Bordered - Accent 1"/>
    <w:uiPriority w:val="99"/>
    <w:pPr>
      <w:spacing w:after="0" w:line="240" w:lineRule="auto"/>
    </w:pPr>
    <w:rPr/>
    <w:tblPr>
      <w:tbl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insideH w:val="single" w:sz="4" w:space="0" w:color="B7CCE4" w:themeColor="accent1" w:themeTint="67"/>
        <w:insideV w:val="single" w:sz="4" w:space="0" w:color="B7CCE4" w:themeColor="accent1" w:themeTint="67"/>
      </w:tblBorders>
    </w:tblPr>
    <w:tblStylePr w:type="firstRow">
      <w:rPr>
        <w:rFonts w:ascii="Arial" w:hAnsi="Arial"/>
        <w:color w:val="404040"/>
        <w:sz w:val="22"/>
      </w:rPr>
      <w:tcPr>
        <w:tcBorders>
          <w:bottom w:val="single" w:sz="12" w:space="0" w:color="4F81BD" w:themeColor="accent1"/>
        </w:tcBorders>
      </w:tcPr>
    </w:tblStylePr>
    <w:tblStylePr w:type="lastRow">
      <w:rPr>
        <w:rFonts w:ascii="Arial" w:hAnsi="Arial"/>
        <w:color w:val="404040"/>
        <w:sz w:val="22"/>
      </w:r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4F81BD" w:themeColor="accent1"/>
        </w:tcBorders>
      </w:tcPr>
    </w:tblStylePr>
    <w:tblStylePr w:type="band1Horz">
      <w:rPr>
        <w:rFonts w:ascii="Arial" w:hAnsi="Arial"/>
        <w:color w:val="404040"/>
        <w:sz w:val="22"/>
      </w:rPr>
      <w:tcPr>
        <w:tcBorders>
          <w:top w:val="single" w:sz="4" w:space="0" w:color="B7CCE4" w:themeColor="accent1" w:themeTint="67"/>
          <w:left w:val="single" w:sz="4" w:space="0" w:color="B7CCE4" w:themeColor="accent1" w:themeTint="67"/>
          <w:bottom w:val="single" w:sz="4" w:space="0" w:color="B7CCE4" w:themeColor="accent1" w:themeTint="67"/>
          <w:right w:val="single" w:sz="4" w:space="0" w:color="B7CCE4" w:themeColor="accent1" w:themeTint="67"/>
        </w:tcBorders>
      </w:tcPr>
    </w:tblStylePr>
  </w:style>
  <w:style w:type="table" w:customStyle="1" w:styleId="Bordered-Accent2">
    <w:name w:val="Bordered - Accent 2"/>
    <w:uiPriority w:val="99"/>
    <w:pPr>
      <w:spacing w:after="0" w:line="240" w:lineRule="auto"/>
    </w:pPr>
    <w:rPr/>
    <w:tblPr>
      <w:tbl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insideH w:val="single" w:sz="4" w:space="0" w:color="E5B8B7" w:themeColor="accent2" w:themeTint="67"/>
        <w:insideV w:val="single" w:sz="4" w:space="0" w:color="E5B8B7" w:themeColor="accent2" w:themeTint="67"/>
      </w:tblBorders>
    </w:tblPr>
    <w:tblStylePr w:type="firstRow">
      <w:rPr>
        <w:rFonts w:ascii="Arial" w:hAnsi="Arial"/>
        <w:color w:val="404040"/>
        <w:sz w:val="22"/>
      </w:rPr>
      <w:tcPr>
        <w:tcBorders>
          <w:bottom w:val="single" w:sz="12" w:space="0" w:color="D99795" w:themeColor="accent2" w:themeTint="97"/>
        </w:tcBorders>
      </w:tcPr>
    </w:tblStylePr>
    <w:tblStylePr w:type="lastRow">
      <w:rPr>
        <w:rFonts w:ascii="Arial" w:hAnsi="Arial"/>
        <w:color w:val="404040"/>
        <w:sz w:val="22"/>
      </w:rPr>
      <w:tcPr>
        <w:tcBorders>
          <w:top w:val="single" w:sz="12" w:space="0" w:color="D99795" w:themeColor="accent2" w:themeTint="97"/>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D99795" w:themeColor="accent2" w:themeTint="97"/>
        </w:tcBorders>
      </w:tcPr>
    </w:tblStylePr>
    <w:tblStylePr w:type="band1Horz">
      <w:rPr>
        <w:rFonts w:ascii="Arial" w:hAnsi="Arial"/>
        <w:color w:val="404040"/>
        <w:sz w:val="22"/>
      </w:rPr>
      <w:tcPr>
        <w:tcBorders>
          <w:top w:val="single" w:sz="4" w:space="0" w:color="E5B8B7" w:themeColor="accent2" w:themeTint="67"/>
          <w:left w:val="single" w:sz="4" w:space="0" w:color="E5B8B7" w:themeColor="accent2" w:themeTint="67"/>
          <w:bottom w:val="single" w:sz="4" w:space="0" w:color="E5B8B7" w:themeColor="accent2" w:themeTint="67"/>
          <w:right w:val="single" w:sz="4" w:space="0" w:color="E5B8B7" w:themeColor="accent2" w:themeTint="67"/>
        </w:tcBorders>
      </w:tcPr>
    </w:tblStylePr>
  </w:style>
  <w:style w:type="table" w:customStyle="1" w:styleId="Bordered-Accent3">
    <w:name w:val="Bordered - Accent 3"/>
    <w:uiPriority w:val="99"/>
    <w:pPr>
      <w:spacing w:after="0" w:line="240" w:lineRule="auto"/>
    </w:pPr>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cPr>
        <w:tcBorders>
          <w:bottom w:val="single" w:sz="12" w:space="0" w:color="C3D69C" w:themeColor="accent3" w:themeTint="98"/>
        </w:tcBorders>
      </w:tcPr>
    </w:tblStylePr>
    <w:tblStylePr w:type="lastRow">
      <w:rPr>
        <w:rFonts w:ascii="Arial" w:hAnsi="Arial"/>
        <w:color w:val="404040"/>
        <w:sz w:val="22"/>
      </w:rPr>
      <w:tcPr>
        <w:tcBorders>
          <w:top w:val="single" w:sz="12" w:space="0" w:color="C3D69C" w:themeColor="accent3"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C3D69C" w:themeColor="accent3" w:themeTint="98"/>
        </w:tcBorders>
      </w:tcPr>
    </w:tblStylePr>
    <w:tblStylePr w:type="band1Horz">
      <w:rPr>
        <w:rFonts w:ascii="Arial" w:hAnsi="Arial"/>
        <w:color w:val="404040"/>
        <w:sz w:val="22"/>
      </w:r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pPr>
      <w:spacing w:after="0" w:line="240" w:lineRule="auto"/>
    </w:pPr>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cPr>
        <w:tcBorders>
          <w:bottom w:val="single" w:sz="12" w:space="0" w:color="B2A1C6" w:themeColor="accent4" w:themeTint="9A"/>
        </w:tcBorders>
      </w:tcPr>
    </w:tblStylePr>
    <w:tblStylePr w:type="lastRow">
      <w:rPr>
        <w:rFonts w:ascii="Arial" w:hAnsi="Arial"/>
        <w:color w:val="404040"/>
        <w:sz w:val="22"/>
      </w:r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B2A1C6" w:themeColor="accent4" w:themeTint="9A"/>
        </w:tcBorders>
      </w:tcPr>
    </w:tblStylePr>
    <w:tblStylePr w:type="band1Horz">
      <w:rPr>
        <w:rFonts w:ascii="Arial" w:hAnsi="Arial"/>
        <w:color w:val="404040"/>
        <w:sz w:val="22"/>
      </w:r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pPr>
      <w:spacing w:after="0" w:line="240" w:lineRule="auto"/>
    </w:pPr>
    <w:rPr/>
    <w:tblPr>
      <w:tbl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insideH w:val="single" w:sz="4" w:space="0" w:color="B6DDE7" w:themeColor="accent5" w:themeTint="67"/>
        <w:insideV w:val="single" w:sz="4" w:space="0" w:color="B6DDE7" w:themeColor="accent5" w:themeTint="67"/>
      </w:tblBorders>
    </w:tblPr>
    <w:tblStylePr w:type="firstRow">
      <w:rPr>
        <w:rFonts w:ascii="Arial" w:hAnsi="Arial"/>
        <w:color w:val="404040"/>
        <w:sz w:val="22"/>
      </w:rPr>
      <w:tcPr>
        <w:tcBorders>
          <w:bottom w:val="single" w:sz="12" w:space="0" w:color="92CCDC" w:themeColor="accent5" w:themeTint="9A"/>
        </w:tcBorders>
      </w:tcPr>
    </w:tblStylePr>
    <w:tblStylePr w:type="lastRow">
      <w:rPr>
        <w:rFonts w:ascii="Arial" w:hAnsi="Arial"/>
        <w:color w:val="404040"/>
        <w:sz w:val="22"/>
      </w:r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92CCDC" w:themeColor="accent5" w:themeTint="9A"/>
        </w:tcBorders>
      </w:tcPr>
    </w:tblStylePr>
    <w:tblStylePr w:type="band1Horz">
      <w:rPr>
        <w:rFonts w:ascii="Arial" w:hAnsi="Arial"/>
        <w:color w:val="404040"/>
        <w:sz w:val="22"/>
      </w:rPr>
      <w:tcPr>
        <w:tcBorders>
          <w:top w:val="single" w:sz="4" w:space="0" w:color="B6DDE7" w:themeColor="accent5" w:themeTint="67"/>
          <w:left w:val="single" w:sz="4" w:space="0" w:color="B6DDE7" w:themeColor="accent5" w:themeTint="67"/>
          <w:bottom w:val="single" w:sz="4" w:space="0" w:color="B6DDE7" w:themeColor="accent5" w:themeTint="67"/>
          <w:right w:val="single" w:sz="4" w:space="0" w:color="B6DDE7" w:themeColor="accent5" w:themeTint="67"/>
        </w:tcBorders>
      </w:tcPr>
    </w:tblStylePr>
  </w:style>
  <w:style w:type="table" w:customStyle="1" w:styleId="Bordered-Accent6">
    <w:name w:val="Bordered - Accent 6"/>
    <w:uiPriority w:val="99"/>
    <w:pPr>
      <w:spacing w:after="0" w:line="240" w:lineRule="auto"/>
    </w:pPr>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cPr>
        <w:tcBorders>
          <w:bottom w:val="single" w:sz="12" w:space="0" w:color="FAC090" w:themeColor="accent6" w:themeTint="98"/>
        </w:tcBorders>
      </w:tcPr>
    </w:tblStylePr>
    <w:tblStylePr w:type="lastRow">
      <w:rPr>
        <w:rFonts w:ascii="Arial" w:hAnsi="Arial"/>
        <w:color w:val="404040"/>
        <w:sz w:val="22"/>
      </w:r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cPr>
        <w:tcBorders>
          <w:left w:val="single" w:sz="12" w:space="0" w:color="FAC090" w:themeColor="accent6" w:themeTint="98"/>
        </w:tcBorders>
      </w:tcPr>
    </w:tblStylePr>
    <w:tblStylePr w:type="band1Horz">
      <w:rPr>
        <w:rFonts w:ascii="Arial" w:hAnsi="Arial"/>
        <w:color w:val="404040"/>
        <w:sz w:val="22"/>
      </w:r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link w:val="FootnoteText"/>
    <w:uiPriority w:val="99"/>
    <w:rPr>
      <w:sz w:val="18"/>
    </w:rPr>
  </w:style>
  <w:style w:type="character" w:customStyle="1" w:styleId="EndnoteTextChar">
    <w:name w:val="Endnote Text Char"/>
    <w:link w:val="EndnoteText"/>
    <w:uiPriority w:val="99"/>
    <w:rPr>
      <w:sz w:val="20"/>
    </w:rPr>
  </w:style>
  <w:style w:type="paragraph" w:customStyle="1" w:styleId="TOCHeading">
    <w:name w:val="TOC Heading"/>
    <w:uiPriority w:val="39"/>
    <w:unhideWhenUsed/>
    <w:rPr>
      <w:rFonts w:ascii="Times New Roman" w:eastAsia="宋体" w:hAnsi="Times New Roman" w:cs="Times New Roman" w:hint="default"/>
    </w:rPr>
  </w:style>
  <w:style w:type="paragraph" w:customStyle="1" w:styleId="标题11">
    <w:name w:val="标题 11"/>
    <w:basedOn w:val="Normal"/>
    <w:next w:val="Normal"/>
    <w:link w:val="标题1Char"/>
    <w:uiPriority w:val="9"/>
    <w:qFormat/>
    <w:pPr>
      <w:keepNext/>
      <w:keepLines/>
      <w:spacing w:before="340" w:after="330" w:line="578" w:lineRule="auto"/>
      <w:outlineLvl w:val="0"/>
    </w:pPr>
    <w:rPr>
      <w:b/>
      <w:bCs/>
      <w:sz w:val="44"/>
      <w:szCs w:val="44"/>
    </w:rPr>
  </w:style>
  <w:style w:type="paragraph" w:customStyle="1" w:styleId="标题211">
    <w:name w:val="标题 211"/>
    <w:basedOn w:val="Normal"/>
    <w:next w:val="Normal"/>
    <w:uiPriority w:val="9"/>
    <w:qFormat/>
    <w:pPr>
      <w:keepNext/>
      <w:keepLines/>
      <w:spacing w:before="260" w:after="260" w:line="413" w:lineRule="auto"/>
      <w:outlineLvl w:val="1"/>
    </w:pPr>
    <w:rPr>
      <w:rFonts w:ascii="Arial" w:eastAsia="黑体" w:hAnsi="Arial"/>
      <w:b/>
      <w:sz w:val="32"/>
      <w:szCs w:val="20"/>
    </w:rPr>
  </w:style>
  <w:style w:type="paragraph" w:customStyle="1" w:styleId="标题31">
    <w:name w:val="标题 31"/>
    <w:basedOn w:val="Normal"/>
    <w:next w:val="Normal"/>
    <w:link w:val="标题3Char"/>
    <w:uiPriority w:val="9"/>
    <w:qFormat/>
    <w:pPr>
      <w:keepNext/>
      <w:keepLines/>
      <w:spacing w:before="260" w:after="260" w:line="413" w:lineRule="auto"/>
      <w:outlineLvl w:val="2"/>
    </w:pPr>
    <w:rPr>
      <w:rFonts w:ascii="Arial" w:hAnsi="Arial"/>
      <w:b/>
      <w:sz w:val="32"/>
      <w:szCs w:val="20"/>
    </w:rPr>
  </w:style>
  <w:style w:type="paragraph" w:customStyle="1" w:styleId="标题41">
    <w:name w:val="标题 41"/>
    <w:basedOn w:val="Normal"/>
    <w:next w:val="Normal"/>
    <w:link w:val="标题4Char"/>
    <w:uiPriority w:val="9"/>
    <w:qFormat/>
    <w:pPr>
      <w:keepNext/>
      <w:keepLines/>
      <w:spacing w:before="280" w:after="290" w:line="376" w:lineRule="auto"/>
      <w:outlineLvl w:val="3"/>
    </w:pPr>
    <w:rPr>
      <w:rFonts w:ascii="Cambria" w:hAnsi="Cambria"/>
      <w:b/>
      <w:bCs/>
      <w:sz w:val="28"/>
      <w:szCs w:val="28"/>
    </w:rPr>
  </w:style>
  <w:style w:type="paragraph" w:customStyle="1" w:styleId="标题51">
    <w:name w:val="标题 51"/>
    <w:basedOn w:val="Normal"/>
    <w:next w:val="Normal"/>
    <w:link w:val="标题5Char"/>
    <w:uiPriority w:val="9"/>
    <w:qFormat/>
    <w:pPr>
      <w:keepNext/>
      <w:keepLines/>
      <w:spacing w:before="280" w:after="290" w:line="376" w:lineRule="auto"/>
      <w:outlineLvl w:val="4"/>
    </w:pPr>
    <w:rPr>
      <w:b/>
      <w:bCs/>
      <w:sz w:val="28"/>
      <w:szCs w:val="28"/>
    </w:rPr>
  </w:style>
  <w:style w:type="paragraph" w:customStyle="1" w:styleId="标题61">
    <w:name w:val="标题 61"/>
    <w:basedOn w:val="Normal"/>
    <w:next w:val="Normal"/>
    <w:link w:val="标题6Char"/>
    <w:uiPriority w:val="9"/>
    <w:qFormat/>
    <w:pPr>
      <w:keepNext/>
      <w:keepLines/>
      <w:numPr>
        <w:ilvl w:val="5"/>
        <w:numId w:val="8"/>
      </w:numPr>
      <w:spacing w:before="240" w:after="64" w:line="320" w:lineRule="auto"/>
      <w:outlineLvl w:val="5"/>
    </w:pPr>
    <w:rPr>
      <w:rFonts w:ascii="等线 Light" w:eastAsia="等线 Light" w:hAnsi="等线 Light"/>
      <w:b/>
      <w:bCs/>
      <w:sz w:val="24"/>
    </w:rPr>
  </w:style>
  <w:style w:type="paragraph" w:customStyle="1" w:styleId="标题71">
    <w:name w:val="标题 71"/>
    <w:basedOn w:val="Normal"/>
    <w:next w:val="Normal"/>
    <w:link w:val="标题7Char"/>
    <w:uiPriority w:val="9"/>
    <w:qFormat/>
    <w:pPr>
      <w:keepNext/>
      <w:keepLines/>
      <w:numPr>
        <w:ilvl w:val="6"/>
        <w:numId w:val="8"/>
      </w:numPr>
      <w:spacing w:before="240" w:after="64" w:line="320" w:lineRule="auto"/>
      <w:outlineLvl w:val="6"/>
    </w:pPr>
    <w:rPr>
      <w:rFonts w:ascii="等线" w:eastAsia="等线" w:hAnsi="等线"/>
      <w:b/>
      <w:bCs/>
      <w:sz w:val="24"/>
    </w:rPr>
  </w:style>
  <w:style w:type="paragraph" w:customStyle="1" w:styleId="标题81">
    <w:name w:val="标题 81"/>
    <w:basedOn w:val="Normal"/>
    <w:next w:val="Normal"/>
    <w:link w:val="标题8Char"/>
    <w:uiPriority w:val="9"/>
    <w:qFormat/>
    <w:pPr>
      <w:keepNext/>
      <w:keepLines/>
      <w:numPr>
        <w:ilvl w:val="7"/>
        <w:numId w:val="8"/>
      </w:numPr>
      <w:spacing w:before="240" w:after="64" w:line="320" w:lineRule="auto"/>
      <w:outlineLvl w:val="7"/>
    </w:pPr>
    <w:rPr>
      <w:rFonts w:ascii="等线 Light" w:eastAsia="等线 Light" w:hAnsi="等线 Light"/>
      <w:sz w:val="24"/>
    </w:rPr>
  </w:style>
  <w:style w:type="paragraph" w:customStyle="1" w:styleId="标题91">
    <w:name w:val="标题 91"/>
    <w:basedOn w:val="Normal"/>
    <w:next w:val="Normal"/>
    <w:link w:val="标题9Char"/>
    <w:uiPriority w:val="9"/>
    <w:qFormat/>
    <w:pPr>
      <w:keepNext/>
      <w:keepLines/>
      <w:numPr>
        <w:ilvl w:val="8"/>
        <w:numId w:val="8"/>
      </w:numPr>
      <w:spacing w:before="240" w:after="64" w:line="320" w:lineRule="auto"/>
      <w:outlineLvl w:val="8"/>
    </w:pPr>
    <w:rPr>
      <w:rFonts w:ascii="等线 Light" w:eastAsia="等线 Light" w:hAnsi="等线 Light"/>
      <w:szCs w:val="21"/>
    </w:rPr>
  </w:style>
  <w:style w:type="character" w:customStyle="1" w:styleId="默认段落字体1">
    <w:name w:val="默认段落字体1"/>
    <w:link w:val="Normal"/>
    <w:semiHidden/>
    <w:rPr/>
  </w:style>
  <w:style w:type="table" w:customStyle="1" w:styleId="普通表格1">
    <w:name w:val="普通表格1"/>
    <w:semiHidden/>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标题1Char">
    <w:name w:val="标题 1 Char"/>
    <w:link w:val="标题11"/>
    <w:uiPriority w:val="9"/>
    <w:rPr>
      <w:b/>
      <w:bCs/>
      <w:sz w:val="44"/>
      <w:szCs w:val="44"/>
    </w:rPr>
  </w:style>
  <w:style w:type="character" w:customStyle="1" w:styleId="标题3Char">
    <w:name w:val="标题 3 Char"/>
    <w:link w:val="标题31"/>
    <w:uiPriority w:val="9"/>
    <w:rPr>
      <w:rFonts w:ascii="Arial" w:hAnsi="Arial"/>
      <w:b/>
      <w:sz w:val="32"/>
    </w:rPr>
  </w:style>
  <w:style w:type="character" w:customStyle="1" w:styleId="标题4Char">
    <w:name w:val="标题 4 Char"/>
    <w:link w:val="标题41"/>
    <w:uiPriority w:val="9"/>
    <w:rPr>
      <w:rFonts w:ascii="Cambria" w:hAnsi="Cambria"/>
      <w:b/>
      <w:bCs/>
      <w:sz w:val="28"/>
      <w:szCs w:val="28"/>
    </w:rPr>
  </w:style>
  <w:style w:type="character" w:customStyle="1" w:styleId="标题5Char">
    <w:name w:val="标题 5 Char"/>
    <w:link w:val="标题51"/>
    <w:uiPriority w:val="9"/>
    <w:rPr>
      <w:b/>
      <w:bCs/>
      <w:sz w:val="28"/>
      <w:szCs w:val="28"/>
    </w:rPr>
  </w:style>
  <w:style w:type="character" w:customStyle="1" w:styleId="标题6Char">
    <w:name w:val="标题 6 Char"/>
    <w:link w:val="标题61"/>
    <w:uiPriority w:val="9"/>
    <w:rPr>
      <w:rFonts w:ascii="等线 Light" w:eastAsia="等线 Light" w:hAnsi="等线 Light"/>
      <w:b/>
      <w:bCs/>
      <w:sz w:val="24"/>
      <w:szCs w:val="24"/>
    </w:rPr>
  </w:style>
  <w:style w:type="character" w:customStyle="1" w:styleId="标题7Char">
    <w:name w:val="标题 7 Char"/>
    <w:link w:val="标题71"/>
    <w:uiPriority w:val="9"/>
    <w:rPr>
      <w:rFonts w:ascii="等线" w:eastAsia="等线" w:hAnsi="等线"/>
      <w:b/>
      <w:bCs/>
      <w:sz w:val="24"/>
      <w:szCs w:val="24"/>
    </w:rPr>
  </w:style>
  <w:style w:type="character" w:customStyle="1" w:styleId="标题8Char">
    <w:name w:val="标题 8 Char"/>
    <w:link w:val="标题81"/>
    <w:uiPriority w:val="9"/>
    <w:rPr>
      <w:rFonts w:ascii="等线 Light" w:eastAsia="等线 Light" w:hAnsi="等线 Light"/>
      <w:sz w:val="24"/>
      <w:szCs w:val="24"/>
    </w:rPr>
  </w:style>
  <w:style w:type="character" w:customStyle="1" w:styleId="标题9Char">
    <w:name w:val="标题 9 Char"/>
    <w:link w:val="标题91"/>
    <w:uiPriority w:val="9"/>
    <w:rPr>
      <w:rFonts w:ascii="等线 Light" w:eastAsia="等线 Light" w:hAnsi="等线 Light"/>
      <w:sz w:val="21"/>
      <w:szCs w:val="21"/>
    </w:rPr>
  </w:style>
  <w:style w:type="paragraph" w:customStyle="1" w:styleId="引文目录1">
    <w:name w:val="引文目录1"/>
    <w:basedOn w:val="Normal"/>
    <w:next w:val="Normal"/>
    <w:uiPriority w:val="99"/>
    <w:unhideWhenUsed/>
    <w:qFormat/>
    <w:pPr>
      <w:ind w:left="420"/>
    </w:pPr>
    <w:rPr>
      <w:rFonts w:ascii="Calibri" w:hAnsi="Calibri"/>
      <w:sz w:val="24"/>
    </w:rPr>
  </w:style>
  <w:style w:type="paragraph" w:customStyle="1" w:styleId="正文缩进1">
    <w:name w:val="正文缩进1"/>
    <w:basedOn w:val="Normal"/>
    <w:link w:val="正文缩进Char"/>
    <w:pPr>
      <w:ind w:firstLine="420"/>
    </w:pPr>
    <w:rPr>
      <w:szCs w:val="20"/>
    </w:rPr>
  </w:style>
  <w:style w:type="character" w:customStyle="1" w:styleId="正文缩进Char">
    <w:name w:val="正文缩进 Char"/>
    <w:link w:val="正文缩进1"/>
    <w:rPr>
      <w:sz w:val="21"/>
    </w:rPr>
  </w:style>
  <w:style w:type="paragraph" w:customStyle="1" w:styleId="题注1">
    <w:name w:val="题注1"/>
    <w:basedOn w:val="Normal"/>
    <w:next w:val="Normal"/>
    <w:uiPriority w:val="35"/>
    <w:qFormat/>
    <w:pPr>
      <w:spacing w:before="156" w:after="156" w:line="360" w:lineRule="auto"/>
      <w:jc w:val="center"/>
    </w:pPr>
    <w:rPr>
      <w:rFonts w:ascii="Arial" w:hAnsi="Arial" w:cs="Arial"/>
      <w:sz w:val="24"/>
      <w:szCs w:val="20"/>
    </w:rPr>
  </w:style>
  <w:style w:type="paragraph" w:customStyle="1" w:styleId="文档结构图1">
    <w:name w:val="文档结构图1"/>
    <w:basedOn w:val="Normal"/>
    <w:semiHidden/>
    <w:pPr>
      <w:shd w:val="clear" w:color="auto" w:fill="000080"/>
    </w:pPr>
    <w:rPr/>
  </w:style>
  <w:style w:type="paragraph" w:customStyle="1" w:styleId="引文目录标题1">
    <w:name w:val="引文目录标题1"/>
    <w:basedOn w:val="Normal"/>
    <w:next w:val="Normal"/>
    <w:qFormat/>
    <w:pPr>
      <w:spacing w:before="120"/>
    </w:pPr>
    <w:rPr>
      <w:rFonts w:ascii="Arial" w:hAnsi="Arial"/>
      <w:sz w:val="24"/>
    </w:rPr>
  </w:style>
  <w:style w:type="paragraph" w:customStyle="1" w:styleId="批注文字1">
    <w:name w:val="批注文字1"/>
    <w:basedOn w:val="Normal"/>
    <w:link w:val="批注文字Char"/>
    <w:uiPriority w:val="99"/>
    <w:unhideWhenUsed/>
    <w:pPr>
      <w:jc w:val="left"/>
    </w:pPr>
    <w:rPr/>
  </w:style>
  <w:style w:type="character" w:customStyle="1" w:styleId="批注文字Char">
    <w:name w:val="批注文字 Char"/>
    <w:link w:val="批注文字1"/>
    <w:uiPriority w:val="99"/>
    <w:rPr>
      <w:sz w:val="21"/>
      <w:szCs w:val="24"/>
    </w:rPr>
  </w:style>
  <w:style w:type="paragraph" w:customStyle="1" w:styleId="正文文本31">
    <w:name w:val="正文文本 31"/>
    <w:basedOn w:val="Normal"/>
    <w:rPr>
      <w:rFonts w:ascii="楷体_GB2312" w:eastAsia="楷体_GB2312" w:hAnsi="Arial" w:cs="Arial"/>
      <w:b/>
      <w:bCs/>
      <w:color w:val="000000"/>
      <w:sz w:val="24"/>
    </w:rPr>
  </w:style>
  <w:style w:type="paragraph" w:customStyle="1" w:styleId="正文文本11">
    <w:name w:val="正文文本11"/>
    <w:basedOn w:val="Normal"/>
    <w:link w:val="正文文本Char"/>
    <w:uiPriority w:val="99"/>
    <w:pPr>
      <w:tabs>
        <w:tab w:val="left" w:pos="2020"/>
        <w:tab w:val="center" w:pos="4535"/>
      </w:tabs>
      <w:spacing w:line="500" w:lineRule="exact"/>
      <w:outlineLvl w:val="0"/>
    </w:pPr>
    <w:rPr>
      <w:rFonts w:ascii="华文彩云" w:eastAsia="华文彩云" w:hAnsi="宋体"/>
      <w:bCs/>
      <w:color w:val="000000"/>
      <w:sz w:val="28"/>
    </w:rPr>
  </w:style>
  <w:style w:type="character" w:customStyle="1" w:styleId="正文文本Char">
    <w:name w:val="正文文本 Char"/>
    <w:link w:val="正文文本11"/>
    <w:uiPriority w:val="99"/>
    <w:rPr>
      <w:rFonts w:ascii="华文彩云" w:eastAsia="华文彩云" w:hAnsi="宋体"/>
      <w:bCs/>
      <w:color w:val="000000"/>
      <w:sz w:val="28"/>
      <w:szCs w:val="24"/>
    </w:rPr>
  </w:style>
  <w:style w:type="paragraph" w:customStyle="1" w:styleId="文本块1">
    <w:name w:val="文本块1"/>
    <w:basedOn w:val="Normal"/>
    <w:pPr>
      <w:ind w:left="420" w:right="33"/>
      <w:jc w:val="left"/>
    </w:pPr>
    <w:rPr>
      <w:sz w:val="24"/>
      <w:szCs w:val="20"/>
    </w:rPr>
  </w:style>
  <w:style w:type="paragraph" w:customStyle="1" w:styleId="索引41">
    <w:name w:val="索引 41"/>
    <w:basedOn w:val="Normal"/>
    <w:next w:val="Normal"/>
    <w:uiPriority w:val="99"/>
    <w:unhideWhenUsed/>
    <w:pPr>
      <w:jc w:val="left"/>
    </w:pPr>
    <w:rPr>
      <w:szCs w:val="21"/>
    </w:rPr>
  </w:style>
  <w:style w:type="paragraph" w:customStyle="1" w:styleId="目录31">
    <w:name w:val="目录 31"/>
    <w:basedOn w:val="Normal"/>
    <w:next w:val="Normal"/>
    <w:semiHidden/>
    <w:pPr>
      <w:tabs>
        <w:tab w:val="right" w:leader="dot" w:pos="9344"/>
      </w:tabs>
      <w:spacing w:line="300" w:lineRule="auto"/>
      <w:ind w:left="840"/>
    </w:pPr>
    <w:rPr>
      <w:rFonts w:ascii="Arial" w:hAnsi="Arial" w:cs="Arial"/>
      <w:szCs w:val="21"/>
    </w:rPr>
  </w:style>
  <w:style w:type="paragraph" w:customStyle="1" w:styleId="纯文本1">
    <w:name w:val="纯文本1"/>
    <w:basedOn w:val="Normal"/>
    <w:next w:val="Default"/>
    <w:link w:val="纯文本Char1"/>
    <w:qFormat/>
    <w:rPr>
      <w:rFonts w:ascii="宋体" w:hAnsi="Courier New"/>
      <w:szCs w:val="20"/>
    </w:rPr>
  </w:style>
  <w:style w:type="paragraph" w:customStyle="1" w:styleId="Default">
    <w:name w:val="Default"/>
    <w:qFormat/>
    <w:pPr>
      <w:widowControl w:val="0"/>
    </w:pPr>
    <w:rPr>
      <w:rFonts w:ascii="仿宋" w:eastAsia="仿宋" w:hAnsi="Times New Roman" w:cs="仿宋" w:hint="default"/>
      <w:color w:val="000000"/>
      <w:sz w:val="24"/>
      <w:szCs w:val="24"/>
      <w:lang w:val="en-US" w:eastAsia="zh-CN" w:bidi="ar-SA"/>
    </w:rPr>
  </w:style>
  <w:style w:type="character" w:customStyle="1" w:styleId="纯文本Char1">
    <w:name w:val="纯文本 Char1"/>
    <w:link w:val="纯文本1"/>
    <w:qFormat/>
    <w:rPr>
      <w:rFonts w:ascii="宋体" w:eastAsia="宋体" w:hAnsi="Courier New"/>
      <w:sz w:val="21"/>
      <w:lang w:val="en-US" w:eastAsia="zh-CN" w:bidi="ar-SA"/>
    </w:rPr>
  </w:style>
  <w:style w:type="paragraph" w:customStyle="1" w:styleId="正文文本缩进21">
    <w:name w:val="正文文本缩进 21"/>
    <w:basedOn w:val="Normal"/>
    <w:pPr>
      <w:spacing w:after="120" w:line="480" w:lineRule="auto"/>
      <w:ind w:left="420"/>
    </w:pPr>
    <w:rPr/>
  </w:style>
  <w:style w:type="paragraph" w:customStyle="1" w:styleId="批注框文本1">
    <w:name w:val="批注框文本1"/>
    <w:basedOn w:val="Normal"/>
    <w:link w:val="批注框文本Char"/>
    <w:uiPriority w:val="99"/>
    <w:rPr>
      <w:sz w:val="18"/>
      <w:szCs w:val="18"/>
    </w:rPr>
  </w:style>
  <w:style w:type="character" w:customStyle="1" w:styleId="批注框文本Char">
    <w:name w:val="批注框文本 Char"/>
    <w:link w:val="批注框文本1"/>
    <w:uiPriority w:val="99"/>
    <w:rPr>
      <w:sz w:val="18"/>
      <w:szCs w:val="18"/>
    </w:rPr>
  </w:style>
  <w:style w:type="paragraph" w:customStyle="1" w:styleId="页脚1">
    <w:name w:val="页脚1"/>
    <w:basedOn w:val="Normal"/>
    <w:link w:val="页脚Char"/>
    <w:uiPriority w:val="99"/>
    <w:pPr>
      <w:tabs>
        <w:tab w:val="center" w:pos="4153"/>
        <w:tab w:val="right" w:pos="8306"/>
      </w:tabs>
      <w:jc w:val="left"/>
    </w:pPr>
    <w:rPr>
      <w:sz w:val="18"/>
      <w:szCs w:val="18"/>
    </w:rPr>
  </w:style>
  <w:style w:type="character" w:customStyle="1" w:styleId="页脚Char">
    <w:name w:val="页脚 Char"/>
    <w:link w:val="页脚1"/>
    <w:uiPriority w:val="99"/>
    <w:rPr>
      <w:sz w:val="18"/>
      <w:szCs w:val="18"/>
    </w:rPr>
  </w:style>
  <w:style w:type="paragraph" w:customStyle="1" w:styleId="页眉1">
    <w:name w:val="页眉1"/>
    <w:basedOn w:val="Normal"/>
    <w:link w:val="页眉Char"/>
    <w:uiPriority w:val="99"/>
    <w:pPr>
      <w:pBdr>
        <w:bottom w:val="single" w:sz="6" w:space="1" w:color="auto"/>
      </w:pBdr>
      <w:tabs>
        <w:tab w:val="center" w:pos="4153"/>
        <w:tab w:val="right" w:pos="8306"/>
      </w:tabs>
      <w:jc w:val="center"/>
    </w:pPr>
    <w:rPr>
      <w:sz w:val="18"/>
      <w:szCs w:val="18"/>
    </w:rPr>
  </w:style>
  <w:style w:type="character" w:customStyle="1" w:styleId="页眉Char">
    <w:name w:val="页眉 Char"/>
    <w:link w:val="页眉1"/>
    <w:uiPriority w:val="99"/>
    <w:rPr>
      <w:sz w:val="18"/>
      <w:szCs w:val="18"/>
    </w:rPr>
  </w:style>
  <w:style w:type="paragraph" w:customStyle="1" w:styleId="目录11">
    <w:name w:val="目录 11"/>
    <w:basedOn w:val="Normal"/>
    <w:next w:val="Normal"/>
    <w:semiHidden/>
    <w:rPr/>
  </w:style>
  <w:style w:type="paragraph" w:customStyle="1" w:styleId="正文文本缩进31">
    <w:name w:val="正文文本缩进 31"/>
    <w:basedOn w:val="Normal"/>
    <w:uiPriority w:val="99"/>
    <w:pPr>
      <w:ind w:firstLine="420"/>
    </w:pPr>
    <w:rPr>
      <w:rFonts w:eastAsia="楷体_GB2312"/>
    </w:rPr>
  </w:style>
  <w:style w:type="paragraph" w:customStyle="1" w:styleId="目录21">
    <w:name w:val="目录 21"/>
    <w:basedOn w:val="Normal"/>
    <w:next w:val="Normal"/>
    <w:semiHidden/>
    <w:pPr>
      <w:ind w:left="420"/>
    </w:pPr>
    <w:rPr>
      <w:szCs w:val="20"/>
    </w:rPr>
  </w:style>
  <w:style w:type="paragraph" w:customStyle="1" w:styleId="正文文本21">
    <w:name w:val="正文文本 21"/>
    <w:basedOn w:val="Normal"/>
    <w:link w:val="正文文本2Char"/>
    <w:qFormat/>
    <w:pPr>
      <w:spacing w:line="440" w:lineRule="exact"/>
    </w:pPr>
    <w:rPr>
      <w:rFonts w:ascii="楷体_GB2312" w:eastAsia="楷体_GB2312"/>
      <w:sz w:val="28"/>
    </w:rPr>
  </w:style>
  <w:style w:type="character" w:customStyle="1" w:styleId="正文文本2Char">
    <w:name w:val="正文文本 2 Char"/>
    <w:link w:val="正文文本21"/>
    <w:qFormat/>
    <w:rPr>
      <w:rFonts w:ascii="楷体_GB2312" w:eastAsia="楷体_GB2312"/>
      <w:sz w:val="28"/>
      <w:szCs w:val="24"/>
    </w:rPr>
  </w:style>
  <w:style w:type="paragraph" w:customStyle="1" w:styleId="信息标题1">
    <w:name w:val="信息标题1"/>
    <w:basedOn w:val="Normal"/>
    <w:next w:val="Normal"/>
    <w:uiPriority w:val="99"/>
    <w:unhideWhenUsed/>
    <w:qFormat/>
    <w:pPr>
      <w:pBdr>
        <w:top w:val="single" w:sz="6" w:space="1" w:color="auto"/>
        <w:left w:val="single" w:sz="6" w:space="1" w:color="auto"/>
        <w:bottom w:val="single" w:sz="6" w:space="1" w:color="auto"/>
        <w:right w:val="single" w:sz="6" w:space="1" w:color="auto"/>
      </w:pBdr>
      <w:shd w:val="clear" w:color="auto" w:fill="7F7F7F"/>
      <w:spacing w:before="100" w:beforeAutospacing="1" w:after="100" w:afterAutospacing="1" w:line="120" w:lineRule="auto"/>
      <w:ind w:left="1080" w:hanging="1080"/>
    </w:pPr>
    <w:rPr>
      <w:rFonts w:ascii="Arial" w:eastAsia="宋体" w:hAnsi="Arial" w:cs="Arial"/>
      <w:sz w:val="21"/>
      <w:szCs w:val="24"/>
      <w:lang w:val="en-US" w:eastAsia="zh-CN" w:bidi="ar-SA"/>
    </w:rPr>
  </w:style>
  <w:style w:type="paragraph" w:customStyle="1" w:styleId="普通(网站)1">
    <w:name w:val="普通(网站)1"/>
    <w:basedOn w:val="Normal"/>
    <w:unhideWhenUsed/>
    <w:qFormat/>
    <w:pPr>
      <w:widowControl/>
      <w:spacing w:before="100" w:beforeAutospacing="1" w:after="100" w:afterAutospacing="1"/>
      <w:jc w:val="left"/>
    </w:pPr>
    <w:rPr>
      <w:rFonts w:ascii="宋体" w:hAnsi="宋体" w:cs="宋体"/>
      <w:sz w:val="24"/>
    </w:rPr>
  </w:style>
  <w:style w:type="paragraph" w:customStyle="1" w:styleId="标题110">
    <w:name w:val="标题11"/>
    <w:basedOn w:val="Normal"/>
    <w:next w:val="Normal"/>
    <w:qFormat/>
    <w:pPr>
      <w:spacing w:before="240" w:after="60"/>
      <w:jc w:val="center"/>
      <w:outlineLvl w:val="0"/>
    </w:pPr>
    <w:rPr>
      <w:rFonts w:ascii="Arial" w:hAnsi="Arial" w:cs="Arial"/>
      <w:b/>
      <w:bCs/>
      <w:sz w:val="32"/>
      <w:szCs w:val="32"/>
    </w:rPr>
  </w:style>
  <w:style w:type="paragraph" w:customStyle="1" w:styleId="批注主题1">
    <w:name w:val="批注主题1"/>
    <w:basedOn w:val="批注文字1"/>
    <w:next w:val="批注文字1"/>
    <w:link w:val="批注主题Char"/>
    <w:uiPriority w:val="99"/>
    <w:rPr>
      <w:b/>
      <w:bCs/>
    </w:rPr>
  </w:style>
  <w:style w:type="character" w:customStyle="1" w:styleId="批注主题Char">
    <w:name w:val="批注主题 Char"/>
    <w:link w:val="批注主题1"/>
    <w:uiPriority w:val="99"/>
    <w:rPr>
      <w:b/>
      <w:bCs/>
      <w:sz w:val="21"/>
      <w:szCs w:val="24"/>
    </w:rPr>
  </w:style>
  <w:style w:type="paragraph" w:customStyle="1" w:styleId="正文首行缩进1">
    <w:name w:val="正文首行缩进1"/>
    <w:basedOn w:val="Normal"/>
    <w:link w:val="正文首行缩进Char"/>
    <w:qFormat/>
    <w:pPr>
      <w:tabs>
        <w:tab w:val="left" w:pos="2020"/>
        <w:tab w:val="center" w:pos="4535"/>
      </w:tabs>
      <w:ind w:firstLine="420"/>
    </w:pPr>
    <w:rPr/>
  </w:style>
  <w:style w:type="character" w:customStyle="1" w:styleId="正文首行缩进Char">
    <w:name w:val="正文首行缩进 Char"/>
    <w:link w:val="正文首行缩进1"/>
    <w:rPr/>
  </w:style>
  <w:style w:type="table" w:customStyle="1" w:styleId="网格型1">
    <w:name w:val="网格型1"/>
    <w:basedOn w:val="普通表格1"/>
    <w:qFormat/>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要点1">
    <w:name w:val="要点1"/>
    <w:link w:val="Normal"/>
    <w:qFormat/>
    <w:rPr/>
  </w:style>
  <w:style w:type="character" w:customStyle="1" w:styleId="页码1">
    <w:name w:val="页码1"/>
    <w:link w:val="Normal"/>
    <w:rPr/>
  </w:style>
  <w:style w:type="character" w:customStyle="1" w:styleId="已访问的超链接1">
    <w:name w:val="已访问的超链接1"/>
    <w:link w:val="Normal"/>
    <w:rPr>
      <w:color w:val="800080"/>
      <w:u w:val="none"/>
    </w:rPr>
  </w:style>
  <w:style w:type="character" w:customStyle="1" w:styleId="强调1">
    <w:name w:val="强调1"/>
    <w:link w:val="Normal"/>
    <w:qFormat/>
    <w:rPr/>
  </w:style>
  <w:style w:type="character" w:customStyle="1" w:styleId="HTML定义1">
    <w:name w:val="HTML 定义1"/>
    <w:link w:val="Normal"/>
    <w:rPr/>
  </w:style>
  <w:style w:type="character" w:customStyle="1" w:styleId="HTML打字机1">
    <w:name w:val="HTML 打字机1"/>
    <w:link w:val="Normal"/>
    <w:rPr>
      <w:rFonts w:ascii="monospace" w:eastAsia="monospace" w:hAnsi="monospace" w:cs="monospace"/>
      <w:sz w:val="20"/>
    </w:rPr>
  </w:style>
  <w:style w:type="character" w:customStyle="1" w:styleId="HTML缩写1">
    <w:name w:val="HTML 缩写1"/>
    <w:link w:val="Normal"/>
    <w:rPr/>
  </w:style>
  <w:style w:type="character" w:customStyle="1" w:styleId="HTML变量1">
    <w:name w:val="HTML 变量1"/>
    <w:link w:val="Normal"/>
    <w:rPr/>
  </w:style>
  <w:style w:type="character" w:customStyle="1" w:styleId="超链接1">
    <w:name w:val="超链接1"/>
    <w:link w:val="Normal"/>
    <w:rPr>
      <w:color w:val="0000FF"/>
      <w:u w:val="none"/>
    </w:rPr>
  </w:style>
  <w:style w:type="character" w:customStyle="1" w:styleId="HTML代码1">
    <w:name w:val="HTML 代码1"/>
    <w:link w:val="Normal"/>
    <w:rPr>
      <w:rFonts w:ascii="monospace" w:eastAsia="monospace" w:hAnsi="monospace" w:cs="monospace"/>
      <w:sz w:val="20"/>
    </w:rPr>
  </w:style>
  <w:style w:type="character" w:customStyle="1" w:styleId="批注引用1">
    <w:name w:val="批注引用1"/>
    <w:link w:val="Normal"/>
    <w:uiPriority w:val="99"/>
    <w:rPr>
      <w:sz w:val="21"/>
      <w:szCs w:val="21"/>
    </w:rPr>
  </w:style>
  <w:style w:type="character" w:customStyle="1" w:styleId="HTML引文1">
    <w:name w:val="HTML 引文1"/>
    <w:link w:val="Normal"/>
    <w:rPr/>
  </w:style>
  <w:style w:type="character" w:customStyle="1" w:styleId="HTML键盘1">
    <w:name w:val="HTML 键盘1"/>
    <w:link w:val="Normal"/>
    <w:rPr>
      <w:rFonts w:ascii="monospace" w:eastAsia="monospace" w:hAnsi="monospace" w:cs="monospace"/>
      <w:sz w:val="20"/>
    </w:rPr>
  </w:style>
  <w:style w:type="character" w:customStyle="1" w:styleId="HTML样本1">
    <w:name w:val="HTML 样本1"/>
    <w:link w:val="Normal"/>
    <w:rPr>
      <w:rFonts w:ascii="monospace" w:eastAsia="monospace" w:hAnsi="monospace" w:cs="monospace"/>
    </w:rPr>
  </w:style>
  <w:style w:type="paragraph" w:customStyle="1" w:styleId="CharCharCharCharCharCharCharCharCharCharCharCharChar">
    <w:name w:val="Char Char Char Char Char Char Char Char Char Char Char Char Char"/>
    <w:basedOn w:val="Normal"/>
    <w:next w:val="Normal"/>
    <w:qFormat/>
    <w:pPr>
      <w:widowControl/>
      <w:spacing w:after="160" w:line="240" w:lineRule="exact"/>
    </w:pPr>
    <w:rPr>
      <w:rFonts w:ascii="Verdana"/>
      <w:sz w:val="20"/>
    </w:rPr>
  </w:style>
  <w:style w:type="paragraph" w:customStyle="1" w:styleId="目录51">
    <w:name w:val="目录 51"/>
    <w:next w:val="Normal"/>
    <w:qFormat/>
    <w:pPr>
      <w:ind w:left="1275"/>
      <w:jc w:val="both"/>
    </w:pPr>
    <w:rPr>
      <w:rFonts w:ascii="Times New Roman" w:eastAsia="宋体" w:hAnsi="Times New Roman" w:cs="Times New Roman" w:hint="default"/>
      <w:sz w:val="21"/>
      <w:lang w:val="en-US" w:eastAsia="zh-CN" w:bidi="ar-SA"/>
    </w:rPr>
  </w:style>
  <w:style w:type="character" w:customStyle="1" w:styleId="NormalCharacter1">
    <w:name w:val="NormalCharacter1"/>
    <w:link w:val="Normal"/>
    <w:qFormat/>
    <w:rPr/>
  </w:style>
  <w:style w:type="character" w:customStyle="1" w:styleId="纯文本字符">
    <w:name w:val="纯文本 字符"/>
    <w:link w:val="Normal"/>
    <w:qFormat/>
    <w:rPr>
      <w:rFonts w:ascii="等线" w:hAnsi="Courier New" w:cs="Courier New"/>
    </w:rPr>
  </w:style>
  <w:style w:type="character" w:customStyle="1" w:styleId="FontStyle28">
    <w:name w:val="Font Style28"/>
    <w:link w:val="Normal"/>
    <w:rPr>
      <w:rFonts w:ascii="Constantia" w:hAnsi="Constantia" w:cs="Constantia"/>
      <w:sz w:val="28"/>
      <w:szCs w:val="28"/>
    </w:rPr>
  </w:style>
  <w:style w:type="character" w:customStyle="1" w:styleId="FontStyle30">
    <w:name w:val="Font Style30"/>
    <w:link w:val="Normal"/>
    <w:rPr>
      <w:rFonts w:ascii="宋体" w:eastAsia="宋体" w:cs="宋体"/>
      <w:sz w:val="14"/>
      <w:szCs w:val="14"/>
    </w:rPr>
  </w:style>
  <w:style w:type="character" w:customStyle="1" w:styleId="hour_am">
    <w:name w:val="hour_am"/>
    <w:link w:val="Normal"/>
    <w:rPr/>
  </w:style>
  <w:style w:type="character" w:customStyle="1" w:styleId="PlainTextChar">
    <w:name w:val="Plain Text Char"/>
    <w:link w:val="Normal"/>
    <w:rPr>
      <w:rFonts w:ascii="宋体" w:eastAsia="宋体" w:hAnsi="Courier New"/>
      <w:sz w:val="21"/>
      <w:lang w:val="en-US" w:eastAsia="zh-CN" w:bidi="ar-SA"/>
    </w:rPr>
  </w:style>
  <w:style w:type="character" w:customStyle="1" w:styleId="hover3">
    <w:name w:val="hover3"/>
    <w:link w:val="Normal"/>
    <w:rPr>
      <w:color w:val="2590EB"/>
      <w:shd w:val="clear" w:color="auto" w:fill="E9F4FD"/>
    </w:rPr>
  </w:style>
  <w:style w:type="character" w:customStyle="1" w:styleId="无">
    <w:name w:val="无"/>
    <w:link w:val="Normal"/>
    <w:qFormat/>
    <w:rPr/>
  </w:style>
  <w:style w:type="character" w:customStyle="1" w:styleId="hover">
    <w:name w:val="hover"/>
    <w:link w:val="Normal"/>
    <w:rPr>
      <w:shd w:val="clear" w:color="auto" w:fill="EEEEEE"/>
    </w:rPr>
  </w:style>
  <w:style w:type="character" w:customStyle="1" w:styleId="FontStyle37">
    <w:name w:val="Font Style37"/>
    <w:link w:val="Normal"/>
    <w:rPr>
      <w:rFonts w:ascii="Arial" w:hAnsi="Arial" w:cs="Arial"/>
      <w:sz w:val="16"/>
      <w:szCs w:val="16"/>
    </w:rPr>
  </w:style>
  <w:style w:type="character" w:customStyle="1" w:styleId="FontStyle29">
    <w:name w:val="Font Style29"/>
    <w:link w:val="Normal"/>
    <w:rPr>
      <w:rFonts w:ascii="Arial" w:hAnsi="Arial" w:cs="Arial"/>
      <w:sz w:val="14"/>
      <w:szCs w:val="14"/>
    </w:rPr>
  </w:style>
  <w:style w:type="character" w:customStyle="1" w:styleId="hour_pm">
    <w:name w:val="hour_pm"/>
    <w:link w:val="Normal"/>
    <w:rPr/>
  </w:style>
  <w:style w:type="character" w:customStyle="1" w:styleId="glyphicon">
    <w:name w:val="glyphicon"/>
    <w:link w:val="Normal"/>
    <w:rPr/>
  </w:style>
  <w:style w:type="character" w:customStyle="1" w:styleId="old">
    <w:name w:val="old"/>
    <w:link w:val="Normal"/>
    <w:rPr>
      <w:color w:val="999999"/>
    </w:rPr>
  </w:style>
  <w:style w:type="character" w:customStyle="1" w:styleId="标题2Char">
    <w:name w:val="标题 2 Char"/>
    <w:aliases w:val="2 Char,2nd level Char,H2 Char,H21 Char,H211 Char,H212 Char,H22 Char,H23 Char,Header 2 Char,Heading 2 CCBS Char,Heading 2 Hidden Char,h2 Char,sect 1.2 Char,sect 1.21 Char,sect 1.211 Char,sect 1.212 Char,sect 1.22 Char,sect 1.23 Char,节 Char"/>
    <w:link w:val="Normal"/>
    <w:uiPriority w:val="9"/>
    <w:rPr>
      <w:rFonts w:ascii="Arial" w:eastAsia="黑体" w:hAnsi="Arial"/>
      <w:b/>
      <w:sz w:val="32"/>
      <w:lang w:val="en-US" w:eastAsia="zh-CN"/>
    </w:rPr>
  </w:style>
  <w:style w:type="character" w:customStyle="1" w:styleId="列出段落Char">
    <w:name w:val="列出段落 Char"/>
    <w:link w:val="列出段落"/>
    <w:uiPriority w:val="34"/>
    <w:qFormat/>
    <w:rPr>
      <w:rFonts w:ascii="Calibri" w:hAnsi="Calibri"/>
      <w:sz w:val="21"/>
      <w:szCs w:val="24"/>
    </w:rPr>
  </w:style>
  <w:style w:type="paragraph" w:customStyle="1" w:styleId="列出段落">
    <w:name w:val="列出段落"/>
    <w:basedOn w:val="Normal"/>
    <w:link w:val="列出段落Char"/>
    <w:uiPriority w:val="34"/>
    <w:qFormat/>
    <w:pPr>
      <w:ind w:firstLine="420"/>
    </w:pPr>
    <w:rPr>
      <w:rFonts w:ascii="Calibri" w:hAnsi="Calibri"/>
    </w:rPr>
  </w:style>
  <w:style w:type="character" w:customStyle="1" w:styleId="FontStyle36">
    <w:name w:val="Font Style36"/>
    <w:link w:val="Normal"/>
    <w:rPr>
      <w:rFonts w:ascii="宋体" w:eastAsia="宋体" w:cs="宋体"/>
      <w:sz w:val="16"/>
      <w:szCs w:val="16"/>
    </w:rPr>
  </w:style>
  <w:style w:type="character" w:customStyle="1" w:styleId="纯文本Char">
    <w:name w:val="纯文本 Char"/>
    <w:link w:val="Normal"/>
    <w:qFormat/>
    <w:rPr>
      <w:rFonts w:ascii="宋体" w:eastAsia="宋体" w:hAnsi="Courier New"/>
      <w:sz w:val="21"/>
      <w:lang w:val="en-US" w:eastAsia="zh-CN" w:bidi="ar-SA"/>
    </w:rPr>
  </w:style>
  <w:style w:type="character" w:customStyle="1" w:styleId="font11">
    <w:name w:val="font11"/>
    <w:link w:val="Normal"/>
    <w:qFormat/>
    <w:rPr>
      <w:rFonts w:ascii="仿宋_GB2312" w:eastAsia="仿宋_GB2312" w:cs="仿宋_GB2312" w:hint="eastAsia"/>
      <w:color w:val="000000"/>
      <w:sz w:val="18"/>
      <w:szCs w:val="18"/>
      <w:u w:val="none"/>
    </w:rPr>
  </w:style>
  <w:style w:type="character" w:customStyle="1" w:styleId="hover1">
    <w:name w:val="hover1"/>
    <w:link w:val="Normal"/>
    <w:rPr>
      <w:color w:val="2590EB"/>
    </w:rPr>
  </w:style>
  <w:style w:type="character" w:customStyle="1" w:styleId="hover2">
    <w:name w:val="hover2"/>
    <w:link w:val="Normal"/>
    <w:rPr/>
  </w:style>
  <w:style w:type="paragraph" w:customStyle="1" w:styleId="Char">
    <w:name w:val=" Char"/>
    <w:basedOn w:val="Normal"/>
    <w:pPr>
      <w:tabs>
        <w:tab w:val="left" w:pos="420"/>
      </w:tabs>
      <w:ind w:left="420" w:hanging="420"/>
      <w:jc w:val="left"/>
    </w:pPr>
    <w:rPr>
      <w:szCs w:val="20"/>
    </w:rPr>
  </w:style>
  <w:style w:type="paragraph" w:customStyle="1" w:styleId="TableParagraph">
    <w:name w:val="Table Paragraph"/>
    <w:basedOn w:val="Normal"/>
    <w:uiPriority w:val="1"/>
    <w:qFormat/>
    <w:pPr>
      <w:spacing w:before="201"/>
    </w:pPr>
    <w:rPr/>
  </w:style>
  <w:style w:type="paragraph" w:customStyle="1" w:styleId="_Style2">
    <w:name w:val="_Style 2"/>
    <w:basedOn w:val="Normal"/>
    <w:uiPriority w:val="34"/>
    <w:qFormat/>
    <w:pPr>
      <w:widowControl/>
      <w:ind w:left="720"/>
      <w:contextualSpacing/>
      <w:jc w:val="left"/>
    </w:pPr>
    <w:rPr>
      <w:rFonts w:ascii="Calibri" w:hAnsi="Calibri"/>
      <w:sz w:val="24"/>
      <w:lang w:eastAsia="en-US" w:bidi="en-US"/>
    </w:rPr>
  </w:style>
  <w:style w:type="paragraph" w:customStyle="1" w:styleId="正文_3">
    <w:name w:val="正文_3"/>
    <w:basedOn w:val="Normal"/>
    <w:rPr>
      <w:szCs w:val="21"/>
    </w:rPr>
  </w:style>
  <w:style w:type="paragraph" w:customStyle="1" w:styleId="正文1">
    <w:name w:val="正文1"/>
    <w:basedOn w:val="样式1"/>
    <w:next w:val="Normal"/>
    <w:qFormat/>
    <w:pPr>
      <w:tabs>
        <w:tab w:val="left" w:pos="1110"/>
      </w:tabs>
      <w:spacing w:before="120" w:after="120" w:line="180" w:lineRule="auto"/>
      <w:ind w:firstLine="200"/>
      <w:contextualSpacing/>
    </w:pPr>
    <w:rPr>
      <w:rFonts w:eastAsia="Adobe 仿宋 Std R"/>
      <w:sz w:val="21"/>
      <w:szCs w:val="21"/>
      <w:lang w:val="en-US" w:eastAsia="zh-CN" w:bidi="ar-SA"/>
    </w:rPr>
  </w:style>
  <w:style w:type="paragraph" w:customStyle="1" w:styleId="样式1">
    <w:name w:val="样式1"/>
    <w:basedOn w:val="Normal"/>
    <w:next w:val="标题41"/>
    <w:pPr>
      <w:numPr>
        <w:ilvl w:val="0"/>
        <w:numId w:val="8"/>
      </w:numPr>
      <w:tabs>
        <w:tab w:val="left" w:pos="1110"/>
      </w:tabs>
    </w:pPr>
    <w:rPr>
      <w:rFonts w:ascii="宋体" w:hAnsi="宋体"/>
      <w:szCs w:val="21"/>
    </w:rPr>
  </w:style>
  <w:style w:type="paragraph" w:customStyle="1" w:styleId="首行缩进">
    <w:name w:val="首行缩进"/>
    <w:basedOn w:val="Normal"/>
    <w:qFormat/>
    <w:pPr>
      <w:spacing w:line="360" w:lineRule="auto"/>
      <w:ind w:firstLine="420"/>
    </w:pPr>
    <w:rPr>
      <w:sz w:val="20"/>
    </w:rPr>
  </w:style>
  <w:style w:type="paragraph" w:customStyle="1" w:styleId="标题6（有编号）（绿盟科技）">
    <w:name w:val="标题 6（有编号）（绿盟科技）"/>
    <w:basedOn w:val="Normal"/>
    <w:next w:val="Normal"/>
    <w:qFormat/>
    <w:pPr>
      <w:keepNext/>
      <w:keepLines/>
      <w:numPr>
        <w:ilvl w:val="5"/>
        <w:numId w:val="7"/>
      </w:numPr>
      <w:spacing w:before="240" w:after="64" w:line="316" w:lineRule="auto"/>
      <w:jc w:val="left"/>
      <w:outlineLvl w:val="5"/>
    </w:pPr>
    <w:rPr>
      <w:rFonts w:ascii="Arial" w:eastAsia="黑体" w:hAnsi="Arial"/>
      <w:b/>
    </w:rPr>
  </w:style>
  <w:style w:type="paragraph" w:customStyle="1" w:styleId="NoSpacing1">
    <w:name w:val="No Spacing1"/>
    <w:qFormat/>
    <w:rPr>
      <w:rFonts w:ascii="Calibri" w:eastAsia="宋体" w:hAnsi="Calibri" w:cs="Times New Roman" w:hint="default"/>
      <w:sz w:val="22"/>
      <w:szCs w:val="22"/>
      <w:lang w:val="en-US" w:eastAsia="zh-CN" w:bidi="ar-SA"/>
    </w:rPr>
  </w:style>
  <w:style w:type="paragraph" w:customStyle="1" w:styleId="Style12">
    <w:name w:val="Style12"/>
    <w:basedOn w:val="Normal"/>
    <w:pPr>
      <w:jc w:val="left"/>
    </w:pPr>
    <w:rPr>
      <w:rFonts w:ascii="宋体"/>
      <w:sz w:val="24"/>
    </w:rPr>
  </w:style>
  <w:style w:type="paragraph" w:customStyle="1" w:styleId="正文（缩进）Char1">
    <w:name w:val="正文（缩进） Char1"/>
    <w:basedOn w:val="Normal"/>
    <w:pPr>
      <w:spacing w:before="156" w:after="156" w:line="360" w:lineRule="auto"/>
      <w:ind w:firstLine="480"/>
    </w:pPr>
    <w:rPr>
      <w:sz w:val="24"/>
    </w:rPr>
  </w:style>
  <w:style w:type="paragraph" w:customStyle="1" w:styleId="标题3（绿盟科技）">
    <w:name w:val="标题 3（绿盟科技）"/>
    <w:basedOn w:val="标题31"/>
    <w:next w:val="Normal"/>
    <w:qFormat/>
    <w:pPr>
      <w:numPr>
        <w:ilvl w:val="2"/>
        <w:numId w:val="7"/>
      </w:numPr>
      <w:tabs>
        <w:tab w:val="left" w:pos="960"/>
      </w:tabs>
      <w:spacing w:line="412" w:lineRule="auto"/>
      <w:jc w:val="left"/>
    </w:pPr>
    <w:rPr>
      <w:rFonts w:eastAsia="黑体"/>
      <w:sz w:val="30"/>
      <w:szCs w:val="30"/>
    </w:rPr>
  </w:style>
  <w:style w:type="paragraph" w:customStyle="1" w:styleId="表格正文">
    <w:name w:val="表格正文"/>
    <w:pPr>
      <w:spacing w:line="0" w:lineRule="atLeast"/>
    </w:pPr>
    <w:rPr>
      <w:rFonts w:ascii="Times New Roman" w:eastAsia="宋体" w:hAnsi="Times New Roman" w:cs="Times New Roman" w:hint="default"/>
      <w:sz w:val="24"/>
      <w:szCs w:val="24"/>
      <w:lang w:val="en-US" w:eastAsia="zh-CN" w:bidi="he-IL"/>
    </w:rPr>
  </w:style>
  <w:style w:type="paragraph" w:customStyle="1" w:styleId="默认段落字体ParaCharCharCharCharCharCharCharCharChar1CharCharCharCharCharCharChar">
    <w:name w:val="默认段落字体 Para Char Char Char Char Char Char Char Char Char1 Char Char Char Char Char Char Char"/>
    <w:basedOn w:val="文档结构图1"/>
    <w:rPr>
      <w:rFonts w:ascii="Tahoma" w:hAnsi="Tahoma"/>
      <w:sz w:val="24"/>
    </w:rPr>
  </w:style>
  <w:style w:type="paragraph" w:customStyle="1" w:styleId="CharCharCharChar">
    <w:name w:val="Char Char Char Char"/>
    <w:basedOn w:val="文档结构图1"/>
    <w:pPr>
      <w:spacing w:line="360" w:lineRule="auto"/>
    </w:pPr>
    <w:rPr>
      <w:rFonts w:ascii="Tahoma" w:hAnsi="Tahoma"/>
      <w:sz w:val="24"/>
    </w:rPr>
  </w:style>
  <w:style w:type="paragraph" w:customStyle="1" w:styleId="标题5（有编号）（绿盟科技）">
    <w:name w:val="标题 5（有编号）（绿盟科技）"/>
    <w:basedOn w:val="Normal"/>
    <w:next w:val="Normal"/>
    <w:qFormat/>
    <w:pPr>
      <w:keepNext/>
      <w:keepLines/>
      <w:numPr>
        <w:ilvl w:val="4"/>
        <w:numId w:val="7"/>
      </w:numPr>
      <w:spacing w:before="280" w:after="156" w:line="376" w:lineRule="auto"/>
      <w:jc w:val="left"/>
      <w:outlineLvl w:val="4"/>
    </w:pPr>
    <w:rPr>
      <w:rFonts w:ascii="Arial" w:eastAsia="黑体" w:hAnsi="Arial"/>
      <w:b/>
      <w:sz w:val="24"/>
      <w:szCs w:val="28"/>
    </w:rPr>
  </w:style>
  <w:style w:type="paragraph" w:customStyle="1" w:styleId="文档正文">
    <w:name w:val="文档正文"/>
    <w:basedOn w:val="Normal"/>
    <w:pPr>
      <w:spacing w:line="480" w:lineRule="atLeast"/>
      <w:ind w:firstLine="567"/>
    </w:pPr>
    <w:rPr>
      <w:rFonts w:ascii="仿宋_GB2312"/>
      <w:szCs w:val="20"/>
    </w:rPr>
  </w:style>
  <w:style w:type="paragraph" w:customStyle="1" w:styleId="Char1">
    <w:name w:val="Char1"/>
    <w:basedOn w:val="Normal"/>
    <w:pPr>
      <w:tabs>
        <w:tab w:val="left" w:pos="840"/>
      </w:tabs>
      <w:ind w:left="840" w:hanging="420"/>
    </w:pPr>
    <w:rPr>
      <w:sz w:val="24"/>
    </w:rPr>
  </w:style>
  <w:style w:type="paragraph" w:customStyle="1" w:styleId="要点标题">
    <w:name w:val="要点标题"/>
    <w:basedOn w:val="Normal"/>
    <w:pPr>
      <w:numPr>
        <w:ilvl w:val="0"/>
        <w:numId w:val="10"/>
      </w:numPr>
      <w:jc w:val="left"/>
    </w:pPr>
    <w:rPr>
      <w:rFonts w:ascii="宋体" w:hAnsi="宋体"/>
      <w:b/>
      <w:sz w:val="24"/>
    </w:rPr>
  </w:style>
  <w:style w:type="paragraph" w:customStyle="1" w:styleId="Style10">
    <w:name w:val="Style10"/>
    <w:basedOn w:val="Normal"/>
    <w:pPr>
      <w:jc w:val="left"/>
    </w:pPr>
    <w:rPr>
      <w:rFonts w:ascii="宋体"/>
      <w:sz w:val="24"/>
    </w:rPr>
  </w:style>
  <w:style w:type="paragraph" w:customStyle="1" w:styleId="标题1">
    <w:name w:val="标题1"/>
    <w:basedOn w:val="标题11"/>
    <w:next w:val="Normal"/>
    <w:pPr>
      <w:numPr>
        <w:ilvl w:val="0"/>
        <w:numId w:val="8"/>
      </w:numPr>
      <w:spacing w:line="578" w:lineRule="atLeast"/>
      <w:jc w:val="left"/>
    </w:pPr>
    <w:rPr/>
  </w:style>
  <w:style w:type="paragraph" w:customStyle="1" w:styleId="标题2（绿盟科技）">
    <w:name w:val="标题 2（绿盟科技）"/>
    <w:basedOn w:val="标题211"/>
    <w:next w:val="Normal"/>
    <w:qFormat/>
    <w:pPr>
      <w:numPr>
        <w:ilvl w:val="1"/>
        <w:numId w:val="7"/>
      </w:numPr>
      <w:spacing w:line="412" w:lineRule="auto"/>
      <w:jc w:val="left"/>
    </w:pPr>
    <w:rPr>
      <w:szCs w:val="32"/>
    </w:rPr>
  </w:style>
  <w:style w:type="paragraph" w:customStyle="1" w:styleId="_Style56">
    <w:name w:val="_Style 56"/>
    <w:basedOn w:val="文档结构图1"/>
    <w:pPr>
      <w:spacing w:line="436" w:lineRule="exact"/>
    </w:pPr>
    <w:rPr>
      <w:szCs w:val="20"/>
    </w:rPr>
  </w:style>
  <w:style w:type="paragraph" w:customStyle="1" w:styleId="PlainText1">
    <w:name w:val="PlainText1"/>
    <w:basedOn w:val="Normal"/>
    <w:qFormat/>
    <w:pPr>
      <w:widowControl/>
    </w:pPr>
    <w:rPr>
      <w:rFonts w:ascii="宋体" w:hAnsi="Courier New"/>
      <w:szCs w:val="20"/>
    </w:rPr>
  </w:style>
  <w:style w:type="paragraph" w:customStyle="1" w:styleId="正文（无缩进）">
    <w:name w:val="正文（无缩进）"/>
    <w:basedOn w:val="Normal"/>
    <w:qFormat/>
    <w:pPr>
      <w:spacing w:line="360" w:lineRule="auto"/>
    </w:pPr>
    <w:rPr>
      <w:rFonts w:ascii="Calibri" w:hAnsi="Calibri"/>
      <w:sz w:val="24"/>
      <w:szCs w:val="21"/>
    </w:rPr>
  </w:style>
  <w:style w:type="paragraph" w:customStyle="1" w:styleId="普通正文">
    <w:name w:val="普通正文"/>
    <w:basedOn w:val="Normal"/>
    <w:pPr>
      <w:spacing w:before="120" w:after="120" w:line="360" w:lineRule="auto"/>
      <w:ind w:firstLine="480"/>
      <w:jc w:val="left"/>
    </w:pPr>
    <w:rPr>
      <w:rFonts w:ascii="Arial" w:hAnsi="Arial"/>
      <w:sz w:val="24"/>
    </w:rPr>
  </w:style>
  <w:style w:type="paragraph" w:customStyle="1" w:styleId="_Style30">
    <w:name w:val="_Style 30"/>
    <w:basedOn w:val="Normal"/>
    <w:next w:val="ListParagraph"/>
    <w:uiPriority w:val="99"/>
    <w:qFormat/>
    <w:pPr>
      <w:ind w:firstLine="420"/>
    </w:pPr>
    <w:rPr>
      <w:sz w:val="24"/>
      <w:szCs w:val="20"/>
    </w:rPr>
  </w:style>
  <w:style w:type="paragraph" w:styleId="ListParagraph">
    <w:name w:val="List Paragraph"/>
    <w:basedOn w:val="Normal"/>
    <w:uiPriority w:val="34"/>
    <w:qFormat/>
    <w:pPr>
      <w:ind w:firstLine="420"/>
    </w:pPr>
    <w:rPr/>
  </w:style>
  <w:style w:type="paragraph" w:customStyle="1" w:styleId="CharCharCharCharCharCharCharCharCharCharCharCharChar0">
    <w:name w:val=" Char Char Char Char Char Char Char Char Char Char Char Char Char"/>
    <w:basedOn w:val="Normal"/>
    <w:pPr>
      <w:widowControl/>
      <w:spacing w:after="160" w:line="240" w:lineRule="exact"/>
      <w:jc w:val="left"/>
    </w:pPr>
    <w:rPr>
      <w:rFonts w:ascii="Verdana" w:hAnsi="Verdana"/>
      <w:sz w:val="20"/>
      <w:szCs w:val="20"/>
      <w:lang w:eastAsia="en-US"/>
    </w:rPr>
  </w:style>
  <w:style w:type="paragraph" w:customStyle="1" w:styleId="修订">
    <w:name w:val="修订"/>
    <w:uiPriority w:val="99"/>
    <w:semiHidden/>
    <w:rPr>
      <w:rFonts w:ascii="Times New Roman" w:eastAsia="宋体" w:hAnsi="Times New Roman" w:cs="Times New Roman" w:hint="default"/>
      <w:sz w:val="21"/>
      <w:szCs w:val="24"/>
      <w:lang w:val="en-US" w:eastAsia="zh-CN" w:bidi="ar-SA"/>
    </w:rPr>
  </w:style>
  <w:style w:type="paragraph" w:customStyle="1" w:styleId="Style11">
    <w:name w:val="Style11"/>
    <w:basedOn w:val="Normal"/>
    <w:pPr>
      <w:spacing w:line="446" w:lineRule="exact"/>
      <w:jc w:val="left"/>
    </w:pPr>
    <w:rPr>
      <w:rFonts w:ascii="宋体"/>
      <w:sz w:val="24"/>
    </w:rPr>
  </w:style>
  <w:style w:type="paragraph" w:customStyle="1" w:styleId="CharCharChar1CharCharCharChar">
    <w:name w:val=" Char Char Char1 Char Char Char Char"/>
    <w:basedOn w:val="Normal"/>
    <w:pPr>
      <w:widowControl/>
      <w:spacing w:after="160" w:line="240" w:lineRule="exact"/>
      <w:jc w:val="left"/>
    </w:pPr>
    <w:rPr>
      <w:rFonts w:ascii="宋体" w:hAnsi="宋体"/>
      <w:b/>
      <w:sz w:val="28"/>
      <w:szCs w:val="28"/>
    </w:rPr>
  </w:style>
  <w:style w:type="paragraph" w:customStyle="1" w:styleId="列出段落1">
    <w:name w:val="列出段落1"/>
    <w:basedOn w:val="Normal"/>
    <w:qFormat/>
    <w:pPr>
      <w:ind w:firstLine="420"/>
    </w:pPr>
    <w:rPr/>
  </w:style>
  <w:style w:type="paragraph" w:customStyle="1" w:styleId="我的样式">
    <w:name w:val="我的样式"/>
    <w:basedOn w:val="标题11"/>
    <w:next w:val="Normal"/>
    <w:pPr>
      <w:numPr>
        <w:ilvl w:val="0"/>
        <w:numId w:val="7"/>
      </w:numPr>
      <w:spacing w:line="360" w:lineRule="auto"/>
    </w:pPr>
    <w:rPr>
      <w:rFonts w:ascii="仿宋_GB2312" w:eastAsia="仿宋_GB2312"/>
      <w:sz w:val="32"/>
      <w:szCs w:val="30"/>
    </w:rPr>
  </w:style>
  <w:style w:type="paragraph" w:customStyle="1" w:styleId="Style9">
    <w:name w:val="Style9"/>
    <w:basedOn w:val="Normal"/>
    <w:pPr>
      <w:jc w:val="left"/>
    </w:pPr>
    <w:rPr>
      <w:rFonts w:ascii="宋体"/>
      <w:sz w:val="24"/>
    </w:rPr>
  </w:style>
  <w:style w:type="paragraph" w:customStyle="1" w:styleId="CharChar1CharCharCharCharCharChar">
    <w:name w:val="Char Char1 Char Char Char Char Char Char"/>
    <w:basedOn w:val="Normal"/>
    <w:pPr>
      <w:widowControl/>
      <w:jc w:val="center"/>
    </w:pPr>
    <w:rPr>
      <w:rFonts w:ascii="宋体" w:hAnsi="宋体"/>
      <w:b/>
      <w:sz w:val="24"/>
      <w:lang w:eastAsia="en-US"/>
    </w:rPr>
  </w:style>
  <w:style w:type="paragraph" w:customStyle="1" w:styleId="Char0">
    <w:name w:val="Char"/>
    <w:basedOn w:val="Normal"/>
    <w:pPr>
      <w:tabs>
        <w:tab w:val="left" w:pos="360"/>
      </w:tabs>
    </w:pPr>
    <w:rPr>
      <w:sz w:val="24"/>
    </w:rPr>
  </w:style>
  <w:style w:type="paragraph" w:customStyle="1" w:styleId="标题4（绿盟科技）">
    <w:name w:val="标题 4（绿盟科技）"/>
    <w:basedOn w:val="标题41"/>
    <w:next w:val="Normal"/>
    <w:qFormat/>
    <w:pPr>
      <w:widowControl/>
      <w:numPr>
        <w:ilvl w:val="3"/>
        <w:numId w:val="7"/>
      </w:numPr>
      <w:spacing w:after="156" w:line="374" w:lineRule="auto"/>
      <w:jc w:val="left"/>
    </w:pPr>
    <w:rPr>
      <w:rFonts w:ascii="Arial" w:eastAsia="黑体" w:hAnsi="Arial"/>
      <w:bCs w:val="0"/>
    </w:rPr>
  </w:style>
  <w:style w:type="paragraph" w:customStyle="1" w:styleId="标题1（绿盟科技）">
    <w:name w:val="标题 1（绿盟科技）"/>
    <w:basedOn w:val="标题11"/>
    <w:next w:val="Normal"/>
    <w:qFormat/>
    <w:pPr>
      <w:numPr>
        <w:ilvl w:val="0"/>
        <w:numId w:val="7"/>
      </w:numPr>
      <w:pBdr>
        <w:bottom w:val="single" w:sz="48" w:space="1" w:color="auto"/>
      </w:pBdr>
      <w:spacing w:before="0" w:after="0" w:line="360" w:lineRule="auto"/>
      <w:jc w:val="left"/>
    </w:pPr>
    <w:rPr>
      <w:rFonts w:ascii="Arial" w:eastAsia="黑体" w:hAnsi="Arial"/>
    </w:rPr>
  </w:style>
  <w:style w:type="paragraph" w:customStyle="1" w:styleId="CharCharCharCharCharCharCharCharCharCharCharCharChar1">
    <w:name w:val="Char Char Char Char Char Char Char Char Char Char Char Char Char1"/>
    <w:basedOn w:val="Normal"/>
    <w:pPr>
      <w:widowControl/>
      <w:spacing w:after="160" w:line="240" w:lineRule="exact"/>
      <w:jc w:val="left"/>
    </w:pPr>
    <w:rPr>
      <w:rFonts w:ascii="Verdana" w:hAnsi="Verdana"/>
      <w:sz w:val="20"/>
      <w:szCs w:val="20"/>
      <w:lang w:eastAsia="en-US"/>
    </w:rPr>
  </w:style>
  <w:style w:type="paragraph" w:customStyle="1" w:styleId="TableText">
    <w:name w:val="Table Text"/>
    <w:basedOn w:val="Normal"/>
    <w:semiHidden/>
    <w:qFormat/>
    <w:rPr>
      <w:rFonts w:ascii="宋体" w:hAnsi="宋体" w:cs="宋体"/>
      <w:szCs w:val="21"/>
      <w:lang w:eastAsia="en-US"/>
    </w:rPr>
  </w:style>
  <w:style w:type="paragraph" w:customStyle="1" w:styleId="正文A">
    <w:name w:val="正文 A"/>
    <w:next w:val="正文1"/>
    <w:pPr>
      <w:framePr w:wrap="around" w:vAnchor="margin" w:hAnchor="text" w:y="1"/>
      <w:widowControl w:val="0"/>
      <w:jc w:val="both"/>
    </w:pPr>
    <w:rPr>
      <w:rFonts w:ascii="Times New Roman" w:eastAsia="Times New Roman" w:hAnsi="Times New Roman" w:cs="Times New Roman" w:hint="default"/>
      <w:color w:val="000000"/>
      <w:sz w:val="21"/>
      <w:szCs w:val="21"/>
      <w:lang w:val="en-US" w:eastAsia="zh-CN" w:bidi="ar-SA"/>
    </w:rPr>
  </w:style>
  <w:style w:type="table" w:customStyle="1" w:styleId="TableNormal">
    <w:name w:val="Table Normal"/>
    <w:unhideWhenUsed/>
    <w:qFormat/>
    <w:rPr>
      <w:lang w:val="en-US" w:eastAsia="zh-CN" w:bidi="ar-SA"/>
    </w:rPr>
  </w:style>
  <w:style w:type="paragraph" w:customStyle="1" w:styleId="宋体正文">
    <w:name w:val="宋体正文"/>
    <w:basedOn w:val="Normal"/>
    <w:qFormat/>
    <w:pPr>
      <w:spacing w:before="120" w:after="120"/>
      <w:ind w:firstLine="420"/>
    </w:pPr>
    <w:rPr>
      <w:rFonts w:ascii="Calibri" w:hAnsi="Calibri" w:cs="Times New Roman"/>
      <w:szCs w:val="24"/>
    </w:rPr>
  </w:style>
  <w:style w:type="paragraph" w:customStyle="1" w:styleId="*正文">
    <w:name w:val="*正文"/>
    <w:basedOn w:val="Normal"/>
    <w:qFormat/>
    <w:pPr>
      <w:widowControl/>
      <w:ind w:firstLine="480"/>
      <w:jc w:val="left"/>
    </w:pPr>
    <w:rPr>
      <w:rFonts w:ascii="宋体" w:hAnsi="宋体" w:cs="Times New Roman"/>
      <w:szCs w:val="24"/>
    </w:rPr>
  </w:style>
  <w:style w:type="paragraph" w:customStyle="1" w:styleId="style4">
    <w:name w:val="style4"/>
    <w:next w:val="2"/>
    <w:qFormat/>
    <w:pPr>
      <w:spacing w:before="280" w:after="280"/>
      <w:jc w:val="both"/>
    </w:pPr>
    <w:rPr>
      <w:rFonts w:ascii="宋体" w:eastAsia="宋体" w:hAnsi="Times New Roman" w:cs="Times New Roman" w:hint="default"/>
      <w:sz w:val="18"/>
      <w:szCs w:val="24"/>
      <w:lang w:val="en-US" w:eastAsia="zh-CN" w:bidi="ar-SA"/>
    </w:rPr>
  </w:style>
  <w:style w:type="paragraph" w:customStyle="1" w:styleId="2">
    <w:name w:val="2"/>
    <w:next w:val="Normal"/>
    <w:qFormat/>
    <w:pPr>
      <w:widowControl w:val="0"/>
      <w:spacing w:line="440" w:lineRule="atLeast"/>
      <w:ind w:firstLine="420"/>
      <w:jc w:val="both"/>
    </w:pPr>
    <w:rPr>
      <w:rFonts w:ascii="Times New Roman" w:eastAsia="宋体" w:hAnsi="Times New Roman" w:cs="Times New Roman" w:hint="default"/>
      <w:sz w:val="24"/>
      <w:lang w:val="en-US" w:eastAsia="zh-CN" w:bidi="ar-SA"/>
    </w:rPr>
  </w:style>
  <w:style w:type="character" w:customStyle="1" w:styleId="hover4">
    <w:name w:val="hover4"/>
    <w:link w:val="Normal"/>
    <w:rPr>
      <w:color w:val="2590EB"/>
      <w:shd w:val="clear" w:color="auto" w:fill="E9F4FD"/>
    </w:rPr>
  </w:style>
  <w:style w:type="paragraph" w:customStyle="1" w:styleId="正文文本1">
    <w:name w:val="正文文本1"/>
    <w:basedOn w:val="Normal"/>
    <w:rPr>
      <w:rFonts w:ascii="楷体_GB2312" w:eastAsia="楷体_GB2312" w:hAnsi="Arial"/>
      <w:sz w:val="28"/>
      <w:szCs w:val="28"/>
      <w:lang w:val="en-US" w:eastAsia="en-US"/>
    </w:rPr>
  </w:style>
  <w:style w:type="paragraph" w:customStyle="1" w:styleId="标题21">
    <w:name w:val="标题 21"/>
    <w:basedOn w:val="Normal"/>
    <w:next w:val="Normal"/>
    <w:qFormat/>
    <w:pPr>
      <w:keepNext/>
      <w:keepLines/>
      <w:spacing w:before="260" w:after="260" w:line="413" w:lineRule="auto"/>
      <w:outlineLvl w:val="1"/>
    </w:pPr>
    <w:rPr>
      <w:rFonts w:ascii="Arial" w:eastAsia="黑体" w:hAnsi="Arial"/>
      <w:b/>
      <w:sz w:val="32"/>
      <w:szCs w:val="20"/>
    </w:rPr>
  </w:style>
  <w:style w:type="paragraph" w:customStyle="1" w:styleId="最终正文格式">
    <w:name w:val="最终正文格式"/>
    <w:basedOn w:val="正文文本11"/>
    <w:qFormat/>
    <w:pPr>
      <w:widowControl/>
      <w:ind w:left="315"/>
    </w:pPr>
    <w:rPr>
      <w:rFonts w:ascii="Arial" w:eastAsia="宋体" w:hAnsi="Arial" w:cs="Arial"/>
      <w:sz w:val="22"/>
      <w:szCs w:val="22"/>
    </w:rPr>
  </w:style>
  <w:style w:type="paragraph" w:customStyle="1" w:styleId="SubItemStep">
    <w:name w:val="Sub Item Step"/>
    <w:qFormat/>
    <w:pPr>
      <w:numPr>
        <w:ilvl w:val="1"/>
        <w:numId w:val="6"/>
      </w:numPr>
      <w:spacing w:before="80" w:after="80" w:line="240" w:lineRule="atLeast"/>
    </w:pPr>
    <w:rPr>
      <w:rFonts w:ascii="Times New Roman" w:eastAsia="宋体" w:hAnsi="Times New Roman" w:cs="Arial" w:hint="eastAsia"/>
      <w:sz w:val="21"/>
      <w:szCs w:val="21"/>
      <w:lang w:val="en-US" w:eastAsia="zh-CN" w:bidi="ar-SA"/>
    </w:rPr>
  </w:style>
  <w:style w:type="character" w:customStyle="1" w:styleId="exap">
    <w:name w:val="exap"/>
    <w:link w:val="Normal"/>
    <w:rPr>
      <w:sz w:val="27"/>
      <w:szCs w:val="27"/>
    </w:rPr>
  </w:style>
  <w:style w:type="character" w:customStyle="1" w:styleId="a_p_3">
    <w:name w:val="a_p_3"/>
    <w:link w:val="Normal"/>
    <w:rPr>
      <w:sz w:val="27"/>
      <w:szCs w:val="27"/>
    </w:rPr>
  </w:style>
  <w:style w:type="character" w:customStyle="1" w:styleId="ul_li_a_1">
    <w:name w:val="ul_li_a_1"/>
    <w:link w:val="Normal"/>
    <w:rPr>
      <w:b/>
      <w:bCs/>
      <w:color w:val="FFFFFF"/>
    </w:rPr>
  </w:style>
  <w:style w:type="character" w:customStyle="1" w:styleId="a_p_2">
    <w:name w:val="a_p_2"/>
    <w:link w:val="Normal"/>
    <w:rPr/>
  </w:style>
  <w:style w:type="character" w:customStyle="1" w:styleId="a_p_21">
    <w:name w:val="a_p_21"/>
    <w:link w:val="Normal"/>
    <w:rPr>
      <w:sz w:val="27"/>
      <w:szCs w:val="27"/>
    </w:rPr>
  </w:style>
  <w:style w:type="character" w:customStyle="1" w:styleId="a_p_1">
    <w:name w:val="a_p_1"/>
    <w:link w:val="Normal"/>
    <w:rPr>
      <w:sz w:val="27"/>
      <w:szCs w:val="27"/>
    </w:rPr>
  </w:style>
  <w:style w:type="numbering" w:styleId="NoList">
    <w:name w:val="No List"/>
    <w:uiPriority w:val="99"/>
    <w:semiHidden/>
    <w:unhideWhenUse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yperlink" Target="http://czj.huaian.gov.cn/col/13924_326175/index.html&#65289;&#33258;&#34892;&#20813;&#36153;&#19979;&#36733;&#25307;&#26631;&#25991;&#20214;&#65292;&#24182;&#20110;2024&#24180;" TargetMode="Externa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eyJoZGlkIjoiNmVlOGE4ZDNlNjcyMTIzNGMwOGNkMDkyNjJjYmEzN2QiLCJ1c2VySWQiOiI0MzU0NjYxOTcifQ_x003D__x003D_</vt:lpwstr>
  </property>
  <property fmtid="{D5CDD505-2E9C-101B-9397-08002B2CF9AE}" pid="3" name="KSOProductBuildVer">
    <vt:lpwstr>2052-12.1.0.21915</vt:lpwstr>
  </property>
  <property fmtid="{D5CDD505-2E9C-101B-9397-08002B2CF9AE}" pid="4" name="ICV">
    <vt:lpwstr>2D8807445E1A4FF68B451D036549E2CA_12</vt:lpwstr>
  </property>
</Properties>
</file>

<file path=customXml/item2.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eyJoZGlkIjoiNmVlOGE4ZDNlNjcyMTIzNGMwOGNkMDkyNjJjYmEzN2QiLCJ1c2VySWQiOiI0MzU0NjYxOTcifQ==</vt:lpwstr>
  </property>
  <property fmtid="{D5CDD505-2E9C-101B-9397-08002B2CF9AE}" pid="3" name="KSOProductBuildVer">
    <vt:lpwstr>2052-12.1.0.21915</vt:lpwstr>
  </property>
  <property fmtid="{D5CDD505-2E9C-101B-9397-08002B2CF9AE}" pid="4" name="ICV">
    <vt:lpwstr>2D8807445E1A4FF68B451D036549E2CA_12</vt:lpwstr>
  </property>
</Propertie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vt="http://schemas.openxmlformats.org/officeDocument/2006/docPropsVTypes" xmlns="http://schemas.openxmlformats.org/officeDocument/2006/extended-properties">
  <TotalTime>0</TotalTime>
  <Pages>93</Pages>
  <Words>7807</Words>
  <Characters>8421</Characters>
  <Application>WPS Office_12.1.0.21915_F1E327BC-269C-435d-A152-05C5408002CA</Application>
  <DocSecurity>0</DocSecurity>
  <Company>Micro</Company>
  <CharactersWithSpaces>8521</CharactersWithSpaces>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尔尔.</cp:lastModifiedBy>
  <cp:revision>4</cp:revision>
  <dcterms:created xsi:type="dcterms:W3CDTF">2024-04-09T02:29:00Z</dcterms:created>
  <dcterms:modified xsi:type="dcterms:W3CDTF">2025-07-16T02:47:29Z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TemplateDocerSaveRecord">
    <vt:lpwstr>eyJoZGlkIjoiNmVlOGE4ZDNlNjcyMTIzNGMwOGNkMDkyNjJjYmEzN2QiLCJ1c2VySWQiOiI0MzU0NjYxOTcifQ_x003D__x003D_</vt:lpwstr>
  </property>
  <property fmtid="{D5CDD505-2E9C-101B-9397-08002B2CF9AE}" pid="3" name="KSOProductBuildVer">
    <vt:lpwstr>2052-12.1.0.21915</vt:lpwstr>
  </property>
  <property fmtid="{D5CDD505-2E9C-101B-9397-08002B2CF9AE}" pid="4" name="ICV">
    <vt:lpwstr>2D8807445E1A4FF68B451D036549E2CA_12</vt:lpwstr>
  </property>
</Properties>
</file>