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 Generated by Spire.Doc -->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wpc="http://schemas.microsoft.com/office/word/2010/wordprocessingCanvas" xmlns:wp14="http://schemas.microsoft.com/office/word/2010/wordprocessingDrawing" xmlns:w14="http://schemas.microsoft.com/office/word/2010/wordml" xmlns:wpg="http://schemas.microsoft.com/office/word/2010/wordprocessingGroup" xmlns:wpi="http://schemas.microsoft.com/office/word/2010/wordprocessingInk" xmlns:wps="http://schemas.microsoft.com/office/word/2010/wordprocessingShape" xmlns:cx="http://schemas.microsoft.com/office/drawing/2014/chartex" xmlns:w15="http://schemas.microsoft.com/office/word/2012/wordml" mc:Ignorable="w14 wp14 w15">
  <w:body>
    <w:p>
      <w:pPr>
        <w:tabs>
          <w:tab w:val="center" w:pos="4621"/>
        </w:tabs>
        <w:spacing w:line="400" w:lineRule="exact"/>
        <w:jc w:val="left"/>
        <w:rPr>
          <w:rFonts w:ascii="宋体" w:hAnsi="宋体" w:cs="宋体"/>
          <w:b/>
          <w:sz w:val="28"/>
          <w:szCs w:val="28"/>
        </w:rPr>
      </w:pPr>
      <w:bookmarkStart w:id="0" w:name="_GoBack"/>
      <w:bookmarkEnd w:id="0"/>
    </w:p>
    <w:p>
      <w:pPr>
        <w:tabs>
          <w:tab w:val="center" w:pos="4621"/>
        </w:tabs>
        <w:spacing w:line="400" w:lineRule="exact"/>
        <w:jc w:val="left"/>
        <w:rPr>
          <w:rFonts w:ascii="宋体" w:hAnsi="宋体" w:cs="宋体"/>
          <w:b/>
          <w:sz w:val="28"/>
          <w:szCs w:val="28"/>
        </w:rPr>
      </w:pPr>
    </w:p>
    <w:p>
      <w:pPr>
        <w:spacing w:line="400" w:lineRule="exact"/>
        <w:jc w:val="center"/>
        <w:rPr>
          <w:rFonts w:ascii="宋体" w:hAnsi="宋体" w:cs="宋体"/>
          <w:b/>
          <w:sz w:val="48"/>
          <w:szCs w:val="48"/>
        </w:rPr>
      </w:pPr>
    </w:p>
    <w:p>
      <w:pPr>
        <w:spacing w:line="400" w:lineRule="exact"/>
        <w:ind w:firstLine="640" w:firstLineChars="200"/>
        <w:jc w:val="center"/>
        <w:rPr>
          <w:rFonts w:ascii="宋体" w:hAnsi="宋体" w:cs="宋体"/>
          <w:b/>
          <w:sz w:val="32"/>
        </w:rPr>
      </w:pPr>
    </w:p>
    <w:p>
      <w:pPr>
        <w:spacing w:line="400" w:lineRule="exact"/>
        <w:rPr>
          <w:rFonts w:ascii="宋体" w:hAnsi="宋体" w:cs="宋体"/>
          <w:b/>
          <w:sz w:val="32"/>
        </w:rPr>
      </w:pPr>
    </w:p>
    <w:p>
      <w:pPr>
        <w:jc w:val="center"/>
        <w:outlineLvl w:val="0"/>
        <w:rPr>
          <w:rFonts w:ascii="宋体" w:hAnsi="宋体" w:cs="宋体"/>
          <w:b/>
          <w:sz w:val="96"/>
        </w:rPr>
      </w:pPr>
      <w:r>
        <w:rPr>
          <w:rFonts w:ascii="宋体" w:hAnsi="宋体" w:cs="宋体" w:hint="eastAsia"/>
          <w:b/>
          <w:sz w:val="96"/>
        </w:rPr>
        <w:t xml:space="preserve">招  标  文  件</w:t>
      </w:r>
    </w:p>
    <w:p>
      <w:pPr>
        <w:spacing w:line="400" w:lineRule="exact"/>
        <w:ind w:firstLine="2682" w:firstLineChars="745"/>
        <w:rPr>
          <w:rFonts w:ascii="宋体" w:hAnsi="宋体" w:cs="宋体"/>
          <w:b/>
          <w:sz w:val="36"/>
        </w:rPr>
      </w:pPr>
    </w:p>
    <w:p>
      <w:pPr>
        <w:spacing w:line="400" w:lineRule="exact"/>
        <w:jc w:val="center"/>
        <w:rPr>
          <w:rFonts w:ascii="宋体" w:hAnsi="宋体" w:cs="宋体"/>
          <w:sz w:val="36"/>
          <w:u w:val="single"/>
        </w:rPr>
      </w:pPr>
    </w:p>
    <w:p>
      <w:pPr>
        <w:spacing w:line="400" w:lineRule="exact"/>
        <w:ind w:firstLine="640" w:firstLineChars="200"/>
        <w:jc w:val="center"/>
        <w:rPr>
          <w:rFonts w:ascii="宋体" w:hAnsi="宋体" w:cs="宋体"/>
          <w:b/>
          <w:sz w:val="32"/>
        </w:rPr>
      </w:pPr>
    </w:p>
    <w:p>
      <w:pPr>
        <w:spacing w:line="400" w:lineRule="exact"/>
        <w:ind w:firstLine="640" w:firstLineChars="200"/>
        <w:jc w:val="center"/>
        <w:rPr>
          <w:rFonts w:ascii="宋体" w:hAnsi="宋体" w:cs="宋体"/>
          <w:b/>
          <w:sz w:val="32"/>
        </w:rPr>
      </w:pPr>
    </w:p>
    <w:p>
      <w:pPr>
        <w:spacing w:line="400" w:lineRule="exact"/>
        <w:rPr>
          <w:rFonts w:ascii="宋体" w:hAnsi="宋体" w:cs="宋体"/>
          <w:b/>
          <w:sz w:val="32"/>
        </w:rPr>
      </w:pPr>
    </w:p>
    <w:p>
      <w:pPr>
        <w:spacing w:line="400" w:lineRule="exact"/>
        <w:ind w:left="2544" w:hanging="1584" w:leftChars="457" w:hangingChars="495"/>
        <w:rPr>
          <w:rFonts w:ascii="宋体" w:hAnsi="宋体" w:cs="宋体"/>
          <w:b/>
          <w:sz w:val="32"/>
        </w:rPr>
      </w:pPr>
    </w:p>
    <w:p>
      <w:pPr>
        <w:pStyle w:val="正文1"/>
        <w:rPr>
          <w:rFonts w:ascii="宋体" w:hAnsi="宋体" w:cs="宋体"/>
          <w:b/>
          <w:sz w:val="32"/>
        </w:rPr>
      </w:pPr>
    </w:p>
    <w:p>
      <w:pPr>
        <w:rPr>
          <w:rFonts w:ascii="宋体" w:hAnsi="宋体" w:cs="宋体"/>
          <w:b/>
          <w:sz w:val="32"/>
        </w:rPr>
      </w:pPr>
    </w:p>
    <w:p>
      <w:pPr>
        <w:pStyle w:val="正文1"/>
        <w:rPr>
          <w:rFonts w:ascii="宋体" w:hAnsi="宋体" w:cs="宋体"/>
          <w:b/>
          <w:sz w:val="32"/>
        </w:rPr>
      </w:pPr>
    </w:p>
    <w:p>
      <w:pPr/>
    </w:p>
    <w:p>
      <w:pPr>
        <w:spacing w:line="400" w:lineRule="exact"/>
        <w:ind w:left="2544" w:hanging="1584" w:leftChars="457" w:hangingChars="495"/>
        <w:rPr>
          <w:rFonts w:ascii="宋体" w:hAnsi="宋体" w:cs="宋体"/>
          <w:b/>
          <w:sz w:val="32"/>
        </w:rPr>
      </w:pPr>
    </w:p>
    <w:p>
      <w:pPr>
        <w:spacing w:line="400" w:lineRule="exact"/>
        <w:ind w:firstLine="960" w:firstLineChars="300"/>
        <w:outlineLvl w:val="0"/>
        <w:rPr>
          <w:rFonts w:ascii="宋体" w:hAnsi="宋体" w:cs="宋体"/>
          <w:b/>
          <w:sz w:val="32"/>
        </w:rPr>
      </w:pPr>
    </w:p>
    <w:p>
      <w:pPr>
        <w:spacing w:line="400" w:lineRule="exact"/>
        <w:ind w:left="2558" w:hanging="1600" w:leftChars="456" w:hangingChars="500"/>
        <w:outlineLvl w:val="0"/>
        <w:rPr>
          <w:rFonts w:ascii="宋体" w:eastAsia="宋体" w:hAnsi="宋体" w:cs="宋体" w:hint="eastAsia"/>
          <w:b/>
          <w:sz w:val="32"/>
          <w:lang w:eastAsia="zh-CN"/>
        </w:rPr>
      </w:pPr>
      <w:r>
        <w:rPr>
          <w:rFonts w:ascii="宋体" w:hAnsi="宋体" w:cs="宋体" w:hint="eastAsia"/>
          <w:b/>
          <w:sz w:val="32"/>
        </w:rPr>
        <w:t xml:space="preserve">项目名称:</w:t>
      </w:r>
      <w:bookmarkStart w:id="1" w:name="OLE_LINK2"/>
      <w:r>
        <w:rPr>
          <w:rFonts w:ascii="宋体" w:hAnsi="宋体" w:cs="宋体" w:hint="eastAsia"/>
          <w:b/>
          <w:sz w:val="32"/>
          <w:lang w:eastAsia="zh-CN"/>
        </w:rPr>
        <w:t xml:space="preserve">盱眙技师学院校园提升改造精密测量、机械测绘与机械拆装实训室项目</w:t>
      </w:r>
      <w:bookmarkEnd w:id="1"/>
    </w:p>
    <w:p>
      <w:pPr>
        <w:spacing w:line="400" w:lineRule="exact"/>
        <w:ind w:firstLine="960" w:firstLineChars="300"/>
        <w:rPr>
          <w:rFonts w:ascii="宋体" w:hAnsi="宋体" w:cs="宋体"/>
          <w:b/>
          <w:sz w:val="32"/>
        </w:rPr>
      </w:pPr>
    </w:p>
    <w:p>
      <w:pPr>
        <w:spacing w:line="400" w:lineRule="exact"/>
        <w:ind w:firstLine="960" w:firstLineChars="300"/>
        <w:outlineLvl w:val="0"/>
        <w:rPr>
          <w:rFonts w:ascii="宋体" w:eastAsia="宋体" w:hAnsi="宋体" w:cs="宋体" w:hint="eastAsia"/>
          <w:b/>
          <w:sz w:val="32"/>
          <w:lang w:eastAsia="zh-CN"/>
        </w:rPr>
      </w:pPr>
      <w:r>
        <w:rPr>
          <w:rFonts w:ascii="宋体" w:hAnsi="宋体" w:cs="宋体" w:hint="eastAsia"/>
          <w:b/>
          <w:sz w:val="32"/>
        </w:rPr>
        <w:t xml:space="preserve">采 购 人:</w:t>
      </w:r>
      <w:r>
        <w:rPr>
          <w:rFonts w:ascii="宋体" w:hAnsi="宋体" w:cs="宋体" w:hint="eastAsia"/>
          <w:b/>
          <w:sz w:val="32"/>
          <w:lang w:eastAsia="zh-CN"/>
        </w:rPr>
        <w:t xml:space="preserve">江苏省盱眙中等专业学校(盱眙技师学院）</w:t>
      </w:r>
    </w:p>
    <w:p>
      <w:pPr>
        <w:spacing w:line="400" w:lineRule="exact"/>
        <w:ind w:firstLine="960" w:firstLineChars="300"/>
        <w:rPr>
          <w:rFonts w:ascii="宋体" w:hAnsi="宋体" w:cs="宋体"/>
          <w:b/>
          <w:sz w:val="32"/>
        </w:rPr>
      </w:pPr>
    </w:p>
    <w:p>
      <w:pPr>
        <w:spacing w:line="400" w:lineRule="exact"/>
        <w:ind w:firstLine="960" w:firstLineChars="300"/>
        <w:outlineLvl w:val="0"/>
        <w:rPr>
          <w:rFonts w:ascii="宋体" w:eastAsia="宋体" w:hAnsi="宋体" w:cs="宋体" w:hint="eastAsia"/>
          <w:b/>
          <w:sz w:val="32"/>
          <w:lang w:eastAsia="zh-CN"/>
        </w:rPr>
      </w:pPr>
      <w:r>
        <w:rPr>
          <w:rFonts w:ascii="宋体" w:hAnsi="宋体" w:cs="宋体" w:hint="eastAsia"/>
          <w:b/>
          <w:sz w:val="32"/>
        </w:rPr>
        <w:t xml:space="preserve">代理机构:</w:t>
      </w:r>
      <w:r>
        <w:rPr>
          <w:rFonts w:ascii="宋体" w:hAnsi="宋体" w:cs="宋体" w:hint="eastAsia"/>
          <w:b/>
          <w:sz w:val="32"/>
          <w:lang w:eastAsia="zh-CN"/>
        </w:rPr>
        <w:t xml:space="preserve">正军项目管理集团有限公司</w:t>
      </w:r>
    </w:p>
    <w:p>
      <w:pPr>
        <w:spacing w:line="400" w:lineRule="exact"/>
        <w:ind w:firstLine="3040" w:firstLineChars="950"/>
        <w:rPr>
          <w:rFonts w:ascii="宋体" w:hAnsi="宋体" w:cs="宋体"/>
          <w:b/>
          <w:sz w:val="32"/>
        </w:rPr>
      </w:pPr>
    </w:p>
    <w:p>
      <w:pPr>
        <w:spacing w:line="400" w:lineRule="exact"/>
        <w:ind w:firstLine="3040" w:firstLineChars="950"/>
        <w:rPr>
          <w:rFonts w:ascii="宋体" w:hAnsi="宋体" w:cs="宋体"/>
          <w:b/>
          <w:sz w:val="32"/>
        </w:rPr>
      </w:pPr>
    </w:p>
    <w:p>
      <w:pPr>
        <w:spacing w:line="400" w:lineRule="exact"/>
        <w:ind w:firstLine="3200" w:firstLineChars="1000"/>
        <w:outlineLvl w:val="0"/>
        <w:rPr>
          <w:rFonts w:ascii="宋体" w:hAnsi="宋体" w:cs="宋体"/>
          <w:b/>
          <w:sz w:val="32"/>
        </w:rPr>
      </w:pPr>
      <w:r>
        <w:rPr>
          <w:rFonts w:ascii="宋体" w:hAnsi="宋体" w:cs="宋体" w:hint="eastAsia"/>
          <w:b/>
          <w:sz w:val="32"/>
        </w:rPr>
        <w:t xml:space="preserve">2023年</w:t>
      </w:r>
      <w:r>
        <w:rPr>
          <w:rFonts w:ascii="宋体" w:hAnsi="宋体" w:cs="宋体" w:hint="eastAsia"/>
          <w:b/>
          <w:sz w:val="32"/>
          <w:lang w:val="en-US" w:eastAsia="zh-CN"/>
        </w:rPr>
        <w:t xml:space="preserve">10</w:t>
      </w:r>
      <w:r>
        <w:rPr>
          <w:rFonts w:ascii="宋体" w:hAnsi="宋体" w:cs="宋体" w:hint="eastAsia"/>
          <w:b/>
          <w:sz w:val="32"/>
        </w:rPr>
        <w:t xml:space="preserve">月</w:t>
      </w:r>
    </w:p>
    <w:p>
      <w:pPr>
        <w:spacing w:before="120" w:beforeLines="50" w:line="400" w:lineRule="exact"/>
        <w:ind w:firstLine="880" w:firstLineChars="200"/>
        <w:jc w:val="center"/>
        <w:rPr>
          <w:rFonts w:ascii="宋体" w:hAnsi="宋体" w:cs="宋体"/>
          <w:b/>
          <w:sz w:val="44"/>
        </w:rPr>
      </w:pPr>
      <w:bookmarkStart w:id="2" w:name="_Toc115756014"/>
      <w:bookmarkStart w:id="3" w:name="_Toc142209795"/>
      <w:r>
        <w:br w:type="page"/>
      </w:r>
    </w:p>
    <w:p>
      <w:pPr>
        <w:keepNext w:val="0"/>
        <w:keepLines w:val="0"/>
        <w:pageBreakBefore w:val="0"/>
        <w:widowControl w:val="0"/>
        <w:kinsoku/>
        <w:wordWrap/>
        <w:overflowPunct/>
        <w:topLinePunct w:val="0"/>
        <w:autoSpaceDE/>
        <w:autoSpaceDN/>
        <w:bidi w:val="0"/>
        <w:adjustRightInd/>
        <w:snapToGrid/>
        <w:spacing w:before="120" w:beforeLines="50" w:line="460" w:lineRule="exact"/>
        <w:ind w:firstLine="880" w:firstLineChars="200"/>
        <w:jc w:val="center"/>
        <w:textAlignment w:val="auto"/>
        <w:rPr>
          <w:rFonts w:ascii="宋体" w:hAnsi="宋体" w:cs="宋体"/>
          <w:b/>
          <w:sz w:val="44"/>
        </w:rPr>
      </w:pPr>
      <w:r>
        <w:rPr>
          <w:rFonts w:ascii="宋体" w:hAnsi="宋体" w:cs="宋体" w:hint="eastAsia"/>
          <w:b/>
          <w:sz w:val="44"/>
        </w:rPr>
        <w:t xml:space="preserve">前附表</w:t>
      </w:r>
    </w:p>
    <w:tbl>
      <w:tblPr>
        <w:tblStyle w:val="NormalTable"/>
        <w:tblW w:w="9971" w:type="dxa"/>
        <w:tblInd w:w="0" w:type="dxa"/>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top w:w="0" w:type="dxa"/>
          <w:left w:w="108" w:type="dxa"/>
          <w:bottom w:w="0" w:type="dxa"/>
          <w:right w:w="108" w:type="dxa"/>
        </w:tblCellMar>
        <w:tblLook w:firstRow="0" w:lastRow="0" w:firstColumn="0" w:lastColumn="0" w:noHBand="1" w:noVBand="1"/>
      </w:tblPr>
      <w:tblGrid>
        <w:gridCol w:w="703"/>
        <w:gridCol w:w="1738"/>
        <w:gridCol w:w="7530"/>
      </w:tblGrid>
      <w:tr>
        <w:tblPrEx>
          <w:tblW w:w="9971" w:type="dxa"/>
          <w:tblInd w:w="0" w:type="dxa"/>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top w:w="0" w:type="dxa"/>
            <w:left w:w="108" w:type="dxa"/>
            <w:bottom w:w="0" w:type="dxa"/>
            <w:right w:w="108" w:type="dxa"/>
          </w:tblCellMar>
        </w:tblPrEx>
        <w:trPr>
          <w:trHeight w:val="546"/>
        </w:trPr>
        <w:tc>
          <w:tcPr>
            <w:tcW w:w="703"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b/>
                <w:bCs/>
                <w:sz w:val="24"/>
              </w:rPr>
            </w:pPr>
            <w:r>
              <w:rPr>
                <w:rFonts w:ascii="宋体" w:hAnsi="宋体" w:cs="宋体" w:hint="eastAsia"/>
                <w:b/>
                <w:bCs/>
                <w:sz w:val="24"/>
              </w:rPr>
              <w:t xml:space="preserve">项目</w:t>
            </w:r>
          </w:p>
        </w:tc>
        <w:tc>
          <w:tcPr>
            <w:tcW w:w="173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b/>
                <w:bCs/>
                <w:sz w:val="24"/>
              </w:rPr>
            </w:pPr>
            <w:r>
              <w:rPr>
                <w:rFonts w:ascii="宋体" w:hAnsi="宋体" w:cs="宋体" w:hint="eastAsia"/>
                <w:b/>
                <w:bCs/>
                <w:sz w:val="24"/>
              </w:rPr>
              <w:t xml:space="preserve">名称</w:t>
            </w:r>
          </w:p>
        </w:tc>
        <w:tc>
          <w:tcPr>
            <w:tcW w:w="753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b/>
                <w:bCs/>
                <w:sz w:val="24"/>
              </w:rPr>
            </w:pPr>
            <w:r>
              <w:rPr>
                <w:rFonts w:ascii="宋体" w:hAnsi="宋体" w:cs="宋体" w:hint="eastAsia"/>
                <w:b/>
                <w:bCs/>
                <w:sz w:val="24"/>
              </w:rPr>
              <w:t xml:space="preserve">内      容</w:t>
            </w:r>
          </w:p>
        </w:tc>
      </w:tr>
      <w:tr>
        <w:tblPrEx>
          <w:tblW w:w="9971" w:type="dxa"/>
          <w:tblInd w:w="0" w:type="dxa"/>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top w:w="0" w:type="dxa"/>
            <w:left w:w="108" w:type="dxa"/>
            <w:bottom w:w="0" w:type="dxa"/>
            <w:right w:w="108" w:type="dxa"/>
          </w:tblCellMar>
        </w:tblPrEx>
        <w:trPr>
          <w:trHeight w:val="517"/>
        </w:trPr>
        <w:tc>
          <w:tcPr>
            <w:tcW w:w="703"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1</w:t>
            </w:r>
          </w:p>
        </w:tc>
        <w:tc>
          <w:tcPr>
            <w:tcW w:w="173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采购人</w:t>
            </w:r>
          </w:p>
        </w:tc>
        <w:tc>
          <w:tcPr>
            <w:tcW w:w="753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left"/>
              <w:rPr>
                <w:rFonts w:ascii="宋体" w:eastAsia="宋体" w:hAnsi="宋体" w:cs="宋体" w:hint="eastAsia"/>
                <w:sz w:val="24"/>
                <w:lang w:eastAsia="zh-CN"/>
              </w:rPr>
            </w:pPr>
            <w:r>
              <w:rPr>
                <w:rFonts w:ascii="宋体" w:hAnsi="宋体" w:cs="宋体" w:hint="eastAsia"/>
                <w:sz w:val="24"/>
                <w:lang w:eastAsia="zh-CN"/>
              </w:rPr>
              <w:t xml:space="preserve">江苏省盱眙中等专业学校(盱眙技师学院）</w:t>
            </w:r>
          </w:p>
        </w:tc>
      </w:tr>
      <w:tr>
        <w:tblPrEx>
          <w:tblW w:w="9971" w:type="dxa"/>
          <w:tblInd w:w="0" w:type="dxa"/>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top w:w="0" w:type="dxa"/>
            <w:left w:w="108" w:type="dxa"/>
            <w:bottom w:w="0" w:type="dxa"/>
            <w:right w:w="108" w:type="dxa"/>
          </w:tblCellMar>
        </w:tblPrEx>
        <w:trPr>
          <w:trHeight w:val="487"/>
        </w:trPr>
        <w:tc>
          <w:tcPr>
            <w:tcW w:w="703"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2</w:t>
            </w:r>
          </w:p>
        </w:tc>
        <w:tc>
          <w:tcPr>
            <w:tcW w:w="173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采购代理机构</w:t>
            </w:r>
          </w:p>
        </w:tc>
        <w:tc>
          <w:tcPr>
            <w:tcW w:w="753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left"/>
              <w:rPr>
                <w:rFonts w:ascii="宋体" w:eastAsia="宋体" w:hAnsi="宋体" w:cs="宋体" w:hint="eastAsia"/>
                <w:sz w:val="24"/>
                <w:lang w:eastAsia="zh-CN"/>
              </w:rPr>
            </w:pPr>
            <w:r>
              <w:rPr>
                <w:rFonts w:ascii="宋体" w:hAnsi="宋体" w:cs="宋体" w:hint="eastAsia"/>
                <w:sz w:val="24"/>
                <w:lang w:eastAsia="zh-CN"/>
              </w:rPr>
              <w:t xml:space="preserve">正军项目管理集团有限公司</w:t>
            </w:r>
          </w:p>
        </w:tc>
      </w:tr>
      <w:tr>
        <w:tblPrEx>
          <w:tblW w:w="9971" w:type="dxa"/>
          <w:tblInd w:w="0" w:type="dxa"/>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top w:w="0" w:type="dxa"/>
            <w:left w:w="108" w:type="dxa"/>
            <w:bottom w:w="0" w:type="dxa"/>
            <w:right w:w="108" w:type="dxa"/>
          </w:tblCellMar>
        </w:tblPrEx>
        <w:trPr>
          <w:trHeight w:val="427"/>
        </w:trPr>
        <w:tc>
          <w:tcPr>
            <w:tcW w:w="703"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3</w:t>
            </w:r>
          </w:p>
        </w:tc>
        <w:tc>
          <w:tcPr>
            <w:tcW w:w="173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color w:val="auto"/>
                <w:sz w:val="24"/>
              </w:rPr>
            </w:pPr>
            <w:r>
              <w:rPr>
                <w:rFonts w:ascii="宋体" w:hAnsi="宋体" w:cs="宋体" w:hint="eastAsia"/>
                <w:color w:val="auto"/>
                <w:sz w:val="24"/>
              </w:rPr>
              <w:t xml:space="preserve">项目编号</w:t>
            </w:r>
          </w:p>
        </w:tc>
        <w:tc>
          <w:tcPr>
            <w:tcW w:w="753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left"/>
              <w:rPr>
                <w:rFonts w:ascii="宋体" w:eastAsia="宋体" w:hAnsi="宋体" w:cs="宋体" w:hint="eastAsia"/>
                <w:color w:val="auto"/>
                <w:sz w:val="24"/>
                <w:lang w:eastAsia="zh-CN"/>
              </w:rPr>
            </w:pPr>
            <w:r>
              <w:rPr>
                <w:rFonts w:ascii="宋体" w:hAnsi="宋体" w:cs="宋体" w:hint="eastAsia"/>
                <w:color w:val="auto"/>
                <w:sz w:val="24"/>
                <w:highlight w:val="none"/>
                <w:lang w:val="en-US" w:eastAsia="zh-CN"/>
              </w:rPr>
              <w:t xml:space="preserve"> HAZC-2023100342-XY</w:t>
            </w:r>
          </w:p>
        </w:tc>
      </w:tr>
      <w:tr>
        <w:tblPrEx>
          <w:tblW w:w="9971" w:type="dxa"/>
          <w:tblInd w:w="0" w:type="dxa"/>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top w:w="0" w:type="dxa"/>
            <w:left w:w="108" w:type="dxa"/>
            <w:bottom w:w="0" w:type="dxa"/>
            <w:right w:w="108" w:type="dxa"/>
          </w:tblCellMar>
        </w:tblPrEx>
        <w:trPr>
          <w:trHeight w:val="622"/>
        </w:trPr>
        <w:tc>
          <w:tcPr>
            <w:tcW w:w="703"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4</w:t>
            </w:r>
          </w:p>
        </w:tc>
        <w:tc>
          <w:tcPr>
            <w:tcW w:w="173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招标内容</w:t>
            </w:r>
          </w:p>
        </w:tc>
        <w:tc>
          <w:tcPr>
            <w:tcW w:w="7530" w:type="dxa"/>
            <w:tcBorders>
              <w:top w:val="single" w:sz="6" w:space="0" w:color="auto"/>
              <w:left w:val="single" w:sz="6" w:space="0" w:color="auto"/>
              <w:bottom w:val="single" w:sz="6" w:space="0" w:color="auto"/>
              <w:right w:val="single" w:sz="6" w:space="0" w:color="auto"/>
            </w:tcBorders>
            <w:vAlign w:val="center"/>
          </w:tcPr>
          <w:p>
            <w:pPr>
              <w:pStyle w:val="Normal(Web)"/>
              <w:spacing w:before="0" w:beforeAutospacing="0" w:after="0" w:afterAutospacing="0" w:line="360" w:lineRule="auto"/>
              <w:rPr>
                <w:rFonts w:cs="宋体"/>
                <w:szCs w:val="24"/>
              </w:rPr>
            </w:pPr>
            <w:r>
              <w:rPr>
                <w:rFonts w:cs="宋体" w:hint="eastAsia"/>
                <w:szCs w:val="24"/>
                <w:lang w:eastAsia="zh-CN"/>
              </w:rPr>
              <w:t xml:space="preserve">盱眙技师学院校园提升改造精密测量、机械测绘与机械拆装实训室项目。</w:t>
            </w:r>
            <w:r>
              <w:rPr>
                <w:rFonts w:cs="宋体" w:hint="eastAsia"/>
                <w:szCs w:val="24"/>
              </w:rPr>
              <w:t xml:space="preserve">（详见招标文件第六部分 采购需求）。</w:t>
            </w:r>
          </w:p>
        </w:tc>
      </w:tr>
      <w:tr>
        <w:tblPrEx>
          <w:tblW w:w="9971" w:type="dxa"/>
          <w:tblInd w:w="0" w:type="dxa"/>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top w:w="0" w:type="dxa"/>
            <w:left w:w="108" w:type="dxa"/>
            <w:bottom w:w="0" w:type="dxa"/>
            <w:right w:w="108" w:type="dxa"/>
          </w:tblCellMar>
        </w:tblPrEx>
        <w:trPr>
          <w:trHeight w:val="532"/>
        </w:trPr>
        <w:tc>
          <w:tcPr>
            <w:tcW w:w="703" w:type="dxa"/>
            <w:tcBorders>
              <w:top w:val="single" w:sz="6" w:space="0" w:color="auto"/>
              <w:left w:val="single" w:sz="6" w:space="0" w:color="auto"/>
              <w:bottom w:val="single" w:sz="6" w:space="0" w:color="auto"/>
              <w:right w:val="single" w:sz="6" w:space="0" w:color="auto"/>
            </w:tcBorders>
            <w:shd w:val="clear" w:color="auto" w:fill="auto"/>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5</w:t>
            </w:r>
          </w:p>
        </w:tc>
        <w:tc>
          <w:tcPr>
            <w:tcW w:w="1738" w:type="dxa"/>
            <w:tcBorders>
              <w:top w:val="single" w:sz="6" w:space="0" w:color="auto"/>
              <w:left w:val="single" w:sz="6" w:space="0" w:color="auto"/>
              <w:bottom w:val="single" w:sz="6" w:space="0" w:color="auto"/>
              <w:right w:val="single" w:sz="6" w:space="0" w:color="auto"/>
            </w:tcBorders>
            <w:shd w:val="clear" w:color="auto" w:fill="auto"/>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highlight w:val="none"/>
              </w:rPr>
              <w:t xml:space="preserve">采购预算价</w:t>
            </w:r>
          </w:p>
        </w:tc>
        <w:tc>
          <w:tcPr>
            <w:tcW w:w="7530" w:type="dxa"/>
            <w:tcBorders>
              <w:top w:val="single" w:sz="6" w:space="0" w:color="auto"/>
              <w:left w:val="single" w:sz="6" w:space="0" w:color="auto"/>
              <w:bottom w:val="single" w:sz="6" w:space="0" w:color="auto"/>
              <w:right w:val="single" w:sz="6" w:space="0" w:color="auto"/>
            </w:tcBorders>
            <w:shd w:val="clear" w:color="auto" w:fill="FFFFFF"/>
            <w:vAlign w:val="center"/>
          </w:tcPr>
          <w:p>
            <w:pPr>
              <w:autoSpaceDE w:val="0"/>
              <w:autoSpaceDN w:val="0"/>
              <w:adjustRightInd w:val="0"/>
              <w:spacing w:line="400" w:lineRule="exact"/>
              <w:jc w:val="left"/>
              <w:rPr>
                <w:rFonts w:ascii="宋体" w:eastAsia="宋体" w:hAnsi="宋体" w:cs="宋体" w:hint="default"/>
                <w:b/>
                <w:sz w:val="24"/>
                <w:lang w:val="en-US" w:eastAsia="zh-CN"/>
              </w:rPr>
            </w:pPr>
            <w:r>
              <w:rPr>
                <w:rFonts w:ascii="宋体" w:hAnsi="宋体" w:cs="宋体" w:hint="eastAsia"/>
                <w:b/>
                <w:sz w:val="24"/>
                <w:highlight w:val="none"/>
                <w:lang w:val="en-US" w:eastAsia="zh-CN"/>
              </w:rPr>
              <w:t xml:space="preserve">35万</w:t>
            </w:r>
          </w:p>
        </w:tc>
      </w:tr>
      <w:tr>
        <w:tblPrEx>
          <w:tblW w:w="9971" w:type="dxa"/>
          <w:tblInd w:w="0" w:type="dxa"/>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top w:w="0" w:type="dxa"/>
            <w:left w:w="108" w:type="dxa"/>
            <w:bottom w:w="0" w:type="dxa"/>
            <w:right w:w="108" w:type="dxa"/>
          </w:tblCellMar>
        </w:tblPrEx>
        <w:trPr>
          <w:trHeight w:val="622"/>
        </w:trPr>
        <w:tc>
          <w:tcPr>
            <w:tcW w:w="703"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6</w:t>
            </w:r>
          </w:p>
        </w:tc>
        <w:tc>
          <w:tcPr>
            <w:tcW w:w="173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投标有效期</w:t>
            </w:r>
          </w:p>
        </w:tc>
        <w:tc>
          <w:tcPr>
            <w:tcW w:w="753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left"/>
              <w:rPr>
                <w:rFonts w:ascii="宋体" w:hAnsi="宋体" w:cs="宋体"/>
                <w:sz w:val="24"/>
              </w:rPr>
            </w:pPr>
            <w:r>
              <w:rPr>
                <w:rFonts w:ascii="宋体" w:hAnsi="宋体" w:cs="宋体" w:hint="eastAsia"/>
                <w:sz w:val="24"/>
              </w:rPr>
              <w:t xml:space="preserve">九十日历天</w:t>
            </w:r>
          </w:p>
        </w:tc>
      </w:tr>
      <w:tr>
        <w:tblPrEx>
          <w:tblW w:w="9971" w:type="dxa"/>
          <w:tblInd w:w="0" w:type="dxa"/>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top w:w="0" w:type="dxa"/>
            <w:left w:w="108" w:type="dxa"/>
            <w:bottom w:w="0" w:type="dxa"/>
            <w:right w:w="108" w:type="dxa"/>
          </w:tblCellMar>
        </w:tblPrEx>
        <w:trPr>
          <w:trHeight w:val="517"/>
        </w:trPr>
        <w:tc>
          <w:tcPr>
            <w:tcW w:w="703"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7</w:t>
            </w:r>
          </w:p>
        </w:tc>
        <w:tc>
          <w:tcPr>
            <w:tcW w:w="173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投标保证金</w:t>
            </w:r>
          </w:p>
        </w:tc>
        <w:tc>
          <w:tcPr>
            <w:tcW w:w="7530" w:type="dxa"/>
            <w:tcBorders>
              <w:top w:val="single" w:sz="6" w:space="0" w:color="auto"/>
              <w:left w:val="single" w:sz="6" w:space="0" w:color="auto"/>
              <w:bottom w:val="single" w:sz="6" w:space="0" w:color="auto"/>
              <w:right w:val="single" w:sz="6" w:space="0" w:color="auto"/>
            </w:tcBorders>
            <w:vAlign w:val="center"/>
          </w:tcPr>
          <w:p>
            <w:pPr>
              <w:spacing w:line="400" w:lineRule="exact"/>
              <w:rPr>
                <w:rFonts w:ascii="宋体" w:hAnsi="宋体" w:cs="宋体"/>
                <w:sz w:val="24"/>
              </w:rPr>
            </w:pPr>
            <w:r>
              <w:rPr>
                <w:rFonts w:ascii="宋体" w:hAnsi="宋体" w:cs="宋体" w:hint="eastAsia"/>
                <w:sz w:val="24"/>
              </w:rPr>
              <w:t xml:space="preserve">/</w:t>
            </w:r>
          </w:p>
        </w:tc>
      </w:tr>
      <w:tr>
        <w:tblPrEx>
          <w:tblW w:w="9971" w:type="dxa"/>
          <w:tblInd w:w="0" w:type="dxa"/>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top w:w="0" w:type="dxa"/>
            <w:left w:w="108" w:type="dxa"/>
            <w:bottom w:w="0" w:type="dxa"/>
            <w:right w:w="108" w:type="dxa"/>
          </w:tblCellMar>
        </w:tblPrEx>
        <w:trPr>
          <w:trHeight w:val="472"/>
        </w:trPr>
        <w:tc>
          <w:tcPr>
            <w:tcW w:w="703"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8</w:t>
            </w:r>
          </w:p>
        </w:tc>
        <w:tc>
          <w:tcPr>
            <w:tcW w:w="173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履约保证金</w:t>
            </w:r>
          </w:p>
        </w:tc>
        <w:tc>
          <w:tcPr>
            <w:tcW w:w="753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left"/>
              <w:rPr>
                <w:rFonts w:ascii="宋体" w:hAnsi="宋体" w:cs="宋体"/>
                <w:sz w:val="24"/>
              </w:rPr>
            </w:pPr>
            <w:r>
              <w:rPr>
                <w:rFonts w:ascii="宋体" w:hAnsi="宋体" w:cs="宋体" w:hint="eastAsia"/>
                <w:color w:val="000000" w:themeColor="text1"/>
                <w:sz w:val="24"/>
                <w:lang w:val="zh-CN"/>
                <w14:textFill>
                  <w14:solidFill>
                    <w14:schemeClr w14:val="tx1"/>
                  </w14:solidFill>
                </w14:textFill>
              </w:rPr>
              <w:t xml:space="preserve">中标价的</w:t>
            </w:r>
            <w:r>
              <w:rPr>
                <w:rFonts w:ascii="宋体" w:hAnsi="宋体" w:cs="宋体" w:hint="eastAsia"/>
                <w:color w:val="000000" w:themeColor="text1"/>
                <w:sz w:val="24"/>
                <w14:textFill>
                  <w14:solidFill>
                    <w14:schemeClr w14:val="tx1"/>
                  </w14:solidFill>
                </w14:textFill>
              </w:rPr>
              <w:t xml:space="preserve">1%</w:t>
            </w:r>
          </w:p>
        </w:tc>
      </w:tr>
      <w:tr>
        <w:tblPrEx>
          <w:tblW w:w="9971" w:type="dxa"/>
          <w:tblInd w:w="0" w:type="dxa"/>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top w:w="0" w:type="dxa"/>
            <w:left w:w="108" w:type="dxa"/>
            <w:bottom w:w="0" w:type="dxa"/>
            <w:right w:w="108" w:type="dxa"/>
          </w:tblCellMar>
        </w:tblPrEx>
        <w:trPr>
          <w:trHeight w:val="1416"/>
        </w:trPr>
        <w:tc>
          <w:tcPr>
            <w:tcW w:w="703"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9</w:t>
            </w:r>
          </w:p>
        </w:tc>
        <w:tc>
          <w:tcPr>
            <w:tcW w:w="173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招标文件获取</w:t>
            </w:r>
          </w:p>
        </w:tc>
        <w:tc>
          <w:tcPr>
            <w:tcW w:w="7530" w:type="dxa"/>
            <w:tcBorders>
              <w:top w:val="single" w:sz="6" w:space="0" w:color="auto"/>
              <w:left w:val="single" w:sz="6" w:space="0" w:color="auto"/>
              <w:bottom w:val="single" w:sz="6" w:space="0" w:color="auto"/>
              <w:right w:val="single" w:sz="6" w:space="0" w:color="auto"/>
            </w:tcBorders>
            <w:vAlign w:val="center"/>
          </w:tcPr>
          <w:p>
            <w:pPr>
              <w:wordWrap w:val="0"/>
              <w:autoSpaceDE w:val="0"/>
              <w:autoSpaceDN w:val="0"/>
              <w:adjustRightInd w:val="0"/>
              <w:spacing w:line="400" w:lineRule="exact"/>
              <w:jc w:val="left"/>
              <w:rPr>
                <w:rFonts w:ascii="宋体" w:hAnsi="宋体" w:cs="宋体"/>
                <w:sz w:val="24"/>
              </w:rPr>
            </w:pPr>
            <w:r>
              <w:rPr>
                <w:rFonts w:ascii="宋体" w:hAnsi="宋体" w:cs="宋体" w:hint="eastAsia"/>
                <w:sz w:val="24"/>
              </w:rPr>
              <w:t xml:space="preserve">投标供应商应从淮安市公共资源交易网登录会员系统（http://ggzy.huaian.gov.cn/），办理淮安市政府采购供应商诚信库、CA证书以及电子签章后，在网上填写投标信息并下载招标文件。</w:t>
            </w:r>
          </w:p>
          <w:p>
            <w:pPr>
              <w:pStyle w:val="正文1"/>
              <w:rPr>
                <w:rFonts w:ascii="宋体" w:hAnsi="宋体"/>
                <w:sz w:val="24"/>
                <w:szCs w:val="24"/>
              </w:rPr>
            </w:pPr>
            <w:r>
              <w:rPr>
                <w:rFonts w:ascii="宋体" w:hAnsi="宋体" w:hint="eastAsia"/>
                <w:sz w:val="24"/>
                <w:szCs w:val="24"/>
              </w:rPr>
              <w:t xml:space="preserve">注:投标人须持续关注本项目在淮安市公共资源交易网盱眙板块及电子化系统中发布的信息（含更正、修改等信息），否则产生的后果由投标人自行承担。</w:t>
            </w:r>
          </w:p>
        </w:tc>
      </w:tr>
      <w:tr>
        <w:tblPrEx>
          <w:tblW w:w="9971" w:type="dxa"/>
          <w:tblInd w:w="0" w:type="dxa"/>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top w:w="0" w:type="dxa"/>
            <w:left w:w="108" w:type="dxa"/>
            <w:bottom w:w="0" w:type="dxa"/>
            <w:right w:w="108" w:type="dxa"/>
          </w:tblCellMar>
        </w:tblPrEx>
        <w:trPr>
          <w:trHeight w:val="1006"/>
        </w:trPr>
        <w:tc>
          <w:tcPr>
            <w:tcW w:w="703"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10</w:t>
            </w:r>
          </w:p>
        </w:tc>
        <w:tc>
          <w:tcPr>
            <w:tcW w:w="173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投标文件份数</w:t>
            </w:r>
          </w:p>
        </w:tc>
        <w:tc>
          <w:tcPr>
            <w:tcW w:w="753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left"/>
              <w:rPr>
                <w:rFonts w:ascii="宋体" w:hAnsi="宋体" w:cs="宋体"/>
                <w:b/>
                <w:sz w:val="24"/>
              </w:rPr>
            </w:pPr>
            <w:r>
              <w:rPr>
                <w:rFonts w:ascii="宋体" w:hAnsi="宋体" w:cs="宋体" w:hint="eastAsia"/>
                <w:sz w:val="24"/>
              </w:rPr>
              <w:t xml:space="preserve">投标人在规定的投标截止时间前在淮安市公共资源全程电子化交易平台中上传加密电子投标文件一份。本项目采用“全流程不见面交易”模式，详见投标人须知第38条“全流程不见面交易采购”注意事项。</w:t>
            </w:r>
          </w:p>
        </w:tc>
      </w:tr>
      <w:tr>
        <w:tblPrEx>
          <w:tblW w:w="9971" w:type="dxa"/>
          <w:tblInd w:w="0" w:type="dxa"/>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top w:w="0" w:type="dxa"/>
            <w:left w:w="108" w:type="dxa"/>
            <w:bottom w:w="0" w:type="dxa"/>
            <w:right w:w="108" w:type="dxa"/>
          </w:tblCellMar>
        </w:tblPrEx>
        <w:trPr>
          <w:trHeight w:val="603"/>
        </w:trPr>
        <w:tc>
          <w:tcPr>
            <w:tcW w:w="703"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11</w:t>
            </w:r>
          </w:p>
        </w:tc>
        <w:tc>
          <w:tcPr>
            <w:tcW w:w="173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b/>
                <w:sz w:val="24"/>
              </w:rPr>
              <w:t xml:space="preserve">开标时间</w:t>
            </w:r>
          </w:p>
        </w:tc>
        <w:tc>
          <w:tcPr>
            <w:tcW w:w="753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left"/>
              <w:rPr>
                <w:rFonts w:ascii="宋体" w:hAnsi="宋体" w:cs="宋体"/>
                <w:b/>
                <w:sz w:val="24"/>
              </w:rPr>
            </w:pPr>
            <w:r>
              <w:rPr>
                <w:rFonts w:ascii="宋体" w:hAnsi="宋体" w:cs="宋体" w:hint="eastAsia"/>
                <w:b/>
                <w:color w:val="FF0000"/>
                <w:sz w:val="24"/>
              </w:rPr>
              <w:t xml:space="preserve">2023年</w:t>
            </w:r>
            <w:r>
              <w:rPr>
                <w:rFonts w:ascii="宋体" w:hAnsi="宋体" w:cs="宋体" w:hint="eastAsia"/>
                <w:b/>
                <w:color w:val="FF0000"/>
                <w:sz w:val="24"/>
                <w:lang w:val="en-US" w:eastAsia="zh-CN"/>
              </w:rPr>
              <w:t xml:space="preserve">11</w:t>
            </w:r>
            <w:r>
              <w:rPr>
                <w:rFonts w:ascii="宋体" w:hAnsi="宋体" w:cs="宋体" w:hint="eastAsia"/>
                <w:b/>
                <w:color w:val="FF0000"/>
                <w:sz w:val="24"/>
              </w:rPr>
              <w:t xml:space="preserve">月</w:t>
            </w:r>
            <w:r>
              <w:rPr>
                <w:rFonts w:ascii="宋体" w:hAnsi="宋体" w:cs="宋体" w:hint="eastAsia"/>
                <w:b/>
                <w:color w:val="FF0000"/>
                <w:sz w:val="24"/>
                <w:lang w:val="en-US" w:eastAsia="zh-CN"/>
              </w:rPr>
              <w:t xml:space="preserve">24</w:t>
            </w:r>
            <w:r>
              <w:rPr>
                <w:rFonts w:ascii="宋体" w:hAnsi="宋体" w:cs="宋体" w:hint="eastAsia"/>
                <w:b/>
                <w:color w:val="FF0000"/>
                <w:sz w:val="24"/>
              </w:rPr>
              <w:t xml:space="preserve">日</w:t>
            </w:r>
            <w:r>
              <w:rPr>
                <w:rFonts w:ascii="宋体" w:hAnsi="宋体" w:cs="宋体" w:hint="eastAsia"/>
                <w:b/>
                <w:color w:val="FF0000"/>
                <w:sz w:val="24"/>
                <w:lang w:val="en-US" w:eastAsia="zh-CN"/>
              </w:rPr>
              <w:t xml:space="preserve">09</w:t>
            </w:r>
            <w:r>
              <w:rPr>
                <w:rFonts w:ascii="宋体" w:hAnsi="宋体" w:cs="宋体" w:hint="eastAsia"/>
                <w:b/>
                <w:color w:val="FF0000"/>
                <w:sz w:val="24"/>
              </w:rPr>
              <w:t xml:space="preserve">:</w:t>
            </w:r>
            <w:r>
              <w:rPr>
                <w:rFonts w:ascii="宋体" w:hAnsi="宋体" w:cs="宋体" w:hint="eastAsia"/>
                <w:b/>
                <w:color w:val="FF0000"/>
                <w:sz w:val="24"/>
                <w:lang w:val="en-US" w:eastAsia="zh-CN"/>
              </w:rPr>
              <w:t xml:space="preserve">0</w:t>
            </w:r>
            <w:r>
              <w:rPr>
                <w:rFonts w:ascii="宋体" w:hAnsi="宋体" w:cs="宋体" w:hint="eastAsia"/>
                <w:b/>
                <w:color w:val="FF0000"/>
                <w:sz w:val="24"/>
              </w:rPr>
              <w:t xml:space="preserve">0（北京时间） </w:t>
            </w:r>
          </w:p>
        </w:tc>
      </w:tr>
      <w:tr>
        <w:tblPrEx>
          <w:tblW w:w="9971" w:type="dxa"/>
          <w:tblInd w:w="0" w:type="dxa"/>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top w:w="0" w:type="dxa"/>
            <w:left w:w="108" w:type="dxa"/>
            <w:bottom w:w="0" w:type="dxa"/>
            <w:right w:w="108" w:type="dxa"/>
          </w:tblCellMar>
        </w:tblPrEx>
        <w:trPr>
          <w:trHeight w:val="708"/>
        </w:trPr>
        <w:tc>
          <w:tcPr>
            <w:tcW w:w="703"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12</w:t>
            </w:r>
          </w:p>
        </w:tc>
        <w:tc>
          <w:tcPr>
            <w:tcW w:w="173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代理服务费</w:t>
            </w:r>
          </w:p>
        </w:tc>
        <w:tc>
          <w:tcPr>
            <w:tcW w:w="753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left"/>
              <w:rPr>
                <w:rFonts w:ascii="宋体" w:hAnsi="宋体" w:cs="宋体"/>
                <w:sz w:val="24"/>
              </w:rPr>
            </w:pPr>
            <w:r>
              <w:rPr>
                <w:rFonts w:ascii="宋体" w:hAnsi="宋体" w:cs="宋体" w:hint="eastAsia"/>
                <w:color w:val="000000" w:themeColor="text1"/>
                <w:kern w:val="0"/>
                <w:sz w:val="24"/>
                <w:shd w:val="clear" w:color="auto" w:fill="FFFFFF"/>
                <w14:textFill>
                  <w14:solidFill>
                    <w14:schemeClr w14:val="tx1"/>
                  </w14:solidFill>
                </w14:textFill>
              </w:rPr>
              <w:t xml:space="preserve">本次采购项目招标代理费参照江苏省招标投标协会苏招协【2022】002号《江苏省招标代理收费的指导意见》文件</w:t>
            </w:r>
            <w:r>
              <w:rPr>
                <w:rFonts w:ascii="宋体" w:hAnsi="宋体" w:cs="宋体" w:hint="eastAsia"/>
                <w:color w:val="000000" w:themeColor="text1"/>
                <w:kern w:val="0"/>
                <w:sz w:val="24"/>
                <w:shd w:val="clear" w:color="auto" w:fill="FFFFFF"/>
                <w:lang w:eastAsia="zh-CN"/>
                <w14:textFill>
                  <w14:solidFill>
                    <w14:schemeClr w14:val="tx1"/>
                  </w14:solidFill>
                </w14:textFill>
              </w:rPr>
              <w:t xml:space="preserve">优惠</w:t>
            </w:r>
            <w:r>
              <w:rPr>
                <w:rFonts w:ascii="宋体" w:hAnsi="宋体" w:cs="宋体" w:hint="eastAsia"/>
                <w:color w:val="000000" w:themeColor="text1"/>
                <w:kern w:val="0"/>
                <w:sz w:val="24"/>
                <w:shd w:val="clear" w:color="auto" w:fill="FFFFFF"/>
                <w14:textFill>
                  <w14:solidFill>
                    <w14:schemeClr w14:val="tx1"/>
                  </w14:solidFill>
                </w14:textFill>
              </w:rPr>
              <w:t xml:space="preserve">收取，由中标单位领取中标通知书时缴纳。</w:t>
            </w:r>
          </w:p>
        </w:tc>
      </w:tr>
      <w:tr>
        <w:tblPrEx>
          <w:tblW w:w="9971" w:type="dxa"/>
          <w:tblInd w:w="0" w:type="dxa"/>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top w:w="0" w:type="dxa"/>
            <w:left w:w="108" w:type="dxa"/>
            <w:bottom w:w="0" w:type="dxa"/>
            <w:right w:w="108" w:type="dxa"/>
          </w:tblCellMar>
        </w:tblPrEx>
        <w:trPr>
          <w:trHeight w:val="455"/>
        </w:trPr>
        <w:tc>
          <w:tcPr>
            <w:tcW w:w="703"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13</w:t>
            </w:r>
          </w:p>
        </w:tc>
        <w:tc>
          <w:tcPr>
            <w:tcW w:w="173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资质要求</w:t>
            </w:r>
          </w:p>
        </w:tc>
        <w:tc>
          <w:tcPr>
            <w:tcW w:w="753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left"/>
              <w:rPr>
                <w:rFonts w:ascii="宋体" w:hAnsi="宋体" w:cs="宋体"/>
                <w:sz w:val="24"/>
              </w:rPr>
            </w:pPr>
            <w:r>
              <w:rPr>
                <w:rFonts w:ascii="宋体" w:hAnsi="宋体" w:cs="宋体" w:hint="eastAsia"/>
                <w:sz w:val="24"/>
              </w:rPr>
              <w:t xml:space="preserve">详见采购公告要求</w:t>
            </w:r>
          </w:p>
        </w:tc>
      </w:tr>
      <w:tr>
        <w:tblPrEx>
          <w:tblW w:w="9971" w:type="dxa"/>
          <w:tblInd w:w="0" w:type="dxa"/>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top w:w="0" w:type="dxa"/>
            <w:left w:w="108" w:type="dxa"/>
            <w:bottom w:w="0" w:type="dxa"/>
            <w:right w:w="108" w:type="dxa"/>
          </w:tblCellMar>
        </w:tblPrEx>
        <w:trPr>
          <w:trHeight w:val="496"/>
        </w:trPr>
        <w:tc>
          <w:tcPr>
            <w:tcW w:w="703"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14</w:t>
            </w:r>
          </w:p>
        </w:tc>
        <w:tc>
          <w:tcPr>
            <w:tcW w:w="173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评标方法</w:t>
            </w:r>
          </w:p>
        </w:tc>
        <w:tc>
          <w:tcPr>
            <w:tcW w:w="753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left"/>
              <w:rPr>
                <w:rFonts w:ascii="宋体" w:hAnsi="宋体" w:cs="宋体"/>
                <w:sz w:val="24"/>
              </w:rPr>
            </w:pPr>
            <w:r>
              <w:rPr>
                <w:rFonts w:ascii="宋体" w:hAnsi="宋体" w:cs="宋体" w:hint="eastAsia"/>
                <w:sz w:val="24"/>
              </w:rPr>
              <w:t xml:space="preserve">综合评分法</w:t>
            </w:r>
          </w:p>
        </w:tc>
      </w:tr>
      <w:tr>
        <w:tblPrEx>
          <w:tblW w:w="9971" w:type="dxa"/>
          <w:tblInd w:w="0" w:type="dxa"/>
          <w:tblBorders>
            <w:top w:val="single" w:sz="6" w:space="0" w:color="auto"/>
            <w:left w:val="single" w:sz="6" w:space="0" w:color="auto"/>
            <w:bottom w:val="single" w:sz="6" w:space="0" w:color="auto"/>
            <w:right w:val="single" w:sz="6" w:space="0" w:color="auto"/>
            <w:insideH w:val="outset" w:sz="6" w:space="0" w:color="auto"/>
            <w:insideV w:val="outset" w:sz="6" w:space="0" w:color="auto"/>
          </w:tblBorders>
          <w:tblLayout w:type="fixed"/>
          <w:tblCellMar>
            <w:top w:w="0" w:type="dxa"/>
            <w:left w:w="108" w:type="dxa"/>
            <w:bottom w:w="0" w:type="dxa"/>
            <w:right w:w="108" w:type="dxa"/>
          </w:tblCellMar>
        </w:tblPrEx>
        <w:trPr>
          <w:trHeight w:val="411"/>
        </w:trPr>
        <w:tc>
          <w:tcPr>
            <w:tcW w:w="703"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15</w:t>
            </w:r>
          </w:p>
        </w:tc>
        <w:tc>
          <w:tcPr>
            <w:tcW w:w="1738"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center"/>
              <w:rPr>
                <w:rFonts w:ascii="宋体" w:hAnsi="宋体" w:cs="宋体"/>
                <w:sz w:val="24"/>
              </w:rPr>
            </w:pPr>
            <w:r>
              <w:rPr>
                <w:rFonts w:ascii="宋体" w:hAnsi="宋体" w:cs="宋体" w:hint="eastAsia"/>
                <w:sz w:val="24"/>
              </w:rPr>
              <w:t xml:space="preserve">中标通知书领取时间、地点</w:t>
            </w:r>
          </w:p>
        </w:tc>
        <w:tc>
          <w:tcPr>
            <w:tcW w:w="7530" w:type="dxa"/>
            <w:tcBorders>
              <w:top w:val="single" w:sz="6" w:space="0" w:color="auto"/>
              <w:left w:val="single" w:sz="6" w:space="0" w:color="auto"/>
              <w:bottom w:val="single" w:sz="6" w:space="0" w:color="auto"/>
              <w:right w:val="single" w:sz="6" w:space="0" w:color="auto"/>
            </w:tcBorders>
            <w:vAlign w:val="center"/>
          </w:tcPr>
          <w:p>
            <w:pPr>
              <w:autoSpaceDE w:val="0"/>
              <w:autoSpaceDN w:val="0"/>
              <w:adjustRightInd w:val="0"/>
              <w:spacing w:line="400" w:lineRule="exact"/>
              <w:jc w:val="left"/>
              <w:rPr>
                <w:rFonts w:ascii="宋体" w:eastAsia="宋体" w:hAnsi="宋体" w:cs="宋体" w:hint="eastAsia"/>
                <w:sz w:val="24"/>
                <w:lang w:eastAsia="zh-CN"/>
              </w:rPr>
            </w:pPr>
            <w:r>
              <w:rPr>
                <w:rFonts w:ascii="宋体" w:hAnsi="宋体" w:cs="宋体" w:hint="eastAsia"/>
                <w:color w:val="auto"/>
                <w:sz w:val="24"/>
                <w:szCs w:val="24"/>
                <w:highlight w:val="none"/>
              </w:rPr>
              <w:t xml:space="preserve">淮安市公共资源交易</w:t>
            </w:r>
            <w:r>
              <w:rPr>
                <w:rFonts w:ascii="宋体" w:hAnsi="宋体" w:cs="宋体" w:hint="eastAsia"/>
                <w:color w:val="auto"/>
                <w:sz w:val="24"/>
                <w:szCs w:val="24"/>
                <w:highlight w:val="none"/>
                <w:lang w:eastAsia="zh-CN"/>
              </w:rPr>
              <w:t xml:space="preserve">网自行下载</w:t>
            </w:r>
            <w:bookmarkEnd w:id="2"/>
            <w:bookmarkEnd w:id="3"/>
          </w:p>
        </w:tc>
      </w:tr>
    </w:tbl>
    <w:p>
      <w:pPr>
        <w:numPr>
          <w:ilvl w:val="0"/>
          <w:numId w:val="0"/>
        </w:numPr>
        <w:jc w:val="center"/>
        <w:outlineLvl w:val="0"/>
        <w:rPr>
          <w:rFonts w:ascii="宋体" w:hAnsi="宋体" w:cs="宋体" w:hint="eastAsia"/>
          <w:b/>
          <w:bCs/>
          <w:kern w:val="0"/>
          <w:sz w:val="44"/>
          <w:szCs w:val="44"/>
          <w:lang w:eastAsia="zh-CN"/>
        </w:rPr>
      </w:pPr>
      <w:bookmarkStart w:id="4" w:name="OLE_LINK1"/>
    </w:p>
    <w:p>
      <w:pPr>
        <w:numPr>
          <w:ilvl w:val="0"/>
          <w:numId w:val="0"/>
        </w:numPr>
        <w:jc w:val="center"/>
        <w:outlineLvl w:val="0"/>
        <w:rPr>
          <w:rFonts w:ascii="宋体" w:hAnsi="宋体" w:cs="宋体" w:hint="eastAsia"/>
          <w:b/>
          <w:bCs/>
          <w:kern w:val="0"/>
          <w:sz w:val="44"/>
          <w:szCs w:val="44"/>
          <w:lang w:eastAsia="zh-CN"/>
        </w:rPr>
      </w:pPr>
    </w:p>
    <w:p>
      <w:pPr>
        <w:numPr>
          <w:ilvl w:val="0"/>
          <w:numId w:val="0"/>
        </w:numPr>
        <w:jc w:val="center"/>
        <w:outlineLvl w:val="0"/>
        <w:rPr>
          <w:rFonts w:ascii="宋体" w:hAnsi="宋体" w:cs="宋体"/>
          <w:b/>
          <w:bCs/>
          <w:kern w:val="0"/>
          <w:sz w:val="44"/>
          <w:szCs w:val="44"/>
        </w:rPr>
      </w:pPr>
      <w:r>
        <w:rPr>
          <w:rFonts w:ascii="宋体" w:hAnsi="宋体" w:cs="宋体" w:hint="eastAsia"/>
          <w:b/>
          <w:bCs/>
          <w:kern w:val="0"/>
          <w:sz w:val="44"/>
          <w:szCs w:val="44"/>
          <w:lang w:eastAsia="zh-CN"/>
        </w:rPr>
        <w:t xml:space="preserve">第一章</w:t>
      </w:r>
      <w:r>
        <w:rPr>
          <w:rFonts w:ascii="宋体" w:hAnsi="宋体" w:cs="宋体" w:hint="eastAsia"/>
          <w:b/>
          <w:bCs/>
          <w:kern w:val="0"/>
          <w:sz w:val="44"/>
          <w:szCs w:val="44"/>
        </w:rPr>
        <w:t xml:space="preserve">招标文件</w:t>
      </w:r>
    </w:p>
    <w:p>
      <w:pPr>
        <w:pStyle w:val="BodyTextFirstIndent2"/>
        <w:numPr>
          <w:ilvl w:val="0"/>
          <w:numId w:val="9"/>
        </w:numPr>
        <w:spacing w:line="400" w:lineRule="exact"/>
        <w:ind w:left="0" w:firstLine="0" w:leftChars="0" w:firstLineChars="0"/>
        <w:jc w:val="center"/>
        <w:outlineLvl w:val="1"/>
        <w:rPr>
          <w:rFonts w:ascii="宋体" w:eastAsia="宋体" w:hAnsi="宋体" w:cs="宋体" w:hint="eastAsia"/>
          <w:b/>
          <w:bCs/>
          <w:color w:val="auto"/>
          <w:kern w:val="0"/>
          <w:sz w:val="32"/>
          <w:szCs w:val="32"/>
        </w:rPr>
      </w:pPr>
      <w:r>
        <w:rPr>
          <w:rFonts w:ascii="宋体" w:eastAsia="宋体" w:hAnsi="宋体" w:cs="宋体" w:hint="eastAsia"/>
          <w:b/>
          <w:bCs/>
          <w:color w:val="auto"/>
          <w:kern w:val="0"/>
          <w:sz w:val="32"/>
          <w:szCs w:val="32"/>
        </w:rPr>
        <w:t xml:space="preserve">   招标公告</w:t>
      </w:r>
    </w:p>
    <w:p>
      <w:pPr>
        <w:pageBreakBefore w:val="0"/>
        <w:kinsoku/>
        <w:wordWrap/>
        <w:overflowPunct/>
        <w:topLinePunct w:val="0"/>
        <w:autoSpaceDE/>
        <w:autoSpaceDN/>
        <w:bidi w:val="0"/>
        <w:adjustRightInd/>
        <w:snapToGrid w:val="0"/>
        <w:spacing w:line="440" w:lineRule="exact"/>
        <w:ind w:firstLine="560" w:firstLineChars="200"/>
        <w:textAlignment w:val="auto"/>
        <w:rPr>
          <w:rFonts w:ascii="宋体" w:eastAsia="宋体" w:hAnsi="宋体" w:cs="宋体" w:hint="eastAsia"/>
          <w:color w:val="auto"/>
          <w:kern w:val="0"/>
          <w:sz w:val="28"/>
          <w:szCs w:val="28"/>
          <w:lang w:val="en-US" w:eastAsia="zh-CN" w:bidi="ar-SA"/>
        </w:rPr>
      </w:pPr>
      <w:r>
        <w:rPr>
          <w:rFonts w:ascii="宋体" w:eastAsia="宋体" w:hAnsi="宋体" w:cs="宋体" w:hint="eastAsia"/>
          <w:color w:val="auto"/>
          <w:kern w:val="0"/>
          <w:sz w:val="28"/>
          <w:szCs w:val="28"/>
          <w:lang w:val="zh-CN" w:eastAsia="zh-CN" w:bidi="ar-SA"/>
        </w:rPr>
        <w:t xml:space="preserve">受</w:t>
      </w:r>
      <w:r>
        <w:rPr>
          <w:rFonts w:ascii="宋体" w:hAnsi="宋体" w:cs="宋体" w:hint="eastAsia"/>
          <w:color w:val="auto"/>
          <w:kern w:val="0"/>
          <w:sz w:val="28"/>
          <w:szCs w:val="28"/>
          <w:lang w:val="zh-CN" w:eastAsia="zh-CN" w:bidi="ar-SA"/>
        </w:rPr>
        <w:t xml:space="preserve">江苏省盱眙中等专业学校(盱眙技师学院）</w:t>
      </w:r>
      <w:r>
        <w:rPr>
          <w:rFonts w:ascii="宋体" w:eastAsia="宋体" w:hAnsi="宋体" w:cs="宋体" w:hint="eastAsia"/>
          <w:color w:val="auto"/>
          <w:kern w:val="0"/>
          <w:sz w:val="28"/>
          <w:szCs w:val="28"/>
          <w:lang w:val="zh-CN" w:eastAsia="zh-CN" w:bidi="ar-SA"/>
        </w:rPr>
        <w:t xml:space="preserve">的委托，正军项目管理集团有限公司就该单位的</w:t>
      </w:r>
      <w:r>
        <w:rPr>
          <w:rFonts w:ascii="宋体" w:hAnsi="宋体" w:cs="宋体" w:hint="eastAsia"/>
          <w:color w:val="auto"/>
          <w:kern w:val="0"/>
          <w:sz w:val="28"/>
          <w:szCs w:val="28"/>
          <w:lang w:val="zh-CN" w:eastAsia="zh-CN" w:bidi="ar-SA"/>
        </w:rPr>
        <w:t xml:space="preserve">盱眙技师学院校园提升改造精密测量、机械测绘与机械拆装实训室项目</w:t>
      </w:r>
      <w:r>
        <w:rPr>
          <w:rFonts w:ascii="宋体" w:eastAsia="宋体" w:hAnsi="宋体" w:cs="宋体" w:hint="eastAsia"/>
          <w:color w:val="auto"/>
          <w:kern w:val="0"/>
          <w:sz w:val="28"/>
          <w:szCs w:val="28"/>
          <w:lang w:val="zh-CN" w:eastAsia="zh-CN" w:bidi="ar-SA"/>
        </w:rPr>
        <w:t xml:space="preserve">进行“全流程不见面交易”采购，现邀请符合条件的供应商参加投标。</w:t>
      </w:r>
    </w:p>
    <w:p>
      <w:pPr>
        <w:numPr>
          <w:ilvl w:val="0"/>
          <w:numId w:val="0"/>
        </w:numPr>
      </w:pPr>
    </w:p>
    <w:tbl>
      <w:tblPr>
        <w:tblStyle w:val="NormalTable"/>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firstRow="0" w:lastRow="0" w:firstColumn="0" w:lastColumn="0" w:noHBand="1" w:noVBand="1"/>
      </w:tblPr>
      <w:tblGrid>
        <w:gridCol w:w="9618"/>
      </w:tblGrid>
      <w:tr>
        <w:tblPrEx>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1972"/>
          <w:jc w:val="center"/>
        </w:trPr>
        <w:tc>
          <w:tcPr>
            <w:tcW w:w="9618" w:type="dxa"/>
          </w:tcPr>
          <w:p>
            <w:pPr>
              <w:pStyle w:val="[Normal]"/>
              <w:snapToGrid w:val="0"/>
              <w:spacing w:line="400" w:lineRule="exact"/>
              <w:jc w:val="both"/>
              <w:rPr>
                <w:rFonts w:ascii="宋体" w:eastAsia="宋体" w:hAnsi="宋体" w:cs="宋体"/>
                <w:b/>
                <w:bCs/>
                <w:color w:val="auto"/>
                <w:szCs w:val="24"/>
                <w:lang w:val="en-US"/>
              </w:rPr>
            </w:pPr>
            <w:r>
              <w:rPr>
                <w:rFonts w:ascii="宋体" w:eastAsia="宋体" w:hAnsi="宋体" w:cs="宋体" w:hint="eastAsia"/>
                <w:b/>
                <w:bCs/>
                <w:color w:val="auto"/>
                <w:szCs w:val="24"/>
                <w:lang w:val="en-US"/>
              </w:rPr>
              <w:t xml:space="preserve">项目概况:</w:t>
            </w:r>
          </w:p>
          <w:p>
            <w:pPr>
              <w:pStyle w:val="[Normal]"/>
              <w:snapToGrid w:val="0"/>
              <w:spacing w:line="400" w:lineRule="exact"/>
              <w:ind w:firstLine="480" w:firstLineChars="200"/>
              <w:jc w:val="both"/>
              <w:rPr>
                <w:rFonts w:ascii="宋体" w:eastAsia="宋体" w:hAnsi="宋体" w:cs="宋体"/>
                <w:color w:val="auto"/>
                <w:szCs w:val="24"/>
                <w:lang w:val="en-US"/>
              </w:rPr>
            </w:pPr>
            <w:r>
              <w:rPr>
                <w:rFonts w:ascii="宋体" w:eastAsia="宋体" w:hAnsi="宋体" w:cs="宋体" w:hint="eastAsia"/>
                <w:color w:val="auto"/>
                <w:szCs w:val="24"/>
                <w:u w:val="single"/>
                <w:shd w:val="clear" w:color="auto" w:fill="FFFFFF"/>
                <w:lang w:eastAsia="zh-CN"/>
              </w:rPr>
              <w:t xml:space="preserve">盱眙技师学院校园提升改造精密测量、机械测绘与机械拆装实训室项目</w:t>
            </w:r>
            <w:r>
              <w:rPr>
                <w:rFonts w:ascii="宋体" w:eastAsia="宋体" w:hAnsi="宋体" w:cs="宋体" w:hint="eastAsia"/>
                <w:color w:val="auto"/>
                <w:szCs w:val="24"/>
                <w:lang w:val="en-US"/>
              </w:rPr>
              <w:t xml:space="preserve">的</w:t>
            </w:r>
            <w:r>
              <w:rPr>
                <w:rFonts w:ascii="宋体" w:eastAsia="宋体" w:hAnsi="宋体" w:cs="宋体" w:hint="eastAsia"/>
                <w:color w:val="auto"/>
                <w:szCs w:val="24"/>
                <w:u w:val="single"/>
                <w:lang w:val="en-US"/>
              </w:rPr>
              <w:t xml:space="preserve">潜在投标人应在淮安市公共资源交易网登录会员系统，http://ggzy.huaian.gov.cn办理淮安市政府采购供应商诚信库、CA证书以及电子签章后，在网上填写投标信息并获取招标文件</w:t>
            </w:r>
            <w:r>
              <w:rPr>
                <w:rFonts w:ascii="宋体" w:eastAsia="宋体" w:hAnsi="宋体" w:cs="宋体" w:hint="eastAsia"/>
                <w:color w:val="auto"/>
                <w:szCs w:val="24"/>
                <w:lang w:val="en-US"/>
              </w:rPr>
              <w:t xml:space="preserve">，并于2023</w:t>
            </w:r>
            <w:r>
              <w:rPr>
                <w:rFonts w:ascii="宋体" w:eastAsia="宋体" w:hAnsi="宋体" w:cs="宋体" w:hint="eastAsia"/>
                <w:color w:val="auto"/>
                <w:szCs w:val="24"/>
                <w:highlight w:val="none"/>
                <w:lang w:val="en-US"/>
              </w:rPr>
              <w:t xml:space="preserve">年</w:t>
            </w:r>
            <w:r>
              <w:rPr>
                <w:rFonts w:ascii="宋体" w:eastAsia="宋体" w:hAnsi="宋体" w:cs="宋体" w:hint="eastAsia"/>
                <w:color w:val="auto"/>
                <w:szCs w:val="24"/>
                <w:highlight w:val="none"/>
                <w:lang w:val="en-US" w:eastAsia="zh-CN"/>
              </w:rPr>
              <w:t xml:space="preserve">11</w:t>
            </w:r>
            <w:r>
              <w:rPr>
                <w:rFonts w:ascii="宋体" w:eastAsia="宋体" w:hAnsi="宋体" w:cs="宋体" w:hint="eastAsia"/>
                <w:color w:val="auto"/>
                <w:szCs w:val="24"/>
                <w:highlight w:val="none"/>
                <w:lang w:val="en-US"/>
              </w:rPr>
              <w:t xml:space="preserve">月</w:t>
            </w:r>
            <w:r>
              <w:rPr>
                <w:rFonts w:ascii="宋体" w:eastAsia="宋体" w:hAnsi="宋体" w:cs="宋体" w:hint="eastAsia"/>
                <w:color w:val="auto"/>
                <w:szCs w:val="24"/>
                <w:highlight w:val="none"/>
                <w:lang w:val="en-US" w:eastAsia="zh-CN"/>
              </w:rPr>
              <w:t xml:space="preserve">24</w:t>
            </w:r>
            <w:r>
              <w:rPr>
                <w:rFonts w:ascii="宋体" w:eastAsia="宋体" w:hAnsi="宋体" w:cs="宋体" w:hint="eastAsia"/>
                <w:color w:val="auto"/>
                <w:szCs w:val="24"/>
                <w:lang w:val="en-US"/>
              </w:rPr>
              <w:t xml:space="preserve">日</w:t>
            </w:r>
            <w:r>
              <w:rPr>
                <w:rFonts w:ascii="宋体" w:eastAsia="宋体" w:hAnsi="宋体" w:cs="宋体" w:hint="eastAsia"/>
                <w:color w:val="auto"/>
                <w:szCs w:val="24"/>
                <w:lang w:val="en-US" w:eastAsia="zh-CN"/>
              </w:rPr>
              <w:t xml:space="preserve">09</w:t>
            </w:r>
            <w:r>
              <w:rPr>
                <w:rFonts w:ascii="宋体" w:eastAsia="宋体" w:hAnsi="宋体" w:cs="宋体" w:hint="eastAsia"/>
                <w:color w:val="auto"/>
                <w:szCs w:val="24"/>
                <w:lang w:val="en-US"/>
              </w:rPr>
              <w:t xml:space="preserve">:</w:t>
            </w:r>
            <w:r>
              <w:rPr>
                <w:rFonts w:ascii="宋体" w:eastAsia="宋体" w:hAnsi="宋体" w:cs="宋体" w:hint="eastAsia"/>
                <w:color w:val="auto"/>
                <w:szCs w:val="24"/>
                <w:lang w:val="en-US" w:eastAsia="zh-CN"/>
              </w:rPr>
              <w:t xml:space="preserve">0</w:t>
            </w:r>
            <w:r>
              <w:rPr>
                <w:rFonts w:ascii="宋体" w:eastAsia="宋体" w:hAnsi="宋体" w:cs="宋体" w:hint="eastAsia"/>
                <w:color w:val="auto"/>
                <w:szCs w:val="24"/>
                <w:lang w:val="en-US"/>
              </w:rPr>
              <w:t xml:space="preserve">0前递交投标文件。</w:t>
            </w:r>
          </w:p>
        </w:tc>
      </w:tr>
    </w:tbl>
    <w:p>
      <w:pPr>
        <w:numPr>
          <w:ilvl w:val="0"/>
          <w:numId w:val="11"/>
        </w:numPr>
        <w:snapToGrid w:val="0"/>
        <w:spacing w:line="400" w:lineRule="exact"/>
        <w:jc w:val="left"/>
        <w:outlineLvl w:val="2"/>
        <w:rPr>
          <w:rFonts w:ascii="宋体" w:hAnsi="宋体" w:cs="宋体"/>
          <w:b/>
          <w:bCs/>
          <w:color w:val="auto"/>
          <w:kern w:val="0"/>
          <w:sz w:val="24"/>
        </w:rPr>
      </w:pPr>
      <w:r>
        <w:rPr>
          <w:rFonts w:ascii="宋体" w:hAnsi="宋体" w:cs="宋体" w:hint="eastAsia"/>
          <w:b/>
          <w:bCs/>
          <w:color w:val="auto"/>
          <w:kern w:val="0"/>
          <w:sz w:val="24"/>
        </w:rPr>
        <w:t xml:space="preserve">项目基本情况</w:t>
      </w:r>
    </w:p>
    <w:p>
      <w:pPr>
        <w:pStyle w:val="Normal(Web)"/>
        <w:spacing w:before="0" w:beforeAutospacing="0" w:after="0" w:afterAutospacing="0" w:line="360" w:lineRule="auto"/>
        <w:ind w:firstLine="480" w:firstLineChars="200"/>
        <w:rPr>
          <w:rFonts w:eastAsia="宋体" w:cs="宋体" w:hint="eastAsia"/>
          <w:color w:val="auto"/>
          <w:lang w:eastAsia="zh-CN"/>
        </w:rPr>
      </w:pPr>
      <w:r>
        <w:rPr>
          <w:rFonts w:cs="宋体" w:hint="eastAsia"/>
          <w:color w:val="auto"/>
        </w:rPr>
        <w:t xml:space="preserve">项目编号:</w:t>
      </w:r>
      <w:r>
        <w:rPr>
          <w:rFonts w:cs="宋体" w:hint="eastAsia"/>
          <w:color w:val="auto"/>
          <w:szCs w:val="24"/>
          <w:lang w:val="en-US" w:eastAsia="zh-CN"/>
        </w:rPr>
        <w:t xml:space="preserve"> </w:t>
      </w:r>
      <w:r>
        <w:rPr>
          <w:rFonts w:cs="宋体" w:hint="eastAsia"/>
          <w:color w:val="auto"/>
          <w:szCs w:val="24"/>
          <w:highlight w:val="none"/>
          <w:lang w:val="en-US" w:eastAsia="zh-CN"/>
        </w:rPr>
        <w:t xml:space="preserve">HAZC-2023100342-XY</w:t>
      </w:r>
    </w:p>
    <w:p>
      <w:pPr>
        <w:pStyle w:val="Normal(Web)"/>
        <w:spacing w:before="0" w:beforeAutospacing="0" w:after="0" w:afterAutospacing="0" w:line="360" w:lineRule="auto"/>
        <w:ind w:firstLine="480" w:firstLineChars="200"/>
        <w:rPr>
          <w:rFonts w:eastAsia="宋体" w:cs="宋体" w:hint="eastAsia"/>
          <w:color w:val="auto"/>
          <w:lang w:eastAsia="zh-CN"/>
        </w:rPr>
      </w:pPr>
      <w:r>
        <w:rPr>
          <w:rFonts w:cs="宋体" w:hint="eastAsia"/>
          <w:color w:val="auto"/>
        </w:rPr>
        <w:t xml:space="preserve">项目名称:</w:t>
      </w:r>
      <w:r>
        <w:rPr>
          <w:rFonts w:cs="宋体" w:hint="eastAsia"/>
          <w:color w:val="auto"/>
          <w:lang w:eastAsia="zh-CN"/>
        </w:rPr>
        <w:t xml:space="preserve">盱眙技师学院校园提升改造精密测量、机械测绘与机械拆装实训室项目</w:t>
      </w:r>
    </w:p>
    <w:p>
      <w:pPr>
        <w:pStyle w:val="Normal(Web)"/>
        <w:spacing w:before="0" w:beforeAutospacing="0" w:after="0" w:afterAutospacing="0" w:line="360" w:lineRule="auto"/>
        <w:ind w:firstLine="480" w:firstLineChars="200"/>
        <w:rPr>
          <w:rFonts w:eastAsia="宋体" w:cs="宋体" w:hint="eastAsia"/>
          <w:color w:val="auto"/>
          <w:highlight w:val="red"/>
          <w:lang w:eastAsia="zh-CN"/>
        </w:rPr>
      </w:pPr>
      <w:r>
        <w:rPr>
          <w:rFonts w:cs="宋体" w:hint="eastAsia"/>
          <w:color w:val="000000" w:themeColor="text1"/>
          <w:highlight w:val="none"/>
          <w14:textFill>
            <w14:solidFill>
              <w14:schemeClr w14:val="tx1"/>
            </w14:solidFill>
          </w14:textFill>
        </w:rPr>
        <w:t xml:space="preserve">预算</w:t>
      </w:r>
      <w:r>
        <w:rPr>
          <w:rFonts w:cs="宋体" w:hint="eastAsia"/>
          <w:color w:val="auto"/>
          <w:highlight w:val="none"/>
        </w:rPr>
        <w:t xml:space="preserve">金额:</w:t>
      </w:r>
      <w:r>
        <w:rPr>
          <w:rFonts w:cs="宋体" w:hint="eastAsia"/>
          <w:b/>
          <w:sz w:val="24"/>
          <w:highlight w:val="none"/>
          <w:lang w:val="en-US" w:eastAsia="zh-CN"/>
        </w:rPr>
        <w:t xml:space="preserve">35万</w:t>
      </w:r>
    </w:p>
    <w:p>
      <w:pPr>
        <w:widowControl/>
        <w:shd w:val="clear" w:color="auto" w:fill="FFFFFF"/>
        <w:spacing w:line="360" w:lineRule="atLeast"/>
        <w:ind w:firstLine="480" w:firstLineChars="200"/>
        <w:jc w:val="left"/>
        <w:rPr>
          <w:rFonts w:ascii="宋体" w:eastAsia="宋体" w:hAnsi="宋体" w:cs="宋体" w:hint="eastAsia"/>
          <w:color w:val="auto"/>
          <w:kern w:val="0"/>
          <w:sz w:val="24"/>
          <w:shd w:val="clear" w:color="auto" w:fill="FFFFFF"/>
          <w:lang w:eastAsia="zh-CN"/>
        </w:rPr>
      </w:pPr>
      <w:r>
        <w:rPr>
          <w:rFonts w:ascii="宋体" w:hAnsi="宋体" w:cs="宋体" w:hint="eastAsia"/>
          <w:color w:val="auto"/>
          <w:kern w:val="0"/>
          <w:sz w:val="24"/>
          <w:highlight w:val="none"/>
          <w:shd w:val="clear" w:color="auto" w:fill="FFFFFF"/>
        </w:rPr>
        <w:t xml:space="preserve">最高限价：</w:t>
      </w:r>
      <w:r>
        <w:rPr>
          <w:rFonts w:ascii="宋体" w:hAnsi="宋体" w:cs="宋体" w:hint="eastAsia"/>
          <w:b/>
          <w:color w:val="auto"/>
          <w:sz w:val="24"/>
          <w:highlight w:val="none"/>
          <w:lang w:val="en-US" w:eastAsia="zh-CN"/>
        </w:rPr>
        <w:t xml:space="preserve">35万</w:t>
      </w:r>
    </w:p>
    <w:p>
      <w:pPr>
        <w:pStyle w:val="Normal(Web)"/>
        <w:spacing w:before="0" w:beforeAutospacing="0" w:after="0" w:afterAutospacing="0" w:line="360" w:lineRule="auto"/>
        <w:ind w:firstLine="480" w:firstLineChars="200"/>
        <w:rPr>
          <w:rFonts w:cs="宋体"/>
          <w:color w:val="auto"/>
          <w:szCs w:val="24"/>
        </w:rPr>
      </w:pPr>
      <w:r>
        <w:rPr>
          <w:rFonts w:cs="宋体" w:hint="eastAsia"/>
          <w:color w:val="auto"/>
        </w:rPr>
        <w:t xml:space="preserve">招标范围:</w:t>
      </w:r>
      <w:r>
        <w:rPr>
          <w:rFonts w:cs="宋体" w:hint="eastAsia"/>
          <w:color w:val="auto"/>
          <w:szCs w:val="24"/>
        </w:rPr>
        <w:t xml:space="preserve"> </w:t>
      </w:r>
      <w:r>
        <w:rPr>
          <w:rFonts w:cs="宋体" w:hint="eastAsia"/>
          <w:color w:val="auto"/>
          <w:szCs w:val="24"/>
          <w:lang w:eastAsia="zh-CN"/>
        </w:rPr>
        <w:t xml:space="preserve">盱眙技师学院校园提升改造精密测量、机械测绘与机械拆装实训室项目</w:t>
      </w:r>
      <w:r>
        <w:rPr>
          <w:rFonts w:cs="宋体" w:hint="eastAsia"/>
          <w:color w:val="auto"/>
          <w:szCs w:val="24"/>
        </w:rPr>
        <w:t xml:space="preserve">,（详见招标文件第六部分 采购需求）。</w:t>
      </w:r>
    </w:p>
    <w:p>
      <w:pPr>
        <w:pStyle w:val="Normal(Web)"/>
        <w:spacing w:before="0" w:beforeAutospacing="0" w:after="0" w:afterAutospacing="0" w:line="360" w:lineRule="auto"/>
        <w:ind w:firstLine="480" w:firstLineChars="200"/>
        <w:rPr>
          <w:rFonts w:eastAsia="宋体" w:cs="宋体" w:hint="eastAsia"/>
          <w:color w:val="auto"/>
          <w:szCs w:val="24"/>
          <w:highlight w:val="none"/>
          <w:lang w:eastAsia="zh-CN"/>
        </w:rPr>
      </w:pPr>
      <w:r>
        <w:rPr>
          <w:rFonts w:cs="宋体" w:hint="eastAsia"/>
          <w:color w:val="auto"/>
          <w:szCs w:val="24"/>
          <w:highlight w:val="none"/>
        </w:rPr>
        <w:t xml:space="preserve">工期:签订合同后</w:t>
      </w:r>
      <w:r>
        <w:rPr>
          <w:rFonts w:cs="宋体" w:hint="eastAsia"/>
          <w:color w:val="auto"/>
          <w:szCs w:val="24"/>
          <w:highlight w:val="none"/>
          <w:lang w:val="en-US" w:eastAsia="zh-CN"/>
        </w:rPr>
        <w:t xml:space="preserve">15</w:t>
      </w:r>
      <w:r>
        <w:rPr>
          <w:rFonts w:cs="宋体" w:hint="eastAsia"/>
          <w:color w:val="auto"/>
          <w:szCs w:val="24"/>
          <w:highlight w:val="none"/>
        </w:rPr>
        <w:t xml:space="preserve">天。</w:t>
      </w:r>
    </w:p>
    <w:p>
      <w:pPr>
        <w:pStyle w:val="BodyTextFirstIndent"/>
        <w:spacing w:after="0" w:line="360" w:lineRule="auto"/>
        <w:ind w:firstLine="480" w:firstLineChars="200"/>
        <w:rPr>
          <w:rFonts w:ascii="宋体" w:hAnsi="宋体" w:cs="宋体"/>
          <w:color w:val="auto"/>
          <w:kern w:val="0"/>
          <w:sz w:val="24"/>
        </w:rPr>
      </w:pPr>
      <w:r>
        <w:rPr>
          <w:rFonts w:ascii="宋体" w:hAnsi="宋体" w:cs="宋体" w:hint="eastAsia"/>
          <w:color w:val="auto"/>
          <w:kern w:val="0"/>
          <w:sz w:val="24"/>
        </w:rPr>
        <w:t xml:space="preserve">本项目（否）接受联合体投标。</w:t>
      </w:r>
    </w:p>
    <w:p>
      <w:pPr>
        <w:pStyle w:val="[Normal]"/>
        <w:numPr>
          <w:ilvl w:val="0"/>
          <w:numId w:val="11"/>
        </w:numPr>
        <w:snapToGrid w:val="0"/>
        <w:spacing w:line="400" w:lineRule="exact"/>
        <w:outlineLvl w:val="2"/>
        <w:rPr>
          <w:rFonts w:ascii="宋体" w:eastAsia="宋体" w:hAnsi="宋体" w:cs="宋体"/>
          <w:b/>
          <w:bCs/>
          <w:color w:val="auto"/>
          <w:szCs w:val="24"/>
          <w:lang w:val="en-US"/>
        </w:rPr>
      </w:pPr>
      <w:r>
        <w:rPr>
          <w:rFonts w:ascii="宋体" w:eastAsia="宋体" w:hAnsi="宋体" w:cs="宋体" w:hint="eastAsia"/>
          <w:b/>
          <w:bCs/>
          <w:color w:val="auto"/>
          <w:szCs w:val="24"/>
          <w:lang w:val="en-US"/>
        </w:rPr>
        <w:t xml:space="preserve">申请人的资格要求</w:t>
      </w:r>
    </w:p>
    <w:p>
      <w:pPr>
        <w:pStyle w:val="[Normal]"/>
        <w:numPr>
          <w:ilvl w:val="0"/>
          <w:numId w:val="5"/>
        </w:numPr>
        <w:snapToGrid w:val="0"/>
        <w:spacing w:line="400" w:lineRule="exact"/>
        <w:ind w:firstLine="480" w:firstLineChars="200"/>
        <w:rPr>
          <w:rFonts w:ascii="宋体" w:eastAsia="宋体" w:hAnsi="宋体" w:cs="宋体"/>
          <w:color w:val="auto"/>
          <w:szCs w:val="24"/>
          <w:lang w:val="en-US"/>
        </w:rPr>
      </w:pPr>
      <w:r>
        <w:rPr>
          <w:rFonts w:ascii="宋体" w:eastAsia="宋体" w:hAnsi="宋体" w:cs="宋体" w:hint="eastAsia"/>
          <w:color w:val="auto"/>
          <w:szCs w:val="24"/>
          <w:lang w:val="en-US"/>
        </w:rPr>
        <w:t xml:space="preserve">满足《中华人民共和国政府采购法》第二十二条规定</w:t>
      </w:r>
      <w:r>
        <w:rPr>
          <w:rFonts w:ascii="宋体" w:eastAsia="宋体" w:hAnsi="宋体" w:cs="宋体" w:hint="eastAsia"/>
          <w:color w:val="auto"/>
          <w:szCs w:val="24"/>
          <w:lang w:val="en-US" w:eastAsia="zh-CN"/>
        </w:rPr>
        <w:t xml:space="preserve">；</w:t>
      </w:r>
    </w:p>
    <w:p>
      <w:pPr>
        <w:pStyle w:val="[Normal]"/>
        <w:numPr>
          <w:ilvl w:val="0"/>
          <w:numId w:val="5"/>
        </w:numPr>
        <w:snapToGrid w:val="0"/>
        <w:spacing w:line="400" w:lineRule="exact"/>
        <w:ind w:firstLine="480" w:firstLineChars="200"/>
        <w:rPr>
          <w:rFonts w:ascii="宋体" w:eastAsia="宋体" w:hAnsi="宋体" w:cs="宋体"/>
          <w:color w:val="auto"/>
          <w:szCs w:val="24"/>
          <w:lang w:val="en-US"/>
        </w:rPr>
      </w:pPr>
      <w:r>
        <w:rPr>
          <w:rFonts w:ascii="宋体" w:eastAsia="宋体" w:hAnsi="宋体" w:cs="宋体" w:hint="eastAsia"/>
          <w:color w:val="auto"/>
          <w:szCs w:val="24"/>
          <w:lang w:val="en-US"/>
        </w:rPr>
        <w:t xml:space="preserve">落实政府采购政策需满足的资格要求：</w:t>
      </w:r>
    </w:p>
    <w:p>
      <w:pPr>
        <w:pStyle w:val="正文1"/>
        <w:spacing w:line="360" w:lineRule="auto"/>
        <w:ind w:firstLine="480" w:firstLineChars="200"/>
        <w:rPr>
          <w:rFonts w:ascii="宋体" w:hAnsi="宋体"/>
          <w:color w:val="auto"/>
          <w:sz w:val="24"/>
          <w:szCs w:val="24"/>
        </w:rPr>
      </w:pPr>
      <w:r>
        <w:rPr>
          <w:rFonts w:ascii="宋体" w:hAnsi="宋体" w:hint="eastAsia"/>
          <w:color w:val="auto"/>
          <w:sz w:val="24"/>
          <w:szCs w:val="24"/>
        </w:rPr>
        <w:t xml:space="preserve">本项目按照以下第</w:t>
      </w:r>
      <w:r>
        <w:rPr>
          <w:rFonts w:ascii="宋体" w:hAnsi="宋体" w:hint="eastAsia"/>
          <w:color w:val="auto"/>
          <w:sz w:val="24"/>
          <w:szCs w:val="24"/>
          <w:u w:val="single"/>
        </w:rPr>
        <w:t xml:space="preserve">①</w:t>
      </w:r>
      <w:r>
        <w:rPr>
          <w:rFonts w:ascii="宋体" w:hAnsi="宋体" w:hint="eastAsia"/>
          <w:color w:val="auto"/>
          <w:sz w:val="24"/>
          <w:szCs w:val="24"/>
        </w:rPr>
        <w:t xml:space="preserve">种方式落实政府采购促进中小企业发展的要求：</w:t>
      </w:r>
    </w:p>
    <w:p>
      <w:pPr>
        <w:pStyle w:val="正文1"/>
        <w:spacing w:line="360" w:lineRule="auto"/>
        <w:ind w:firstLine="480" w:firstLineChars="200"/>
        <w:rPr>
          <w:rFonts w:ascii="宋体" w:eastAsia="宋体" w:hAnsi="宋体" w:hint="eastAsia"/>
          <w:color w:val="auto"/>
          <w:sz w:val="24"/>
          <w:szCs w:val="24"/>
          <w:lang w:val="en-US" w:eastAsia="zh-CN"/>
        </w:rPr>
      </w:pPr>
      <w:r>
        <w:rPr>
          <w:rFonts w:ascii="宋体" w:hAnsi="宋体" w:hint="eastAsia"/>
          <w:color w:val="auto"/>
          <w:sz w:val="24"/>
          <w:szCs w:val="24"/>
        </w:rPr>
        <w:t xml:space="preserve">①本项目为专门面向中小企业采购的项目,供应商必须为中小微企业，不接受非中小型企业参与本项目投标</w:t>
      </w:r>
      <w:r>
        <w:rPr>
          <w:rFonts w:ascii="宋体" w:hAnsi="宋体" w:hint="eastAsia"/>
          <w:color w:val="auto"/>
          <w:sz w:val="24"/>
          <w:szCs w:val="24"/>
          <w:lang w:val="en-US" w:eastAsia="zh-CN"/>
        </w:rPr>
        <w:t xml:space="preserve">,</w:t>
      </w:r>
      <w:r>
        <w:rPr>
          <w:rFonts w:ascii="宋体" w:hAnsi="宋体" w:hint="eastAsia"/>
          <w:color w:val="auto"/>
          <w:sz w:val="24"/>
          <w:szCs w:val="24"/>
        </w:rPr>
        <w:t xml:space="preserve">符合中小企业划分标准的个体工商户，在政府采购活动中视同中小企业，享受政府采购支持中小企业发展。</w:t>
      </w:r>
    </w:p>
    <w:p>
      <w:pPr>
        <w:pStyle w:val="正文1"/>
        <w:spacing w:line="360" w:lineRule="auto"/>
        <w:ind w:firstLine="480" w:firstLineChars="200"/>
        <w:rPr>
          <w:rFonts w:ascii="宋体" w:hAnsi="宋体"/>
          <w:color w:val="auto"/>
          <w:sz w:val="24"/>
          <w:szCs w:val="24"/>
        </w:rPr>
      </w:pPr>
      <w:r>
        <w:rPr>
          <w:rFonts w:ascii="宋体" w:hAnsi="宋体" w:hint="eastAsia"/>
          <w:color w:val="auto"/>
          <w:sz w:val="24"/>
          <w:szCs w:val="24"/>
        </w:rPr>
        <w:t xml:space="preserve">②本项目通过以下第（ ）种方式预留部分采购份额采购中小企业服务：</w:t>
      </w:r>
    </w:p>
    <w:p>
      <w:pPr>
        <w:pStyle w:val="正文1"/>
        <w:spacing w:line="360" w:lineRule="auto"/>
        <w:ind w:firstLine="480" w:firstLineChars="200"/>
        <w:rPr>
          <w:rFonts w:ascii="宋体" w:hAnsi="宋体"/>
          <w:color w:val="auto"/>
          <w:sz w:val="24"/>
          <w:szCs w:val="24"/>
        </w:rPr>
      </w:pPr>
      <w:r>
        <w:rPr>
          <w:rFonts w:ascii="宋体" w:hAnsi="宋体" w:hint="eastAsia"/>
          <w:color w:val="auto"/>
          <w:sz w:val="24"/>
          <w:szCs w:val="24"/>
        </w:rPr>
        <w:t xml:space="preserve">（1）本项目要求供应商以联合体形式参加，中小企业合同金额应当达到的比例为 </w:t>
      </w:r>
      <w:r>
        <w:rPr>
          <w:rFonts w:ascii="宋体" w:hAnsi="宋体" w:hint="eastAsia"/>
          <w:color w:val="auto"/>
          <w:sz w:val="24"/>
          <w:szCs w:val="24"/>
          <w:u w:val="single"/>
        </w:rPr>
        <w:t xml:space="preserve">   %</w:t>
      </w:r>
      <w:r>
        <w:rPr>
          <w:rFonts w:ascii="宋体" w:hAnsi="宋体" w:hint="eastAsia"/>
          <w:color w:val="auto"/>
          <w:sz w:val="24"/>
          <w:szCs w:val="24"/>
        </w:rPr>
        <w:t xml:space="preserve">，其中小微企业所占比例应为</w:t>
      </w:r>
      <w:r>
        <w:rPr>
          <w:rFonts w:ascii="宋体" w:hAnsi="宋体" w:hint="eastAsia"/>
          <w:color w:val="auto"/>
          <w:sz w:val="24"/>
          <w:szCs w:val="24"/>
          <w:u w:val="single"/>
        </w:rPr>
        <w:t xml:space="preserve">    %</w:t>
      </w:r>
      <w:r>
        <w:rPr>
          <w:rFonts w:ascii="宋体" w:hAnsi="宋体" w:hint="eastAsia"/>
          <w:color w:val="auto"/>
          <w:sz w:val="24"/>
          <w:szCs w:val="24"/>
        </w:rPr>
        <w:t xml:space="preserve">（两项比例均应符合《政府采购促进中小企业发展管理办法》第八条规定）。</w:t>
      </w:r>
    </w:p>
    <w:p>
      <w:pPr>
        <w:pStyle w:val="正文1"/>
        <w:spacing w:line="360" w:lineRule="auto"/>
        <w:ind w:firstLine="480" w:firstLineChars="200"/>
        <w:rPr>
          <w:rFonts w:ascii="宋体" w:hAnsi="宋体"/>
          <w:color w:val="auto"/>
          <w:sz w:val="24"/>
          <w:szCs w:val="24"/>
        </w:rPr>
      </w:pPr>
      <w:r>
        <w:rPr>
          <w:rFonts w:ascii="宋体" w:hAnsi="宋体" w:hint="eastAsia"/>
          <w:color w:val="auto"/>
          <w:sz w:val="24"/>
          <w:szCs w:val="24"/>
        </w:rPr>
        <w:t xml:space="preserve">（2）本项目要求供应商进行合同分包，中小企业合同金额应当达到的比例为</w:t>
      </w:r>
      <w:r>
        <w:rPr>
          <w:rFonts w:ascii="宋体" w:hAnsi="宋体" w:hint="eastAsia"/>
          <w:color w:val="auto"/>
          <w:sz w:val="24"/>
          <w:szCs w:val="24"/>
          <w:u w:val="single"/>
        </w:rPr>
        <w:t xml:space="preserve">    %</w:t>
      </w:r>
      <w:r>
        <w:rPr>
          <w:rFonts w:ascii="宋体" w:hAnsi="宋体" w:hint="eastAsia"/>
          <w:color w:val="auto"/>
          <w:sz w:val="24"/>
          <w:szCs w:val="24"/>
        </w:rPr>
        <w:t xml:space="preserve">，其中小微企业所占比例应为</w:t>
      </w:r>
      <w:r>
        <w:rPr>
          <w:rFonts w:ascii="宋体" w:hAnsi="宋体" w:hint="eastAsia"/>
          <w:color w:val="auto"/>
          <w:sz w:val="24"/>
          <w:szCs w:val="24"/>
          <w:u w:val="single"/>
        </w:rPr>
        <w:t xml:space="preserve">    %</w:t>
      </w:r>
      <w:r>
        <w:rPr>
          <w:rFonts w:ascii="宋体" w:hAnsi="宋体" w:hint="eastAsia"/>
          <w:color w:val="auto"/>
          <w:sz w:val="24"/>
          <w:szCs w:val="24"/>
        </w:rPr>
        <w:t xml:space="preserve">（两项比例均应符合《政府采购促进中小企业发展管理办法》第八条规定）。</w:t>
      </w:r>
    </w:p>
    <w:p>
      <w:pPr>
        <w:pStyle w:val="正文1"/>
        <w:spacing w:line="360" w:lineRule="auto"/>
        <w:ind w:firstLine="480" w:firstLineChars="200"/>
        <w:rPr>
          <w:rFonts w:ascii="宋体" w:hAnsi="宋体"/>
          <w:color w:val="auto"/>
          <w:sz w:val="24"/>
          <w:szCs w:val="24"/>
        </w:rPr>
      </w:pPr>
      <w:r>
        <w:rPr>
          <w:rFonts w:ascii="宋体" w:hAnsi="宋体" w:hint="eastAsia"/>
          <w:color w:val="auto"/>
          <w:sz w:val="24"/>
          <w:szCs w:val="24"/>
        </w:rPr>
        <w:t xml:space="preserve">③本项目为非预留份额的采购项目，对小微企业报价给予扣除，用扣除后的价格参加评审，具体详见第二章“投标人须知”第39条。</w:t>
      </w:r>
    </w:p>
    <w:p>
      <w:pPr>
        <w:pStyle w:val="正文1"/>
        <w:spacing w:line="360" w:lineRule="auto"/>
        <w:ind w:firstLine="480" w:firstLineChars="200"/>
        <w:rPr>
          <w:rFonts w:ascii="宋体" w:hAnsi="宋体"/>
          <w:color w:val="auto"/>
          <w:sz w:val="24"/>
          <w:szCs w:val="24"/>
        </w:rPr>
      </w:pPr>
      <w:r>
        <w:rPr>
          <w:rFonts w:ascii="宋体" w:hAnsi="宋体" w:hint="eastAsia"/>
          <w:color w:val="auto"/>
          <w:sz w:val="24"/>
          <w:szCs w:val="24"/>
        </w:rPr>
        <w:t xml:space="preserve">注:监狱企业、残疾人福利性单位视同小微企业。</w:t>
      </w:r>
    </w:p>
    <w:p>
      <w:pPr>
        <w:pStyle w:val="[Normal]"/>
        <w:numPr>
          <w:ilvl w:val="0"/>
          <w:numId w:val="5"/>
        </w:numPr>
        <w:snapToGrid w:val="0"/>
        <w:spacing w:line="400" w:lineRule="exact"/>
        <w:ind w:firstLine="480" w:firstLineChars="200"/>
        <w:rPr>
          <w:rFonts w:ascii="宋体" w:hAnsi="宋体" w:cs="宋体"/>
          <w:color w:val="auto"/>
        </w:rPr>
      </w:pPr>
      <w:r>
        <w:rPr>
          <w:rFonts w:ascii="宋体" w:eastAsia="宋体" w:hAnsi="宋体" w:cs="宋体" w:hint="eastAsia"/>
          <w:color w:val="auto"/>
          <w:szCs w:val="24"/>
          <w:lang w:val="en-US"/>
        </w:rPr>
        <w:t xml:space="preserve">本项目的特定资格要求:</w:t>
      </w:r>
    </w:p>
    <w:tbl>
      <w:tblPr>
        <w:tblStyle w:val="NormalTable"/>
        <w:tblW w:w="5000" w:type="pct"/>
        <w:jc w:val="center"/>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Look w:firstRow="0" w:lastRow="0" w:firstColumn="0" w:lastColumn="0" w:noHBand="1" w:noVBand="1"/>
      </w:tblPr>
      <w:tblGrid>
        <w:gridCol w:w="1873"/>
        <w:gridCol w:w="1023"/>
        <w:gridCol w:w="4755"/>
        <w:gridCol w:w="2311"/>
      </w:tblGrid>
      <w:tr>
        <w:tblPrEx>
          <w:tblW w:w="5000" w:type="pct"/>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Ex>
        <w:trPr>
          <w:trHeight w:val="533"/>
          <w:jc w:val="center"/>
        </w:trPr>
        <w:tc>
          <w:tcPr>
            <w:tcW w:w="942" w:type="pct"/>
            <w:tcBorders>
              <w:top w:val="single" w:sz="8" w:space="0" w:color="auto"/>
              <w:left w:val="single" w:sz="8" w:space="0" w:color="auto"/>
              <w:bottom w:val="single" w:sz="4" w:space="0" w:color="auto"/>
              <w:right w:val="single" w:sz="8" w:space="0" w:color="auto"/>
            </w:tcBorders>
            <w:noWrap w:val="1"/>
            <w:tcMar>
              <w:top w:w="0" w:type="dxa"/>
              <w:left w:w="108" w:type="dxa"/>
              <w:bottom w:w="0" w:type="dxa"/>
              <w:right w:w="108" w:type="dxa"/>
            </w:tcMar>
            <w:vAlign w:val="center"/>
          </w:tcPr>
          <w:p>
            <w:pPr>
              <w:spacing w:line="340" w:lineRule="exact"/>
              <w:rPr>
                <w:rFonts w:ascii="宋体" w:hAnsi="宋体" w:cs="宋体"/>
                <w:sz w:val="24"/>
                <w:lang w:val="zh-CN"/>
              </w:rPr>
            </w:pPr>
            <w:r>
              <w:rPr>
                <w:rFonts w:ascii="宋体" w:hAnsi="宋体" w:cs="宋体" w:hint="eastAsia"/>
                <w:sz w:val="24"/>
                <w:lang w:val="zh-CN"/>
              </w:rPr>
              <w:t xml:space="preserve">序号</w:t>
            </w:r>
          </w:p>
        </w:tc>
        <w:tc>
          <w:tcPr>
            <w:tcW w:type="auto" w:w="0"/>
            <w:gridSpan w:val="2"/>
            <w:tcBorders>
              <w:top w:val="single" w:sz="8" w:space="0" w:color="auto"/>
              <w:left w:val="nil"/>
              <w:bottom w:val="single" w:sz="4" w:space="0" w:color="auto"/>
              <w:right w:val="single" w:sz="8" w:space="0" w:color="auto"/>
            </w:tcBorders>
            <w:noWrap w:val="1"/>
            <w:tcMar>
              <w:top w:w="0" w:type="dxa"/>
              <w:left w:w="108" w:type="dxa"/>
              <w:bottom w:w="0" w:type="dxa"/>
              <w:right w:w="108" w:type="dxa"/>
            </w:tcMar>
            <w:vAlign w:val="center"/>
          </w:tcPr>
          <w:p>
            <w:pPr>
              <w:spacing w:line="340" w:lineRule="exact"/>
              <w:ind w:firstLine="360" w:firstLineChars="150"/>
              <w:rPr>
                <w:rFonts w:ascii="宋体" w:hAnsi="宋体" w:cs="宋体"/>
                <w:sz w:val="24"/>
                <w:lang w:val="zh-CN"/>
              </w:rPr>
            </w:pPr>
            <w:r>
              <w:rPr>
                <w:rFonts w:ascii="宋体" w:hAnsi="宋体" w:cs="宋体" w:hint="eastAsia"/>
                <w:sz w:val="24"/>
                <w:lang w:val="zh-CN"/>
              </w:rPr>
              <w:t xml:space="preserve">资质内容</w:t>
            </w:r>
          </w:p>
        </w:tc>
        <w:tc>
          <w:tcPr>
            <w:tcW w:w="1147" w:type="pct"/>
            <w:tcBorders>
              <w:top w:val="single" w:sz="8" w:space="0" w:color="auto"/>
              <w:left w:val="nil"/>
              <w:bottom w:val="single" w:sz="4" w:space="0" w:color="auto"/>
              <w:right w:val="single" w:sz="8" w:space="0" w:color="auto"/>
            </w:tcBorders>
            <w:noWrap w:val="1"/>
            <w:tcMar>
              <w:top w:w="0" w:type="dxa"/>
              <w:left w:w="108" w:type="dxa"/>
              <w:bottom w:w="0" w:type="dxa"/>
              <w:right w:w="108" w:type="dxa"/>
            </w:tcMar>
            <w:vAlign w:val="center"/>
          </w:tcPr>
          <w:p>
            <w:pPr>
              <w:spacing w:line="340" w:lineRule="exact"/>
              <w:ind w:firstLine="360" w:firstLineChars="150"/>
              <w:rPr>
                <w:rFonts w:ascii="宋体" w:hAnsi="宋体" w:cs="宋体"/>
                <w:sz w:val="24"/>
                <w:lang w:val="zh-CN"/>
              </w:rPr>
            </w:pPr>
            <w:r>
              <w:rPr>
                <w:rFonts w:ascii="宋体" w:hAnsi="宋体" w:cs="宋体" w:hint="eastAsia"/>
                <w:sz w:val="24"/>
                <w:lang w:val="zh-CN"/>
              </w:rPr>
              <w:t xml:space="preserve">提交形式</w:t>
            </w:r>
          </w:p>
        </w:tc>
      </w:tr>
      <w:tr>
        <w:tblPrEx>
          <w:tblW w:w="5000" w:type="pct"/>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Ex>
        <w:trPr>
          <w:trHeight w:val="578"/>
          <w:jc w:val="center"/>
        </w:trPr>
        <w:tc>
          <w:tcPr>
            <w:tcW w:w="942" w:type="pct"/>
            <w:vMerge w:val="restart"/>
            <w:tcBorders>
              <w:top w:val="single" w:sz="4" w:space="0" w:color="auto"/>
              <w:left w:val="single" w:sz="4" w:space="0" w:color="auto"/>
              <w:bottom w:val="single" w:sz="4" w:space="0" w:color="auto"/>
              <w:right w:val="single" w:sz="4" w:space="0" w:color="auto"/>
            </w:tcBorders>
            <w:noWrap w:val="1"/>
            <w:tcMar>
              <w:top w:w="0" w:type="dxa"/>
              <w:left w:w="108" w:type="dxa"/>
              <w:bottom w:w="0" w:type="dxa"/>
              <w:right w:w="108" w:type="dxa"/>
            </w:tcMar>
            <w:vAlign w:val="center"/>
          </w:tcPr>
          <w:p>
            <w:pPr>
              <w:spacing w:line="340" w:lineRule="exact"/>
              <w:ind w:firstLine="360" w:firstLineChars="150"/>
              <w:rPr>
                <w:rFonts w:ascii="宋体" w:hAnsi="宋体" w:cs="宋体"/>
                <w:sz w:val="24"/>
                <w:lang w:val="zh-CN"/>
              </w:rPr>
            </w:pPr>
            <w:r>
              <w:rPr>
                <w:rFonts w:ascii="宋体" w:hAnsi="宋体" w:cs="宋体" w:hint="eastAsia"/>
                <w:sz w:val="24"/>
              </w:rPr>
              <w:t xml:space="preserve">1（</w:t>
            </w:r>
            <w:r>
              <w:rPr>
                <w:rFonts w:ascii="宋体" w:hAnsi="宋体" w:cs="宋体" w:hint="eastAsia"/>
                <w:sz w:val="24"/>
                <w:lang w:val="zh-CN"/>
              </w:rPr>
              <w:t xml:space="preserve">供应商可任选其中</w:t>
            </w:r>
            <w:r>
              <w:rPr>
                <w:rFonts w:ascii="宋体" w:hAnsi="宋体" w:cs="宋体" w:hint="eastAsia"/>
                <w:sz w:val="24"/>
              </w:rPr>
              <w:t xml:space="preserve">1</w:t>
            </w:r>
            <w:r>
              <w:rPr>
                <w:rFonts w:ascii="宋体" w:hAnsi="宋体" w:cs="宋体" w:hint="eastAsia"/>
                <w:sz w:val="24"/>
                <w:lang w:val="zh-CN"/>
              </w:rPr>
              <w:t xml:space="preserve">项提供材料，</w:t>
            </w:r>
            <w:r>
              <w:rPr>
                <w:rFonts w:ascii="宋体" w:hAnsi="宋体" w:cs="宋体" w:hint="eastAsia"/>
                <w:sz w:val="24"/>
              </w:rPr>
              <w:t xml:space="preserve">2</w:t>
            </w:r>
            <w:r>
              <w:rPr>
                <w:rFonts w:ascii="宋体" w:hAnsi="宋体" w:cs="宋体" w:hint="eastAsia"/>
                <w:sz w:val="24"/>
                <w:lang w:val="zh-CN"/>
              </w:rPr>
              <w:t xml:space="preserve">选</w:t>
            </w:r>
            <w:r>
              <w:rPr>
                <w:rFonts w:ascii="宋体" w:hAnsi="宋体" w:cs="宋体" w:hint="eastAsia"/>
                <w:sz w:val="24"/>
              </w:rPr>
              <w:t xml:space="preserve">1</w:t>
            </w:r>
            <w:r>
              <w:rPr>
                <w:rFonts w:ascii="宋体" w:hAnsi="宋体" w:cs="宋体" w:hint="eastAsia"/>
                <w:sz w:val="24"/>
                <w:lang w:val="zh-CN"/>
              </w:rPr>
              <w:t xml:space="preserve">）</w:t>
            </w:r>
          </w:p>
        </w:tc>
        <w:tc>
          <w:tcPr>
            <w:tcW w:w="465" w:type="pct"/>
            <w:vMerge w:val="restart"/>
            <w:tcBorders>
              <w:top w:val="single" w:sz="4" w:space="0" w:color="auto"/>
              <w:left w:val="single" w:sz="4" w:space="0" w:color="auto"/>
              <w:bottom w:val="single" w:sz="4" w:space="0" w:color="auto"/>
              <w:right w:val="single" w:sz="4" w:space="0" w:color="auto"/>
            </w:tcBorders>
            <w:noWrap w:val="1"/>
            <w:tcMar>
              <w:top w:w="0" w:type="dxa"/>
              <w:left w:w="108" w:type="dxa"/>
              <w:bottom w:w="0" w:type="dxa"/>
              <w:right w:w="108" w:type="dxa"/>
            </w:tcMar>
            <w:vAlign w:val="center"/>
          </w:tcPr>
          <w:p>
            <w:pPr>
              <w:spacing w:line="340" w:lineRule="exact"/>
              <w:rPr>
                <w:rFonts w:ascii="宋体" w:hAnsi="宋体" w:cs="宋体"/>
                <w:sz w:val="24"/>
                <w:lang w:val="zh-CN"/>
              </w:rPr>
            </w:pPr>
            <w:r>
              <w:rPr>
                <w:rFonts w:ascii="宋体" w:hAnsi="宋体" w:cs="宋体" w:hint="eastAsia"/>
                <w:sz w:val="24"/>
                <w:lang w:val="zh-CN"/>
              </w:rPr>
              <w:t xml:space="preserve">（</w:t>
            </w:r>
            <w:r>
              <w:rPr>
                <w:rFonts w:ascii="宋体" w:hAnsi="宋体" w:cs="宋体" w:hint="eastAsia"/>
                <w:sz w:val="24"/>
              </w:rPr>
              <w:t xml:space="preserve">1</w:t>
            </w:r>
            <w:r>
              <w:rPr>
                <w:rFonts w:ascii="宋体" w:hAnsi="宋体" w:cs="宋体" w:hint="eastAsia"/>
                <w:sz w:val="24"/>
                <w:lang w:val="zh-CN"/>
              </w:rPr>
              <w:t xml:space="preserve">）</w:t>
            </w:r>
          </w:p>
        </w:tc>
        <w:tc>
          <w:tcPr>
            <w:tcW w:w="2443" w:type="pct"/>
            <w:tcBorders>
              <w:top w:val="single" w:sz="4" w:space="0" w:color="auto"/>
              <w:left w:val="single" w:sz="4" w:space="0" w:color="auto"/>
              <w:bottom w:val="single" w:sz="4" w:space="0" w:color="auto"/>
              <w:right w:val="single" w:sz="4" w:space="0" w:color="auto"/>
            </w:tcBorders>
            <w:noWrap w:val="1"/>
            <w:tcMar>
              <w:top w:w="0" w:type="dxa"/>
              <w:left w:w="108" w:type="dxa"/>
              <w:bottom w:w="0" w:type="dxa"/>
              <w:right w:w="108" w:type="dxa"/>
            </w:tcMar>
            <w:vAlign w:val="center"/>
          </w:tcPr>
          <w:p>
            <w:pPr>
              <w:spacing w:line="340" w:lineRule="exact"/>
              <w:rPr>
                <w:rFonts w:ascii="宋体" w:hAnsi="宋体" w:cs="宋体"/>
                <w:sz w:val="24"/>
                <w:lang w:val="zh-CN"/>
              </w:rPr>
            </w:pPr>
            <w:r>
              <w:rPr>
                <w:rFonts w:ascii="宋体" w:hAnsi="宋体" w:cs="宋体" w:hint="eastAsia"/>
                <w:sz w:val="24"/>
                <w:lang w:val="zh-CN"/>
              </w:rPr>
              <w:t xml:space="preserve">法定代表人资格证明（格式按照示范格式一要求）</w:t>
            </w:r>
          </w:p>
        </w:tc>
        <w:tc>
          <w:tcPr>
            <w:tcW w:w="1147" w:type="pct"/>
            <w:tcBorders>
              <w:top w:val="single" w:sz="4" w:space="0" w:color="auto"/>
              <w:left w:val="single" w:sz="4" w:space="0" w:color="auto"/>
              <w:bottom w:val="single" w:sz="4" w:space="0" w:color="auto"/>
              <w:right w:val="single" w:sz="4" w:space="0" w:color="auto"/>
            </w:tcBorders>
            <w:noWrap w:val="1"/>
            <w:tcMar>
              <w:top w:w="0" w:type="dxa"/>
              <w:left w:w="108" w:type="dxa"/>
              <w:bottom w:w="0" w:type="dxa"/>
              <w:right w:w="108" w:type="dxa"/>
            </w:tcMar>
            <w:vAlign w:val="center"/>
          </w:tcPr>
          <w:p>
            <w:pPr>
              <w:spacing w:line="340" w:lineRule="exact"/>
              <w:rPr>
                <w:rFonts w:ascii="宋体" w:hAnsi="宋体" w:cs="宋体"/>
                <w:sz w:val="24"/>
                <w:lang w:val="zh-CN"/>
              </w:rPr>
            </w:pPr>
            <w:r>
              <w:rPr>
                <w:rFonts w:ascii="宋体" w:hAnsi="宋体" w:cs="宋体" w:hint="eastAsia"/>
                <w:kern w:val="0"/>
                <w:sz w:val="24"/>
              </w:rPr>
              <w:t xml:space="preserve">扫描件上传至电子标书</w:t>
            </w:r>
          </w:p>
        </w:tc>
      </w:tr>
      <w:tr>
        <w:tblPrEx>
          <w:tblW w:w="5000" w:type="pct"/>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Ex>
        <w:trPr>
          <w:trHeight w:val="840"/>
          <w:jc w:val="center"/>
        </w:trPr>
        <w:tc>
          <w:tcPr>
            <w:tcW w:w="942" w:type="pct"/>
            <w:vMerge/>
            <w:tcBorders>
              <w:top w:val="single" w:sz="4" w:space="0" w:color="auto"/>
              <w:left w:val="single" w:sz="4" w:space="0" w:color="auto"/>
              <w:bottom w:val="single" w:sz="4" w:space="0" w:color="auto"/>
              <w:right w:val="single" w:sz="4" w:space="0" w:color="auto"/>
            </w:tcBorders>
            <w:noWrap w:val="1"/>
            <w:tcMar>
              <w:top w:w="0" w:type="dxa"/>
              <w:left w:w="108" w:type="dxa"/>
              <w:bottom w:w="0" w:type="dxa"/>
              <w:right w:w="108" w:type="dxa"/>
            </w:tcMar>
            <w:vAlign w:val="center"/>
          </w:tcPr>
          <w:p>
            <w:pPr>
              <w:spacing w:line="340" w:lineRule="exact"/>
              <w:ind w:firstLine="360" w:firstLineChars="150"/>
              <w:rPr>
                <w:rFonts w:ascii="宋体" w:hAnsi="宋体" w:cs="宋体"/>
                <w:sz w:val="24"/>
                <w:lang w:val="zh-CN"/>
              </w:rPr>
            </w:pPr>
          </w:p>
        </w:tc>
        <w:tc>
          <w:tcPr>
            <w:tcW w:w="465" w:type="pct"/>
            <w:vMerge/>
            <w:tcBorders>
              <w:top w:val="single" w:sz="4" w:space="0" w:color="auto"/>
              <w:left w:val="single" w:sz="4" w:space="0" w:color="auto"/>
              <w:bottom w:val="single" w:sz="4" w:space="0" w:color="auto"/>
              <w:right w:val="single" w:sz="4" w:space="0" w:color="auto"/>
            </w:tcBorders>
            <w:noWrap w:val="1"/>
            <w:tcMar>
              <w:top w:w="0" w:type="dxa"/>
              <w:left w:w="108" w:type="dxa"/>
              <w:bottom w:w="0" w:type="dxa"/>
              <w:right w:w="108" w:type="dxa"/>
            </w:tcMar>
            <w:vAlign w:val="center"/>
          </w:tcPr>
          <w:p>
            <w:pPr>
              <w:spacing w:line="340" w:lineRule="exact"/>
              <w:ind w:firstLine="360" w:firstLineChars="150"/>
              <w:rPr>
                <w:rFonts w:ascii="宋体" w:hAnsi="宋体" w:cs="宋体"/>
                <w:sz w:val="24"/>
                <w:lang w:val="zh-CN"/>
              </w:rPr>
            </w:pPr>
          </w:p>
        </w:tc>
        <w:tc>
          <w:tcPr>
            <w:tcW w:w="2443" w:type="pct"/>
            <w:tcBorders>
              <w:top w:val="single" w:sz="4" w:space="0" w:color="auto"/>
              <w:left w:val="single" w:sz="4" w:space="0" w:color="auto"/>
              <w:bottom w:val="single" w:sz="4" w:space="0" w:color="auto"/>
              <w:right w:val="single" w:sz="4" w:space="0" w:color="auto"/>
            </w:tcBorders>
            <w:noWrap w:val="1"/>
            <w:tcMar>
              <w:top w:w="0" w:type="dxa"/>
              <w:left w:w="108" w:type="dxa"/>
              <w:bottom w:w="0" w:type="dxa"/>
              <w:right w:w="108" w:type="dxa"/>
            </w:tcMar>
            <w:vAlign w:val="center"/>
          </w:tcPr>
          <w:p>
            <w:pPr>
              <w:spacing w:line="340" w:lineRule="exact"/>
              <w:rPr>
                <w:rFonts w:ascii="宋体" w:hAnsi="宋体" w:cs="宋体"/>
                <w:sz w:val="24"/>
                <w:lang w:val="zh-CN"/>
              </w:rPr>
            </w:pPr>
            <w:r>
              <w:rPr>
                <w:rFonts w:ascii="宋体" w:hAnsi="宋体" w:cs="宋体" w:hint="eastAsia"/>
                <w:sz w:val="24"/>
                <w:lang w:val="zh-CN"/>
              </w:rPr>
              <w:t xml:space="preserve">法定代表人身份证</w:t>
            </w:r>
          </w:p>
        </w:tc>
        <w:tc>
          <w:tcPr>
            <w:tcW w:w="1147" w:type="pct"/>
            <w:tcBorders>
              <w:top w:val="single" w:sz="4" w:space="0" w:color="auto"/>
              <w:left w:val="single" w:sz="4" w:space="0" w:color="auto"/>
              <w:bottom w:val="single" w:sz="4" w:space="0" w:color="auto"/>
              <w:right w:val="single" w:sz="4" w:space="0" w:color="auto"/>
            </w:tcBorders>
            <w:noWrap w:val="1"/>
            <w:tcMar>
              <w:top w:w="0" w:type="dxa"/>
              <w:left w:w="108" w:type="dxa"/>
              <w:bottom w:w="0" w:type="dxa"/>
              <w:right w:w="108" w:type="dxa"/>
            </w:tcMar>
            <w:vAlign w:val="center"/>
          </w:tcPr>
          <w:p>
            <w:pPr>
              <w:spacing w:line="340" w:lineRule="exact"/>
              <w:rPr>
                <w:rFonts w:ascii="宋体" w:hAnsi="宋体" w:cs="宋体"/>
                <w:sz w:val="24"/>
                <w:lang w:val="zh-CN"/>
              </w:rPr>
            </w:pPr>
            <w:r>
              <w:rPr>
                <w:rFonts w:ascii="宋体" w:hAnsi="宋体" w:cs="宋体" w:hint="eastAsia"/>
                <w:kern w:val="0"/>
                <w:sz w:val="24"/>
              </w:rPr>
              <w:t xml:space="preserve">扫描件上传至电子标书</w:t>
            </w:r>
          </w:p>
        </w:tc>
      </w:tr>
      <w:tr>
        <w:tblPrEx>
          <w:tblW w:w="5000" w:type="pct"/>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Ex>
        <w:trPr>
          <w:trHeight w:val="1003"/>
          <w:jc w:val="center"/>
        </w:trPr>
        <w:tc>
          <w:tcPr>
            <w:tcW w:w="942" w:type="pct"/>
            <w:vMerge/>
            <w:tcBorders>
              <w:top w:val="single" w:sz="4" w:space="0" w:color="auto"/>
              <w:left w:val="single" w:sz="4" w:space="0" w:color="auto"/>
              <w:bottom w:val="single" w:sz="8" w:space="0" w:color="auto"/>
              <w:right w:val="single" w:sz="8" w:space="0" w:color="auto"/>
            </w:tcBorders>
            <w:noWrap w:val="1"/>
            <w:tcMar>
              <w:top w:w="0" w:type="dxa"/>
              <w:left w:w="108" w:type="dxa"/>
              <w:bottom w:w="0" w:type="dxa"/>
              <w:right w:w="108" w:type="dxa"/>
            </w:tcMar>
            <w:vAlign w:val="center"/>
          </w:tcPr>
          <w:p>
            <w:pPr>
              <w:spacing w:line="340" w:lineRule="exact"/>
              <w:ind w:firstLine="360" w:firstLineChars="150"/>
              <w:rPr>
                <w:rFonts w:ascii="宋体" w:hAnsi="宋体" w:cs="宋体"/>
                <w:sz w:val="24"/>
                <w:lang w:val="zh-CN"/>
              </w:rPr>
            </w:pPr>
          </w:p>
        </w:tc>
        <w:tc>
          <w:tcPr>
            <w:tcW w:w="465" w:type="pct"/>
            <w:vMerge w:val="restart"/>
            <w:tcBorders>
              <w:top w:val="single" w:sz="4" w:space="0" w:color="auto"/>
              <w:left w:val="nil"/>
              <w:bottom w:val="single" w:sz="8" w:space="0" w:color="auto"/>
              <w:right w:val="single" w:sz="8" w:space="0" w:color="auto"/>
            </w:tcBorders>
            <w:noWrap w:val="1"/>
            <w:tcMar>
              <w:top w:w="0" w:type="dxa"/>
              <w:left w:w="108" w:type="dxa"/>
              <w:bottom w:w="0" w:type="dxa"/>
              <w:right w:w="108" w:type="dxa"/>
            </w:tcMar>
            <w:vAlign w:val="center"/>
          </w:tcPr>
          <w:p>
            <w:pPr>
              <w:spacing w:line="340" w:lineRule="exact"/>
              <w:rPr>
                <w:rFonts w:ascii="宋体" w:hAnsi="宋体" w:cs="宋体"/>
                <w:sz w:val="24"/>
                <w:lang w:val="zh-CN"/>
              </w:rPr>
            </w:pPr>
            <w:r>
              <w:rPr>
                <w:rFonts w:ascii="宋体" w:hAnsi="宋体" w:cs="宋体" w:hint="eastAsia"/>
                <w:sz w:val="24"/>
                <w:lang w:val="zh-CN"/>
              </w:rPr>
              <w:t xml:space="preserve">（</w:t>
            </w:r>
            <w:r>
              <w:rPr>
                <w:rFonts w:ascii="宋体" w:hAnsi="宋体" w:cs="宋体" w:hint="eastAsia"/>
                <w:sz w:val="24"/>
              </w:rPr>
              <w:t xml:space="preserve">2</w:t>
            </w:r>
            <w:r>
              <w:rPr>
                <w:rFonts w:ascii="宋体" w:hAnsi="宋体" w:cs="宋体" w:hint="eastAsia"/>
                <w:sz w:val="24"/>
                <w:lang w:val="zh-CN"/>
              </w:rPr>
              <w:t xml:space="preserve">）</w:t>
            </w:r>
          </w:p>
        </w:tc>
        <w:tc>
          <w:tcPr>
            <w:tcW w:w="2443" w:type="pct"/>
            <w:tcBorders>
              <w:top w:val="single" w:sz="4" w:space="0" w:color="auto"/>
              <w:left w:val="nil"/>
              <w:bottom w:val="single" w:sz="8" w:space="0" w:color="auto"/>
              <w:right w:val="single" w:sz="8" w:space="0" w:color="auto"/>
            </w:tcBorders>
            <w:noWrap w:val="1"/>
            <w:tcMar>
              <w:top w:w="0" w:type="dxa"/>
              <w:left w:w="108" w:type="dxa"/>
              <w:bottom w:w="0" w:type="dxa"/>
              <w:right w:w="108" w:type="dxa"/>
            </w:tcMar>
            <w:vAlign w:val="center"/>
          </w:tcPr>
          <w:p>
            <w:pPr>
              <w:spacing w:line="340" w:lineRule="exact"/>
              <w:rPr>
                <w:rFonts w:ascii="宋体" w:hAnsi="宋体" w:cs="宋体"/>
                <w:sz w:val="24"/>
                <w:lang w:val="zh-CN"/>
              </w:rPr>
            </w:pPr>
            <w:r>
              <w:rPr>
                <w:rFonts w:ascii="宋体" w:hAnsi="宋体" w:cs="宋体" w:hint="eastAsia"/>
                <w:sz w:val="24"/>
                <w:lang w:val="zh-CN"/>
              </w:rPr>
              <w:t xml:space="preserve">授权委托书（格式按照示范格式二要求）</w:t>
            </w:r>
          </w:p>
        </w:tc>
        <w:tc>
          <w:tcPr>
            <w:tcW w:w="1147" w:type="pct"/>
            <w:tcBorders>
              <w:top w:val="single" w:sz="4" w:space="0" w:color="auto"/>
              <w:left w:val="nil"/>
              <w:bottom w:val="single" w:sz="8" w:space="0" w:color="auto"/>
              <w:right w:val="single" w:sz="8" w:space="0" w:color="auto"/>
            </w:tcBorders>
            <w:noWrap w:val="1"/>
            <w:tcMar>
              <w:top w:w="0" w:type="dxa"/>
              <w:left w:w="108" w:type="dxa"/>
              <w:bottom w:w="0" w:type="dxa"/>
              <w:right w:w="108" w:type="dxa"/>
            </w:tcMar>
            <w:vAlign w:val="center"/>
          </w:tcPr>
          <w:p>
            <w:pPr>
              <w:spacing w:line="340" w:lineRule="exact"/>
              <w:rPr>
                <w:rFonts w:ascii="宋体" w:hAnsi="宋体" w:cs="宋体"/>
                <w:sz w:val="24"/>
                <w:lang w:val="zh-CN"/>
              </w:rPr>
            </w:pPr>
            <w:r>
              <w:rPr>
                <w:rFonts w:ascii="宋体" w:hAnsi="宋体" w:cs="宋体" w:hint="eastAsia"/>
                <w:kern w:val="0"/>
                <w:sz w:val="24"/>
              </w:rPr>
              <w:t xml:space="preserve">扫描件上传至电子标书</w:t>
            </w:r>
          </w:p>
        </w:tc>
      </w:tr>
      <w:tr>
        <w:tblPrEx>
          <w:tblW w:w="5000" w:type="pct"/>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Ex>
        <w:trPr>
          <w:trHeight w:val="778"/>
          <w:jc w:val="center"/>
        </w:trPr>
        <w:tc>
          <w:tcPr>
            <w:tcW w:w="942" w:type="pct"/>
            <w:vMerge/>
            <w:tcBorders>
              <w:top w:val="nil"/>
              <w:left w:val="single" w:sz="4" w:space="0" w:color="auto"/>
              <w:bottom w:val="single" w:sz="8" w:space="0" w:color="auto"/>
              <w:right w:val="single" w:sz="8" w:space="0" w:color="auto"/>
            </w:tcBorders>
            <w:noWrap w:val="1"/>
            <w:tcMar>
              <w:top w:w="0" w:type="dxa"/>
              <w:left w:w="108" w:type="dxa"/>
              <w:bottom w:w="0" w:type="dxa"/>
              <w:right w:w="108" w:type="dxa"/>
            </w:tcMar>
            <w:vAlign w:val="center"/>
          </w:tcPr>
          <w:p>
            <w:pPr>
              <w:spacing w:line="340" w:lineRule="exact"/>
              <w:ind w:firstLine="360" w:firstLineChars="150"/>
              <w:rPr>
                <w:rFonts w:ascii="宋体" w:hAnsi="宋体" w:cs="宋体"/>
                <w:sz w:val="24"/>
                <w:lang w:val="zh-CN"/>
              </w:rPr>
            </w:pPr>
          </w:p>
        </w:tc>
        <w:tc>
          <w:tcPr>
            <w:tcW w:w="465" w:type="pct"/>
            <w:vMerge/>
            <w:tcBorders>
              <w:top w:val="nil"/>
              <w:left w:val="nil"/>
              <w:bottom w:val="single" w:sz="8" w:space="0" w:color="auto"/>
              <w:right w:val="single" w:sz="8" w:space="0" w:color="auto"/>
            </w:tcBorders>
            <w:noWrap w:val="1"/>
            <w:tcMar>
              <w:top w:w="0" w:type="dxa"/>
              <w:left w:w="108" w:type="dxa"/>
              <w:bottom w:w="0" w:type="dxa"/>
              <w:right w:w="108" w:type="dxa"/>
            </w:tcMar>
            <w:vAlign w:val="center"/>
          </w:tcPr>
          <w:p>
            <w:pPr>
              <w:spacing w:line="340" w:lineRule="exact"/>
              <w:ind w:firstLine="360" w:firstLineChars="150"/>
              <w:rPr>
                <w:rFonts w:ascii="宋体" w:hAnsi="宋体" w:cs="宋体"/>
                <w:sz w:val="24"/>
                <w:lang w:val="zh-CN"/>
              </w:rPr>
            </w:pPr>
          </w:p>
        </w:tc>
        <w:tc>
          <w:tcPr>
            <w:tcW w:w="2443" w:type="pct"/>
            <w:tcBorders>
              <w:top w:val="nil"/>
              <w:left w:val="nil"/>
              <w:bottom w:val="single" w:sz="8" w:space="0" w:color="auto"/>
              <w:right w:val="single" w:sz="8" w:space="0" w:color="auto"/>
            </w:tcBorders>
            <w:noWrap w:val="1"/>
            <w:tcMar>
              <w:top w:w="0" w:type="dxa"/>
              <w:left w:w="108" w:type="dxa"/>
              <w:bottom w:w="0" w:type="dxa"/>
              <w:right w:w="108" w:type="dxa"/>
            </w:tcMar>
            <w:vAlign w:val="center"/>
          </w:tcPr>
          <w:p>
            <w:pPr>
              <w:spacing w:line="340" w:lineRule="exact"/>
              <w:rPr>
                <w:rFonts w:ascii="宋体" w:hAnsi="宋体" w:cs="宋体"/>
                <w:sz w:val="24"/>
                <w:lang w:val="zh-CN"/>
              </w:rPr>
            </w:pPr>
            <w:r>
              <w:rPr>
                <w:rFonts w:ascii="宋体" w:hAnsi="宋体" w:cs="宋体" w:hint="eastAsia"/>
                <w:sz w:val="24"/>
                <w:lang w:val="zh-CN"/>
              </w:rPr>
              <w:t xml:space="preserve">受托人身份证</w:t>
            </w:r>
          </w:p>
        </w:tc>
        <w:tc>
          <w:tcPr>
            <w:tcW w:w="1147" w:type="pct"/>
            <w:tcBorders>
              <w:top w:val="nil"/>
              <w:left w:val="nil"/>
              <w:bottom w:val="single" w:sz="8" w:space="0" w:color="auto"/>
              <w:right w:val="single" w:sz="8" w:space="0" w:color="auto"/>
            </w:tcBorders>
            <w:noWrap w:val="1"/>
            <w:tcMar>
              <w:top w:w="0" w:type="dxa"/>
              <w:left w:w="108" w:type="dxa"/>
              <w:bottom w:w="0" w:type="dxa"/>
              <w:right w:w="108" w:type="dxa"/>
            </w:tcMar>
            <w:vAlign w:val="center"/>
          </w:tcPr>
          <w:p>
            <w:pPr>
              <w:spacing w:line="340" w:lineRule="exact"/>
              <w:rPr>
                <w:rFonts w:ascii="宋体" w:hAnsi="宋体" w:cs="宋体"/>
                <w:sz w:val="24"/>
                <w:lang w:val="zh-CN"/>
              </w:rPr>
            </w:pPr>
            <w:r>
              <w:rPr>
                <w:rFonts w:ascii="宋体" w:hAnsi="宋体" w:cs="宋体" w:hint="eastAsia"/>
                <w:kern w:val="0"/>
                <w:sz w:val="24"/>
              </w:rPr>
              <w:t xml:space="preserve">扫描件上传至电子标书</w:t>
            </w:r>
          </w:p>
        </w:tc>
      </w:tr>
      <w:tr>
        <w:tblPrEx>
          <w:tblW w:w="5000" w:type="pct"/>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Ex>
        <w:trPr>
          <w:trHeight w:val="582"/>
          <w:jc w:val="center"/>
        </w:trPr>
        <w:tc>
          <w:tcPr>
            <w:tcW w:w="942" w:type="pct"/>
            <w:tcBorders>
              <w:top w:val="nil"/>
              <w:left w:val="single" w:sz="8" w:space="0" w:color="auto"/>
              <w:bottom w:val="single" w:sz="8" w:space="0" w:color="auto"/>
              <w:right w:val="single" w:sz="8" w:space="0" w:color="auto"/>
            </w:tcBorders>
            <w:noWrap w:val="1"/>
            <w:tcMar>
              <w:top w:w="0" w:type="dxa"/>
              <w:left w:w="108" w:type="dxa"/>
              <w:bottom w:w="0" w:type="dxa"/>
              <w:right w:w="108" w:type="dxa"/>
            </w:tcMar>
            <w:vAlign w:val="center"/>
          </w:tcPr>
          <w:p>
            <w:pPr>
              <w:spacing w:line="340" w:lineRule="exact"/>
              <w:ind w:firstLine="720" w:firstLineChars="300"/>
              <w:rPr>
                <w:rFonts w:ascii="宋体" w:hAnsi="宋体" w:cs="宋体"/>
                <w:sz w:val="24"/>
                <w:lang w:val="zh-CN"/>
              </w:rPr>
            </w:pPr>
            <w:r>
              <w:rPr>
                <w:rFonts w:ascii="宋体" w:hAnsi="宋体" w:cs="宋体" w:hint="eastAsia"/>
                <w:sz w:val="24"/>
              </w:rPr>
              <w:t xml:space="preserve">2</w:t>
            </w:r>
          </w:p>
        </w:tc>
        <w:tc>
          <w:tcPr>
            <w:tcW w:type="auto" w:w="0"/>
            <w:gridSpan w:val="2"/>
            <w:tcBorders>
              <w:top w:val="nil"/>
              <w:left w:val="nil"/>
              <w:bottom w:val="single" w:sz="8" w:space="0" w:color="auto"/>
              <w:right w:val="single" w:sz="8" w:space="0" w:color="auto"/>
            </w:tcBorders>
            <w:noWrap w:val="1"/>
            <w:tcMar>
              <w:top w:w="0" w:type="dxa"/>
              <w:left w:w="108" w:type="dxa"/>
              <w:bottom w:w="0" w:type="dxa"/>
              <w:right w:w="108" w:type="dxa"/>
            </w:tcMar>
            <w:vAlign w:val="center"/>
          </w:tcPr>
          <w:p>
            <w:pPr>
              <w:spacing w:line="340" w:lineRule="exact"/>
              <w:rPr>
                <w:rFonts w:ascii="宋体" w:hAnsi="宋体" w:cs="宋体"/>
                <w:sz w:val="24"/>
                <w:lang w:val="zh-CN"/>
              </w:rPr>
            </w:pPr>
            <w:r>
              <w:rPr>
                <w:rFonts w:ascii="宋体" w:hAnsi="宋体" w:cs="宋体" w:hint="eastAsia"/>
                <w:sz w:val="24"/>
                <w:lang w:val="zh-CN"/>
              </w:rPr>
              <w:t xml:space="preserve">有效的营业执照</w:t>
            </w:r>
          </w:p>
        </w:tc>
        <w:tc>
          <w:tcPr>
            <w:tcW w:w="1147" w:type="pct"/>
            <w:tcBorders>
              <w:top w:val="nil"/>
              <w:left w:val="nil"/>
              <w:bottom w:val="single" w:sz="8" w:space="0" w:color="auto"/>
              <w:right w:val="single" w:sz="8" w:space="0" w:color="auto"/>
            </w:tcBorders>
            <w:noWrap w:val="1"/>
            <w:tcMar>
              <w:top w:w="0" w:type="dxa"/>
              <w:left w:w="108" w:type="dxa"/>
              <w:bottom w:w="0" w:type="dxa"/>
              <w:right w:w="108" w:type="dxa"/>
            </w:tcMar>
            <w:vAlign w:val="center"/>
          </w:tcPr>
          <w:p>
            <w:pPr>
              <w:spacing w:line="340" w:lineRule="exact"/>
              <w:rPr>
                <w:rFonts w:ascii="宋体" w:hAnsi="宋体" w:cs="宋体"/>
                <w:sz w:val="24"/>
                <w:lang w:val="zh-CN"/>
              </w:rPr>
            </w:pPr>
            <w:r>
              <w:rPr>
                <w:rFonts w:ascii="宋体" w:hAnsi="宋体" w:cs="宋体" w:hint="eastAsia"/>
                <w:kern w:val="0"/>
                <w:sz w:val="24"/>
              </w:rPr>
              <w:t xml:space="preserve">扫描件上传至电子标书</w:t>
            </w:r>
          </w:p>
        </w:tc>
      </w:tr>
      <w:tr>
        <w:tblPrEx>
          <w:tblW w:w="5000" w:type="pct"/>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Ex>
        <w:trPr>
          <w:trHeight w:val="606"/>
          <w:jc w:val="center"/>
        </w:trPr>
        <w:tc>
          <w:tcPr>
            <w:tcW w:w="942" w:type="pct"/>
            <w:tcBorders>
              <w:top w:val="single" w:sz="4" w:space="0" w:color="auto"/>
              <w:left w:val="single" w:sz="8" w:space="0" w:color="auto"/>
              <w:bottom w:val="single" w:sz="4" w:space="0" w:color="auto"/>
              <w:right w:val="single" w:sz="8" w:space="0" w:color="auto"/>
            </w:tcBorders>
            <w:noWrap w:val="1"/>
            <w:tcMar>
              <w:top w:w="0" w:type="dxa"/>
              <w:left w:w="108" w:type="dxa"/>
              <w:bottom w:w="0" w:type="dxa"/>
              <w:right w:w="108" w:type="dxa"/>
            </w:tcMar>
            <w:vAlign w:val="center"/>
          </w:tcPr>
          <w:p>
            <w:pPr>
              <w:spacing w:line="340" w:lineRule="exact"/>
              <w:ind w:firstLine="840" w:firstLineChars="350"/>
              <w:rPr>
                <w:rFonts w:ascii="宋体" w:hAnsi="宋体" w:cs="宋体"/>
                <w:sz w:val="24"/>
                <w:lang w:val="zh-CN"/>
              </w:rPr>
            </w:pPr>
            <w:r>
              <w:rPr>
                <w:rFonts w:ascii="宋体" w:hAnsi="宋体" w:cs="宋体" w:hint="eastAsia"/>
                <w:sz w:val="24"/>
              </w:rPr>
              <w:t xml:space="preserve">3</w:t>
            </w:r>
          </w:p>
        </w:tc>
        <w:tc>
          <w:tcPr>
            <w:tcW w:type="auto" w:w="0"/>
            <w:gridSpan w:val="2"/>
            <w:tcBorders>
              <w:top w:val="single" w:sz="4" w:space="0" w:color="auto"/>
              <w:left w:val="nil"/>
              <w:bottom w:val="single" w:sz="4" w:space="0" w:color="auto"/>
              <w:right w:val="single" w:sz="8" w:space="0" w:color="auto"/>
            </w:tcBorders>
            <w:noWrap w:val="1"/>
            <w:tcMar>
              <w:top w:w="0" w:type="dxa"/>
              <w:left w:w="108" w:type="dxa"/>
              <w:bottom w:w="0" w:type="dxa"/>
              <w:right w:w="108" w:type="dxa"/>
            </w:tcMar>
            <w:vAlign w:val="center"/>
          </w:tcPr>
          <w:p>
            <w:pPr>
              <w:spacing w:line="340" w:lineRule="exact"/>
              <w:rPr>
                <w:rFonts w:ascii="宋体" w:hAnsi="宋体" w:cs="宋体"/>
                <w:sz w:val="24"/>
                <w:lang w:val="zh-CN"/>
              </w:rPr>
            </w:pPr>
            <w:r>
              <w:rPr>
                <w:rFonts w:ascii="宋体" w:hAnsi="宋体" w:cs="宋体" w:hint="eastAsia"/>
                <w:sz w:val="24"/>
                <w:lang w:val="zh-CN"/>
              </w:rPr>
              <w:t xml:space="preserve">承诺书（格式按照示范格式三要求）</w:t>
            </w:r>
          </w:p>
        </w:tc>
        <w:tc>
          <w:tcPr>
            <w:tcW w:w="1147" w:type="pct"/>
            <w:tcBorders>
              <w:top w:val="single" w:sz="4" w:space="0" w:color="auto"/>
              <w:left w:val="nil"/>
              <w:bottom w:val="single" w:sz="4" w:space="0" w:color="auto"/>
              <w:right w:val="single" w:sz="8" w:space="0" w:color="auto"/>
            </w:tcBorders>
            <w:noWrap w:val="1"/>
            <w:tcMar>
              <w:top w:w="0" w:type="dxa"/>
              <w:left w:w="108" w:type="dxa"/>
              <w:bottom w:w="0" w:type="dxa"/>
              <w:right w:w="108" w:type="dxa"/>
            </w:tcMar>
            <w:vAlign w:val="center"/>
          </w:tcPr>
          <w:p>
            <w:pPr>
              <w:spacing w:line="340" w:lineRule="exact"/>
              <w:rPr>
                <w:rFonts w:ascii="宋体" w:hAnsi="宋体" w:cs="宋体"/>
                <w:sz w:val="24"/>
                <w:lang w:val="zh-CN"/>
              </w:rPr>
            </w:pPr>
            <w:r>
              <w:rPr>
                <w:rFonts w:ascii="宋体" w:hAnsi="宋体" w:cs="宋体" w:hint="eastAsia"/>
                <w:kern w:val="0"/>
                <w:sz w:val="24"/>
              </w:rPr>
              <w:t xml:space="preserve">扫描件上传至电子标书</w:t>
            </w:r>
          </w:p>
        </w:tc>
      </w:tr>
      <w:tr>
        <w:tblPrEx>
          <w:tblW w:w="5000" w:type="pct"/>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0" w:type="dxa"/>
            <w:bottom w:w="0" w:type="dxa"/>
            <w:right w:w="0" w:type="dxa"/>
          </w:tblCellMar>
        </w:tblPrEx>
        <w:trPr>
          <w:trHeight w:val="831"/>
          <w:jc w:val="center"/>
        </w:trPr>
        <w:tc>
          <w:tcPr>
            <w:tcW w:w="942" w:type="pct"/>
            <w:tcBorders>
              <w:top w:val="single" w:sz="4" w:space="0" w:color="auto"/>
              <w:left w:val="single" w:sz="8" w:space="0" w:color="auto"/>
              <w:bottom w:val="single" w:sz="4" w:space="0" w:color="auto"/>
              <w:right w:val="single" w:sz="8" w:space="0" w:color="auto"/>
            </w:tcBorders>
            <w:noWrap w:val="1"/>
            <w:tcMar>
              <w:top w:w="0" w:type="dxa"/>
              <w:left w:w="108" w:type="dxa"/>
              <w:bottom w:w="0" w:type="dxa"/>
              <w:right w:w="108" w:type="dxa"/>
            </w:tcMar>
            <w:vAlign w:val="center"/>
          </w:tcPr>
          <w:p>
            <w:pPr>
              <w:spacing w:line="340" w:lineRule="exact"/>
              <w:ind w:firstLine="840" w:firstLineChars="350"/>
              <w:rPr>
                <w:rFonts w:ascii="宋体" w:hAnsi="宋体" w:cs="宋体"/>
                <w:sz w:val="24"/>
              </w:rPr>
            </w:pPr>
            <w:r>
              <w:rPr>
                <w:rFonts w:ascii="宋体" w:hAnsi="宋体" w:cs="宋体" w:hint="eastAsia"/>
                <w:sz w:val="24"/>
              </w:rPr>
              <w:t xml:space="preserve">4</w:t>
            </w:r>
          </w:p>
        </w:tc>
        <w:tc>
          <w:tcPr>
            <w:tcW w:type="auto" w:w="0"/>
            <w:gridSpan w:val="3"/>
            <w:tcBorders>
              <w:top w:val="single" w:sz="4" w:space="0" w:color="auto"/>
              <w:left w:val="nil"/>
              <w:bottom w:val="single" w:sz="4" w:space="0" w:color="auto"/>
              <w:right w:val="single" w:sz="8" w:space="0" w:color="auto"/>
            </w:tcBorders>
            <w:noWrap w:val="1"/>
            <w:tcMar>
              <w:top w:w="0" w:type="dxa"/>
              <w:left w:w="108" w:type="dxa"/>
              <w:bottom w:w="0" w:type="dxa"/>
              <w:right w:w="108" w:type="dxa"/>
            </w:tcMar>
            <w:vAlign w:val="center"/>
          </w:tcPr>
          <w:p>
            <w:pPr>
              <w:spacing w:line="340" w:lineRule="exact"/>
              <w:rPr>
                <w:rFonts w:ascii="宋体" w:hAnsi="宋体" w:cs="宋体"/>
                <w:sz w:val="24"/>
              </w:rPr>
            </w:pPr>
            <w:r>
              <w:rPr>
                <w:rFonts w:ascii="宋体" w:hAnsi="宋体" w:cs="宋体" w:hint="eastAsia"/>
                <w:sz w:val="24"/>
              </w:rPr>
              <w:t xml:space="preserve">供应商未被“信用中国”网（www.creditchina.gov.cn）列入失信被执行人、重大税收违法案件当事人名单、政府采购严重违法失信行为记录名单。</w:t>
            </w:r>
          </w:p>
          <w:p>
            <w:pPr>
              <w:spacing w:line="340" w:lineRule="exact"/>
              <w:rPr>
                <w:rFonts w:ascii="宋体" w:hAnsi="宋体" w:cs="宋体"/>
                <w:sz w:val="24"/>
                <w:lang w:val="zh-CN"/>
              </w:rPr>
            </w:pPr>
            <w:r>
              <w:rPr>
                <w:rFonts w:ascii="宋体" w:hAnsi="宋体" w:cs="宋体" w:hint="eastAsia"/>
                <w:sz w:val="24"/>
              </w:rPr>
              <w:t xml:space="preserve">供应商未被“中国政府采购网”（www.ccgp.gov.cn）列入政府采购严重违法</w:t>
            </w:r>
            <w:r>
              <w:rPr>
                <w:rFonts w:ascii="宋体" w:hAnsi="宋体" w:cs="宋体" w:hint="eastAsia"/>
                <w:sz w:val="24"/>
                <w:lang w:val="zh-CN"/>
              </w:rPr>
              <w:t xml:space="preserve">失信行为记录名单。由采购人（采购代理单位）组织评委在资格审查时查询，一旦被查询存在上述失信行为记录名单的，将视为资格审查不通过。</w:t>
            </w:r>
          </w:p>
        </w:tc>
      </w:tr>
    </w:tbl>
    <w:p>
      <w:pPr>
        <w:snapToGrid w:val="0"/>
        <w:spacing w:line="400" w:lineRule="exact"/>
        <w:rPr>
          <w:rFonts w:ascii="宋体" w:hAnsi="宋体" w:cs="宋体"/>
          <w:color w:val="auto"/>
        </w:rPr>
      </w:pPr>
      <w:r>
        <w:rPr>
          <w:rFonts w:ascii="宋体" w:hAnsi="宋体" w:cs="宋体" w:hint="eastAsia"/>
          <w:color w:val="auto"/>
          <w:sz w:val="24"/>
        </w:rPr>
        <w:t xml:space="preserve">备注:本次招标采用资质后审方式，在整个采购过程中，由采购人及招标代理将对投标人的资质进行审查，若发现投标人的资质条件不符合招标文件要求，可随时取消其投标或中标资格。</w:t>
      </w:r>
    </w:p>
    <w:p>
      <w:pPr>
        <w:pStyle w:val="Heading2"/>
        <w:spacing w:before="0" w:after="0" w:line="400" w:lineRule="exact"/>
        <w:rPr>
          <w:rFonts w:ascii="宋体" w:eastAsia="宋体" w:hAnsi="宋体" w:cs="宋体"/>
          <w:b w:val="0"/>
          <w:color w:val="auto"/>
          <w:sz w:val="28"/>
          <w:szCs w:val="28"/>
        </w:rPr>
      </w:pPr>
      <w:bookmarkStart w:id="5" w:name="_Toc28359081"/>
      <w:bookmarkStart w:id="6" w:name="_Toc35393623"/>
      <w:bookmarkStart w:id="7" w:name="_Toc28359004"/>
      <w:bookmarkStart w:id="8" w:name="_Toc35393792"/>
      <w:r>
        <w:rPr>
          <w:rFonts w:ascii="宋体" w:eastAsia="宋体" w:hAnsi="宋体" w:cs="宋体" w:hint="eastAsia"/>
          <w:b w:val="0"/>
          <w:color w:val="auto"/>
          <w:sz w:val="28"/>
          <w:szCs w:val="28"/>
        </w:rPr>
        <w:t xml:space="preserve">三、获取招标文件</w:t>
      </w:r>
      <w:bookmarkEnd w:id="5"/>
      <w:bookmarkEnd w:id="6"/>
      <w:bookmarkEnd w:id="7"/>
      <w:bookmarkEnd w:id="8"/>
    </w:p>
    <w:p>
      <w:pPr>
        <w:spacing w:line="400" w:lineRule="exact"/>
        <w:ind w:firstLine="540"/>
        <w:rPr>
          <w:rFonts w:ascii="宋体" w:hAnsi="宋体" w:cs="宋体"/>
          <w:color w:val="auto"/>
          <w:sz w:val="24"/>
        </w:rPr>
      </w:pPr>
      <w:r>
        <w:rPr>
          <w:rFonts w:ascii="宋体" w:hAnsi="宋体" w:cs="宋体" w:hint="eastAsia"/>
          <w:color w:val="auto"/>
          <w:sz w:val="24"/>
        </w:rPr>
        <w:t xml:space="preserve">时间:</w:t>
      </w:r>
      <w:r>
        <w:rPr>
          <w:rFonts w:ascii="宋体" w:hAnsi="宋体" w:cs="宋体" w:hint="eastAsia"/>
          <w:color w:val="auto"/>
          <w:sz w:val="24"/>
          <w:u w:val="single"/>
        </w:rPr>
        <w:t xml:space="preserve">2</w:t>
      </w:r>
      <w:r>
        <w:rPr>
          <w:rFonts w:ascii="宋体" w:hAnsi="宋体" w:cs="宋体" w:hint="eastAsia"/>
          <w:color w:val="auto"/>
          <w:sz w:val="24"/>
          <w:highlight w:val="none"/>
          <w:u w:val="single"/>
        </w:rPr>
        <w:t xml:space="preserve">023年</w:t>
      </w:r>
      <w:r>
        <w:rPr>
          <w:rFonts w:ascii="宋体" w:hAnsi="宋体" w:cs="宋体" w:hint="eastAsia"/>
          <w:color w:val="auto"/>
          <w:sz w:val="24"/>
          <w:highlight w:val="none"/>
          <w:u w:val="single"/>
          <w:lang w:val="en-US" w:eastAsia="zh-CN"/>
        </w:rPr>
        <w:t xml:space="preserve">10</w:t>
      </w:r>
      <w:r>
        <w:rPr>
          <w:rFonts w:ascii="宋体" w:hAnsi="宋体" w:cs="宋体" w:hint="eastAsia"/>
          <w:color w:val="auto"/>
          <w:sz w:val="24"/>
          <w:highlight w:val="none"/>
          <w:u w:val="single"/>
        </w:rPr>
        <w:t xml:space="preserve">月</w:t>
      </w:r>
      <w:r>
        <w:rPr>
          <w:rFonts w:ascii="宋体" w:hAnsi="宋体" w:cs="宋体" w:hint="eastAsia"/>
          <w:color w:val="auto"/>
          <w:sz w:val="24"/>
          <w:highlight w:val="none"/>
          <w:u w:val="single"/>
          <w:lang w:val="en-US" w:eastAsia="zh-CN"/>
        </w:rPr>
        <w:t xml:space="preserve">31</w:t>
      </w:r>
      <w:r>
        <w:rPr>
          <w:rFonts w:ascii="宋体" w:hAnsi="宋体" w:cs="宋体" w:hint="eastAsia"/>
          <w:color w:val="auto"/>
          <w:sz w:val="24"/>
          <w:highlight w:val="none"/>
          <w:u w:val="single"/>
        </w:rPr>
        <w:t xml:space="preserve">日</w:t>
      </w:r>
      <w:r>
        <w:rPr>
          <w:rFonts w:ascii="宋体" w:hAnsi="宋体" w:cs="宋体" w:hint="eastAsia"/>
          <w:color w:val="auto"/>
          <w:sz w:val="24"/>
          <w:highlight w:val="none"/>
        </w:rPr>
        <w:t xml:space="preserve">至</w:t>
      </w:r>
      <w:r>
        <w:rPr>
          <w:rFonts w:ascii="宋体" w:hAnsi="宋体" w:cs="宋体" w:hint="eastAsia"/>
          <w:color w:val="auto"/>
          <w:sz w:val="24"/>
          <w:highlight w:val="none"/>
          <w:u w:val="single"/>
        </w:rPr>
        <w:t xml:space="preserve">2023年</w:t>
      </w:r>
      <w:r>
        <w:rPr>
          <w:rFonts w:ascii="宋体" w:hAnsi="宋体" w:cs="宋体" w:hint="eastAsia"/>
          <w:color w:val="auto"/>
          <w:sz w:val="24"/>
          <w:highlight w:val="none"/>
          <w:u w:val="single"/>
          <w:lang w:val="en-US" w:eastAsia="zh-CN"/>
        </w:rPr>
        <w:t xml:space="preserve">11</w:t>
      </w:r>
      <w:r>
        <w:rPr>
          <w:rFonts w:ascii="宋体" w:hAnsi="宋体" w:cs="宋体" w:hint="eastAsia"/>
          <w:color w:val="auto"/>
          <w:sz w:val="24"/>
          <w:highlight w:val="none"/>
          <w:u w:val="single"/>
        </w:rPr>
        <w:t xml:space="preserve">月</w:t>
      </w:r>
      <w:r>
        <w:rPr>
          <w:rFonts w:ascii="宋体" w:hAnsi="宋体" w:cs="宋体" w:hint="eastAsia"/>
          <w:color w:val="auto"/>
          <w:sz w:val="24"/>
          <w:highlight w:val="none"/>
          <w:u w:val="single"/>
          <w:lang w:val="en-US" w:eastAsia="zh-CN"/>
        </w:rPr>
        <w:t xml:space="preserve">7</w:t>
      </w:r>
      <w:r>
        <w:rPr>
          <w:rFonts w:ascii="宋体" w:hAnsi="宋体" w:cs="宋体" w:hint="eastAsia"/>
          <w:color w:val="auto"/>
          <w:sz w:val="24"/>
          <w:highlight w:val="none"/>
          <w:u w:val="single"/>
        </w:rPr>
        <w:t xml:space="preserve">日</w:t>
      </w:r>
      <w:r>
        <w:rPr>
          <w:rFonts w:ascii="宋体" w:hAnsi="宋体" w:cs="宋体" w:hint="eastAsia"/>
          <w:color w:val="auto"/>
          <w:sz w:val="24"/>
        </w:rPr>
        <w:t xml:space="preserve">，每天上午</w:t>
      </w:r>
      <w:r>
        <w:rPr>
          <w:rFonts w:ascii="宋体" w:hAnsi="宋体" w:cs="宋体" w:hint="eastAsia"/>
          <w:color w:val="auto"/>
          <w:sz w:val="24"/>
          <w:u w:val="single"/>
        </w:rPr>
        <w:t xml:space="preserve">8:30</w:t>
      </w:r>
      <w:r>
        <w:rPr>
          <w:rFonts w:ascii="宋体" w:hAnsi="宋体" w:cs="宋体" w:hint="eastAsia"/>
          <w:color w:val="auto"/>
          <w:sz w:val="24"/>
        </w:rPr>
        <w:t xml:space="preserve">至</w:t>
      </w:r>
      <w:r>
        <w:rPr>
          <w:rFonts w:ascii="宋体" w:hAnsi="宋体" w:cs="宋体" w:hint="eastAsia"/>
          <w:color w:val="auto"/>
          <w:sz w:val="24"/>
          <w:u w:val="single"/>
        </w:rPr>
        <w:t xml:space="preserve">11:30</w:t>
      </w:r>
      <w:r>
        <w:rPr>
          <w:rFonts w:ascii="宋体" w:hAnsi="宋体" w:cs="宋体" w:hint="eastAsia"/>
          <w:color w:val="auto"/>
          <w:sz w:val="24"/>
        </w:rPr>
        <w:t xml:space="preserve">，下午</w:t>
      </w:r>
      <w:r>
        <w:rPr>
          <w:rFonts w:ascii="宋体" w:hAnsi="宋体" w:cs="宋体" w:hint="eastAsia"/>
          <w:color w:val="auto"/>
          <w:sz w:val="24"/>
          <w:u w:val="single"/>
        </w:rPr>
        <w:t xml:space="preserve">14:30</w:t>
      </w:r>
      <w:r>
        <w:rPr>
          <w:rFonts w:ascii="宋体" w:hAnsi="宋体" w:cs="宋体" w:hint="eastAsia"/>
          <w:color w:val="auto"/>
          <w:sz w:val="24"/>
        </w:rPr>
        <w:t xml:space="preserve">至</w:t>
      </w:r>
      <w:r>
        <w:rPr>
          <w:rFonts w:ascii="宋体" w:hAnsi="宋体" w:cs="宋体" w:hint="eastAsia"/>
          <w:color w:val="auto"/>
          <w:sz w:val="24"/>
          <w:u w:val="single"/>
        </w:rPr>
        <w:t xml:space="preserve">17:30</w:t>
      </w:r>
      <w:r>
        <w:rPr>
          <w:rFonts w:ascii="宋体" w:hAnsi="宋体" w:cs="宋体" w:hint="eastAsia"/>
          <w:color w:val="auto"/>
          <w:sz w:val="24"/>
        </w:rPr>
        <w:t xml:space="preserve">（北京时间，法定节假日除外）</w:t>
      </w:r>
    </w:p>
    <w:p>
      <w:pPr>
        <w:spacing w:line="400" w:lineRule="exact"/>
        <w:ind w:firstLine="540"/>
        <w:rPr>
          <w:rFonts w:ascii="宋体" w:hAnsi="宋体" w:cs="宋体"/>
          <w:color w:val="auto"/>
          <w:sz w:val="24"/>
          <w:u w:val="single"/>
        </w:rPr>
      </w:pPr>
      <w:r>
        <w:rPr>
          <w:rFonts w:ascii="宋体" w:hAnsi="宋体" w:cs="宋体" w:hint="eastAsia"/>
          <w:color w:val="auto"/>
          <w:sz w:val="24"/>
        </w:rPr>
        <w:t xml:space="preserve">地点:淮安市公共资源交易网</w:t>
      </w:r>
    </w:p>
    <w:p>
      <w:pPr>
        <w:spacing w:line="400" w:lineRule="exact"/>
        <w:ind w:firstLine="540"/>
        <w:rPr>
          <w:rFonts w:ascii="宋体" w:hAnsi="宋体" w:cs="宋体" w:hint="eastAsia"/>
          <w:color w:val="auto"/>
          <w:sz w:val="24"/>
        </w:rPr>
      </w:pPr>
      <w:r>
        <w:rPr>
          <w:rFonts w:ascii="宋体" w:hAnsi="宋体" w:cs="宋体" w:hint="eastAsia"/>
          <w:color w:val="auto"/>
          <w:sz w:val="24"/>
        </w:rPr>
        <w:t xml:space="preserve">方式:供应商应从淮安市公共资源交易网登录会员系统（http://ggzy.huaian.gov.cn），办理淮安市政府采购供应商诚信库、CA证书以及电子签章后，在网上填写投标信息并下载招标文件。</w:t>
      </w:r>
    </w:p>
    <w:p>
      <w:pPr>
        <w:spacing w:line="400" w:lineRule="exact"/>
        <w:ind w:firstLine="540"/>
        <w:rPr>
          <w:rFonts w:ascii="宋体" w:hAnsi="宋体" w:cs="宋体"/>
          <w:color w:val="auto"/>
          <w:sz w:val="24"/>
        </w:rPr>
      </w:pPr>
      <w:r>
        <w:rPr>
          <w:rFonts w:ascii="宋体" w:hAnsi="宋体" w:cs="宋体" w:hint="eastAsia"/>
          <w:color w:val="auto"/>
          <w:sz w:val="24"/>
        </w:rPr>
        <w:t xml:space="preserve">售价:0元</w:t>
      </w:r>
    </w:p>
    <w:p>
      <w:pPr>
        <w:pStyle w:val="Heading2"/>
        <w:spacing w:before="0" w:after="0" w:line="400" w:lineRule="exact"/>
        <w:rPr>
          <w:rFonts w:ascii="宋体" w:eastAsia="宋体" w:hAnsi="宋体" w:cs="宋体"/>
          <w:b w:val="0"/>
          <w:color w:val="auto"/>
          <w:sz w:val="28"/>
          <w:szCs w:val="28"/>
        </w:rPr>
      </w:pPr>
      <w:bookmarkStart w:id="9" w:name="_Toc28359082"/>
      <w:bookmarkStart w:id="10" w:name="_Toc28359005"/>
      <w:bookmarkStart w:id="11" w:name="_Toc35393624"/>
      <w:bookmarkStart w:id="12" w:name="_Toc35393793"/>
      <w:r>
        <w:rPr>
          <w:rFonts w:ascii="宋体" w:eastAsia="宋体" w:hAnsi="宋体" w:cs="宋体" w:hint="eastAsia"/>
          <w:b w:val="0"/>
          <w:color w:val="auto"/>
          <w:sz w:val="28"/>
          <w:szCs w:val="28"/>
        </w:rPr>
        <w:t xml:space="preserve">四、提交投标文件</w:t>
      </w:r>
      <w:bookmarkEnd w:id="9"/>
      <w:bookmarkEnd w:id="10"/>
      <w:r>
        <w:rPr>
          <w:rFonts w:ascii="宋体" w:eastAsia="宋体" w:hAnsi="宋体" w:cs="宋体" w:hint="eastAsia"/>
          <w:b w:val="0"/>
          <w:color w:val="auto"/>
          <w:sz w:val="28"/>
          <w:szCs w:val="28"/>
        </w:rPr>
        <w:t xml:space="preserve">截止时间、开标时间和地点</w:t>
      </w:r>
      <w:bookmarkEnd w:id="11"/>
      <w:bookmarkEnd w:id="12"/>
    </w:p>
    <w:p>
      <w:pPr>
        <w:spacing w:line="400" w:lineRule="exact"/>
        <w:ind w:firstLine="480" w:firstLineChars="200"/>
        <w:rPr>
          <w:rFonts w:ascii="宋体" w:hAnsi="宋体" w:cs="宋体"/>
          <w:bCs/>
          <w:color w:val="auto"/>
          <w:sz w:val="24"/>
          <w:u w:val="single"/>
        </w:rPr>
      </w:pPr>
      <w:r>
        <w:rPr>
          <w:rFonts w:ascii="宋体" w:hAnsi="宋体" w:cs="宋体" w:hint="eastAsia"/>
          <w:b/>
          <w:color w:val="auto"/>
          <w:sz w:val="24"/>
          <w:highlight w:val="none"/>
          <w:u w:val="single"/>
        </w:rPr>
        <w:t xml:space="preserve">2023年</w:t>
      </w:r>
      <w:r>
        <w:rPr>
          <w:rFonts w:ascii="宋体" w:hAnsi="宋体" w:cs="宋体" w:hint="eastAsia"/>
          <w:b/>
          <w:color w:val="auto"/>
          <w:sz w:val="24"/>
          <w:highlight w:val="none"/>
          <w:u w:val="single"/>
          <w:lang w:val="en-US" w:eastAsia="zh-CN"/>
        </w:rPr>
        <w:t xml:space="preserve">11</w:t>
      </w:r>
      <w:r>
        <w:rPr>
          <w:rFonts w:ascii="宋体" w:hAnsi="宋体" w:cs="宋体" w:hint="eastAsia"/>
          <w:b/>
          <w:color w:val="auto"/>
          <w:sz w:val="24"/>
          <w:highlight w:val="none"/>
          <w:u w:val="single"/>
        </w:rPr>
        <w:t xml:space="preserve">月</w:t>
      </w:r>
      <w:r>
        <w:rPr>
          <w:rFonts w:ascii="宋体" w:hAnsi="宋体" w:cs="宋体" w:hint="eastAsia"/>
          <w:b/>
          <w:color w:val="auto"/>
          <w:sz w:val="24"/>
          <w:highlight w:val="none"/>
          <w:u w:val="single"/>
          <w:lang w:val="en-US" w:eastAsia="zh-CN"/>
        </w:rPr>
        <w:t xml:space="preserve">24</w:t>
      </w:r>
      <w:r>
        <w:rPr>
          <w:rFonts w:ascii="宋体" w:hAnsi="宋体" w:cs="宋体" w:hint="eastAsia"/>
          <w:b/>
          <w:color w:val="auto"/>
          <w:sz w:val="24"/>
          <w:highlight w:val="none"/>
          <w:u w:val="single"/>
        </w:rPr>
        <w:t xml:space="preserve">日</w:t>
      </w:r>
      <w:r>
        <w:rPr>
          <w:rFonts w:ascii="宋体" w:hAnsi="宋体" w:cs="宋体" w:hint="eastAsia"/>
          <w:b/>
          <w:color w:val="auto"/>
          <w:sz w:val="24"/>
          <w:highlight w:val="none"/>
          <w:u w:val="single"/>
          <w:lang w:val="en-US" w:eastAsia="zh-CN"/>
        </w:rPr>
        <w:t xml:space="preserve">09</w:t>
      </w:r>
      <w:r>
        <w:rPr>
          <w:rFonts w:ascii="宋体" w:hAnsi="宋体" w:cs="宋体" w:hint="eastAsia"/>
          <w:b/>
          <w:color w:val="auto"/>
          <w:sz w:val="24"/>
          <w:highlight w:val="none"/>
          <w:u w:val="single"/>
        </w:rPr>
        <w:t xml:space="preserve">:</w:t>
      </w:r>
      <w:r>
        <w:rPr>
          <w:rFonts w:ascii="宋体" w:hAnsi="宋体" w:cs="宋体" w:hint="eastAsia"/>
          <w:b/>
          <w:color w:val="auto"/>
          <w:sz w:val="24"/>
          <w:highlight w:val="none"/>
          <w:u w:val="single"/>
          <w:lang w:val="en-US" w:eastAsia="zh-CN"/>
        </w:rPr>
        <w:t xml:space="preserve">0</w:t>
      </w:r>
      <w:r>
        <w:rPr>
          <w:rFonts w:ascii="宋体" w:hAnsi="宋体" w:cs="宋体" w:hint="eastAsia"/>
          <w:b/>
          <w:color w:val="auto"/>
          <w:sz w:val="24"/>
          <w:highlight w:val="none"/>
          <w:u w:val="single"/>
        </w:rPr>
        <w:t xml:space="preserve">0</w:t>
      </w:r>
      <w:r>
        <w:rPr>
          <w:rFonts w:ascii="宋体" w:hAnsi="宋体" w:cs="宋体" w:hint="eastAsia"/>
          <w:bCs/>
          <w:color w:val="auto"/>
          <w:sz w:val="24"/>
          <w:highlight w:val="none"/>
        </w:rPr>
        <w:t xml:space="preserve">（</w:t>
      </w:r>
      <w:r>
        <w:rPr>
          <w:rFonts w:ascii="宋体" w:hAnsi="宋体" w:cs="宋体" w:hint="eastAsia"/>
          <w:bCs/>
          <w:color w:val="auto"/>
          <w:sz w:val="24"/>
        </w:rPr>
        <w:t xml:space="preserve">北京时间）</w:t>
      </w:r>
    </w:p>
    <w:p>
      <w:pPr>
        <w:spacing w:line="400" w:lineRule="exact"/>
        <w:ind w:firstLine="480" w:firstLineChars="200"/>
        <w:rPr>
          <w:rFonts w:ascii="宋体" w:hAnsi="宋体" w:cs="宋体"/>
          <w:color w:val="auto"/>
          <w:sz w:val="24"/>
        </w:rPr>
      </w:pPr>
      <w:r>
        <w:rPr>
          <w:rFonts w:ascii="宋体" w:hAnsi="宋体" w:cs="宋体" w:hint="eastAsia"/>
          <w:color w:val="auto"/>
          <w:sz w:val="24"/>
        </w:rPr>
        <w:t xml:space="preserve">地点:淮安市公共资源交易中心盱眙分中心</w:t>
      </w:r>
      <w:r>
        <w:rPr>
          <w:rFonts w:ascii="宋体" w:hAnsi="宋体" w:cs="宋体" w:hint="eastAsia"/>
          <w:color w:val="auto"/>
          <w:sz w:val="24"/>
          <w:lang w:eastAsia="zh-CN"/>
        </w:rPr>
        <w:t xml:space="preserve">不见面开标大厅。</w:t>
      </w:r>
      <w:r>
        <w:rPr>
          <w:rFonts w:ascii="宋体" w:hAnsi="宋体" w:cs="宋体" w:hint="eastAsia"/>
          <w:color w:val="auto"/>
          <w:sz w:val="24"/>
        </w:rPr>
        <w:t xml:space="preserve">注:投标人须持续关注本项目在淮安市公共资源交易网盱眙板块及电子化系统中发布的信息（含更正、修改等信息），否则产生的后果由投标人自行承担。</w:t>
      </w:r>
    </w:p>
    <w:p>
      <w:pPr>
        <w:pStyle w:val="Heading2"/>
        <w:spacing w:before="0" w:after="0" w:line="400" w:lineRule="exact"/>
        <w:rPr>
          <w:rFonts w:ascii="宋体" w:eastAsia="宋体" w:hAnsi="宋体" w:cs="宋体"/>
          <w:b w:val="0"/>
          <w:color w:val="auto"/>
          <w:sz w:val="28"/>
          <w:szCs w:val="28"/>
        </w:rPr>
      </w:pPr>
      <w:bookmarkStart w:id="13" w:name="_Toc28359007"/>
      <w:bookmarkStart w:id="14" w:name="_Toc35393794"/>
      <w:bookmarkStart w:id="15" w:name="_Toc35393625"/>
      <w:bookmarkStart w:id="16" w:name="_Toc28359084"/>
      <w:r>
        <w:rPr>
          <w:rFonts w:ascii="宋体" w:eastAsia="宋体" w:hAnsi="宋体" w:cs="宋体" w:hint="eastAsia"/>
          <w:b w:val="0"/>
          <w:color w:val="auto"/>
          <w:sz w:val="28"/>
          <w:szCs w:val="28"/>
          <w:lang w:eastAsia="zh-CN"/>
        </w:rPr>
        <w:t xml:space="preserve">五</w:t>
      </w:r>
      <w:r>
        <w:rPr>
          <w:rFonts w:ascii="宋体" w:eastAsia="宋体" w:hAnsi="宋体" w:cs="宋体" w:hint="eastAsia"/>
          <w:b w:val="0"/>
          <w:color w:val="auto"/>
          <w:sz w:val="28"/>
          <w:szCs w:val="28"/>
        </w:rPr>
        <w:t xml:space="preserve">、公告期限</w:t>
      </w:r>
      <w:bookmarkEnd w:id="13"/>
      <w:bookmarkEnd w:id="14"/>
      <w:bookmarkEnd w:id="15"/>
      <w:bookmarkEnd w:id="16"/>
    </w:p>
    <w:p>
      <w:pPr>
        <w:spacing w:line="400" w:lineRule="exact"/>
        <w:ind w:firstLine="480" w:firstLineChars="200"/>
        <w:rPr>
          <w:rFonts w:ascii="宋体" w:hAnsi="宋体" w:cs="宋体"/>
          <w:color w:val="auto"/>
          <w:kern w:val="0"/>
          <w:sz w:val="24"/>
        </w:rPr>
      </w:pPr>
      <w:r>
        <w:rPr>
          <w:rFonts w:ascii="宋体" w:hAnsi="宋体" w:cs="宋体" w:hint="eastAsia"/>
          <w:color w:val="auto"/>
          <w:kern w:val="0"/>
          <w:sz w:val="24"/>
        </w:rPr>
        <w:t xml:space="preserve">自本公告发布之日起5个工作日。</w:t>
      </w:r>
    </w:p>
    <w:p>
      <w:pPr>
        <w:pStyle w:val="Heading2"/>
        <w:spacing w:before="0" w:after="0" w:line="400" w:lineRule="exact"/>
        <w:rPr>
          <w:rFonts w:ascii="宋体" w:eastAsia="宋体" w:hAnsi="宋体" w:cs="宋体"/>
          <w:b w:val="0"/>
          <w:color w:val="auto"/>
          <w:sz w:val="28"/>
          <w:szCs w:val="28"/>
        </w:rPr>
      </w:pPr>
      <w:bookmarkStart w:id="17" w:name="_Toc35393626"/>
      <w:bookmarkStart w:id="18" w:name="_Toc35393795"/>
      <w:r>
        <w:rPr>
          <w:rFonts w:ascii="宋体" w:eastAsia="宋体" w:hAnsi="宋体" w:cs="宋体" w:hint="eastAsia"/>
          <w:b w:val="0"/>
          <w:color w:val="auto"/>
          <w:sz w:val="28"/>
          <w:szCs w:val="28"/>
          <w:lang w:eastAsia="zh-CN"/>
        </w:rPr>
        <w:t xml:space="preserve">六</w:t>
      </w:r>
      <w:r>
        <w:rPr>
          <w:rFonts w:ascii="宋体" w:eastAsia="宋体" w:hAnsi="宋体" w:cs="宋体" w:hint="eastAsia"/>
          <w:b w:val="0"/>
          <w:color w:val="auto"/>
          <w:sz w:val="28"/>
          <w:szCs w:val="28"/>
        </w:rPr>
        <w:t xml:space="preserve">、其他补充事宜</w:t>
      </w:r>
      <w:bookmarkEnd w:id="17"/>
      <w:bookmarkEnd w:id="18"/>
      <w:r>
        <w:rPr>
          <w:rFonts w:ascii="宋体" w:eastAsia="宋体" w:hAnsi="宋体" w:cs="宋体" w:hint="eastAsia"/>
          <w:b w:val="0"/>
          <w:color w:val="auto"/>
          <w:sz w:val="28"/>
          <w:szCs w:val="28"/>
        </w:rPr>
        <w:t xml:space="preserve"> </w:t>
      </w:r>
    </w:p>
    <w:p>
      <w:pPr>
        <w:snapToGrid w:val="0"/>
        <w:spacing w:line="440" w:lineRule="exact"/>
        <w:ind w:firstLine="280" w:firstLineChars="100"/>
        <w:rPr>
          <w:rFonts w:ascii="宋体" w:hAnsi="宋体" w:cs="宋体" w:hint="eastAsia"/>
          <w:color w:val="000000" w:themeColor="text1"/>
          <w:sz w:val="28"/>
          <w:szCs w:val="28"/>
          <w14:textFill>
            <w14:solidFill>
              <w14:schemeClr w14:val="tx1"/>
            </w14:solidFill>
          </w14:textFill>
        </w:rPr>
      </w:pPr>
      <w:r>
        <w:rPr>
          <w:rFonts w:ascii="宋体" w:hAnsi="宋体" w:cs="宋体" w:hint="eastAsia"/>
          <w:color w:val="000000" w:themeColor="text1"/>
          <w:sz w:val="28"/>
          <w:szCs w:val="28"/>
          <w14:textFill>
            <w14:solidFill>
              <w14:schemeClr w14:val="tx1"/>
            </w14:solidFill>
          </w14:textFill>
        </w:rPr>
        <w:t xml:space="preserve">（一）投标保证金:无。</w:t>
      </w:r>
    </w:p>
    <w:p>
      <w:pPr>
        <w:snapToGrid w:val="0"/>
        <w:spacing w:line="440" w:lineRule="exact"/>
        <w:ind w:firstLine="280" w:firstLineChars="100"/>
        <w:rPr>
          <w:rFonts w:ascii="宋体" w:hAnsi="宋体" w:cs="宋体" w:hint="eastAsia"/>
          <w:color w:val="000000" w:themeColor="text1"/>
          <w:sz w:val="28"/>
          <w:szCs w:val="28"/>
          <w14:textFill>
            <w14:solidFill>
              <w14:schemeClr w14:val="tx1"/>
            </w14:solidFill>
          </w14:textFill>
        </w:rPr>
      </w:pPr>
      <w:r>
        <w:rPr>
          <w:rFonts w:ascii="宋体" w:hAnsi="宋体" w:cs="宋体" w:hint="eastAsia"/>
          <w:color w:val="000000" w:themeColor="text1"/>
          <w:sz w:val="28"/>
          <w:szCs w:val="28"/>
          <w14:textFill>
            <w14:solidFill>
              <w14:schemeClr w14:val="tx1"/>
            </w14:solidFill>
          </w14:textFill>
        </w:rPr>
        <w:t xml:space="preserve">（二）履约保证金:</w:t>
      </w:r>
    </w:p>
    <w:p>
      <w:pPr>
        <w:snapToGrid w:val="0"/>
        <w:spacing w:line="440" w:lineRule="exact"/>
        <w:ind w:firstLine="280" w:firstLineChars="100"/>
        <w:rPr>
          <w:rFonts w:ascii="宋体" w:hAnsi="宋体" w:cs="宋体" w:hint="eastAsia"/>
          <w:color w:val="000000" w:themeColor="text1"/>
          <w:sz w:val="28"/>
          <w:szCs w:val="28"/>
          <w14:textFill>
            <w14:solidFill>
              <w14:schemeClr w14:val="tx1"/>
            </w14:solidFill>
          </w14:textFill>
        </w:rPr>
      </w:pPr>
      <w:r>
        <w:rPr>
          <w:rFonts w:ascii="宋体" w:hAnsi="宋体" w:cs="宋体" w:hint="eastAsia"/>
          <w:color w:val="000000" w:themeColor="text1"/>
          <w:sz w:val="28"/>
          <w:szCs w:val="28"/>
          <w14:textFill>
            <w14:solidFill>
              <w14:schemeClr w14:val="tx1"/>
            </w14:solidFill>
          </w14:textFill>
        </w:rPr>
        <w:t xml:space="preserve">（1）履约保证金:中标供应商必须在签订合同之前，向采购人缴纳成交价1%的履约保证金，否则可视中标人放弃中标资格。</w:t>
      </w:r>
    </w:p>
    <w:p>
      <w:pPr>
        <w:snapToGrid w:val="0"/>
        <w:spacing w:line="440" w:lineRule="exact"/>
        <w:ind w:firstLine="280" w:firstLineChars="100"/>
        <w:rPr>
          <w:rFonts w:ascii="宋体" w:hAnsi="宋体" w:cs="宋体"/>
          <w:color w:val="000000" w:themeColor="text1"/>
          <w:sz w:val="28"/>
          <w:szCs w:val="28"/>
          <w14:textFill>
            <w14:solidFill>
              <w14:schemeClr w14:val="tx1"/>
            </w14:solidFill>
          </w14:textFill>
        </w:rPr>
      </w:pPr>
      <w:r>
        <w:rPr>
          <w:rFonts w:ascii="宋体" w:hAnsi="宋体" w:cs="宋体" w:hint="eastAsia"/>
          <w:color w:val="000000" w:themeColor="text1"/>
          <w:sz w:val="28"/>
          <w:szCs w:val="28"/>
          <w:lang w:eastAsia="zh-CN"/>
          <w14:textFill>
            <w14:solidFill>
              <w14:schemeClr w14:val="tx1"/>
            </w14:solidFill>
          </w14:textFill>
        </w:rPr>
        <w:t xml:space="preserve">（三）</w:t>
      </w:r>
      <w:r>
        <w:rPr>
          <w:rFonts w:ascii="宋体" w:hAnsi="宋体" w:cs="宋体" w:hint="eastAsia"/>
          <w:color w:val="000000" w:themeColor="text1"/>
          <w:sz w:val="28"/>
          <w:szCs w:val="28"/>
          <w14:textFill>
            <w14:solidFill>
              <w14:schemeClr w14:val="tx1"/>
            </w14:solidFill>
          </w14:textFill>
        </w:rPr>
        <w:t xml:space="preserve">本项目采用电子招标投标。请供应商严格按照</w:t>
      </w:r>
      <w:r>
        <w:rPr>
          <w:rFonts w:ascii="宋体" w:hAnsi="宋体" w:cs="宋体" w:hint="eastAsia"/>
          <w:color w:val="000000" w:themeColor="text1"/>
          <w:sz w:val="28"/>
          <w:szCs w:val="28"/>
          <w:lang w:eastAsia="zh-CN"/>
          <w14:textFill>
            <w14:solidFill>
              <w14:schemeClr w14:val="tx1"/>
            </w14:solidFill>
          </w14:textFill>
        </w:rPr>
        <w:t xml:space="preserve">招标</w:t>
      </w:r>
      <w:r>
        <w:rPr>
          <w:rFonts w:ascii="宋体" w:hAnsi="宋体" w:cs="宋体" w:hint="eastAsia"/>
          <w:color w:val="000000" w:themeColor="text1"/>
          <w:sz w:val="28"/>
          <w:szCs w:val="28"/>
          <w14:textFill>
            <w14:solidFill>
              <w14:schemeClr w14:val="tx1"/>
            </w14:solidFill>
          </w14:textFill>
        </w:rPr>
        <w:t xml:space="preserve">文件的规定编制、提交</w:t>
      </w:r>
      <w:r>
        <w:rPr>
          <w:rFonts w:ascii="宋体" w:hAnsi="宋体" w:cs="宋体" w:hint="eastAsia"/>
          <w:color w:val="000000" w:themeColor="text1"/>
          <w:sz w:val="28"/>
          <w:szCs w:val="28"/>
          <w:lang w:eastAsia="zh-CN"/>
          <w14:textFill>
            <w14:solidFill>
              <w14:schemeClr w14:val="tx1"/>
            </w14:solidFill>
          </w14:textFill>
        </w:rPr>
        <w:t xml:space="preserve">招标</w:t>
      </w:r>
      <w:r>
        <w:rPr>
          <w:rFonts w:ascii="宋体" w:hAnsi="宋体" w:cs="宋体" w:hint="eastAsia"/>
          <w:color w:val="000000" w:themeColor="text1"/>
          <w:sz w:val="28"/>
          <w:szCs w:val="28"/>
          <w14:textFill>
            <w14:solidFill>
              <w14:schemeClr w14:val="tx1"/>
            </w14:solidFill>
          </w14:textFill>
        </w:rPr>
        <w:t xml:space="preserve">文件，否则所造成的一切后果由供应商自负。</w:t>
      </w:r>
    </w:p>
    <w:p>
      <w:pPr>
        <w:snapToGrid w:val="0"/>
        <w:spacing w:line="440" w:lineRule="exact"/>
        <w:rPr>
          <w:rFonts w:ascii="宋体" w:hAnsi="宋体" w:cs="宋体"/>
          <w:color w:val="000000" w:themeColor="text1"/>
          <w:sz w:val="28"/>
          <w:szCs w:val="28"/>
          <w14:textFill>
            <w14:solidFill>
              <w14:schemeClr w14:val="tx1"/>
            </w14:solidFill>
          </w14:textFill>
        </w:rPr>
      </w:pPr>
      <w:r>
        <w:rPr>
          <w:rFonts w:ascii="宋体" w:hAnsi="宋体" w:cs="宋体" w:hint="eastAsia"/>
          <w:color w:val="000000" w:themeColor="text1"/>
          <w:sz w:val="28"/>
          <w:szCs w:val="28"/>
          <w14:textFill>
            <w14:solidFill>
              <w14:schemeClr w14:val="tx1"/>
            </w14:solidFill>
          </w14:textFill>
        </w:rPr>
        <w:t xml:space="preserve">供应商确认参加本项目</w:t>
      </w:r>
      <w:r>
        <w:rPr>
          <w:rFonts w:ascii="宋体" w:hAnsi="宋体" w:cs="宋体" w:hint="eastAsia"/>
          <w:color w:val="000000" w:themeColor="text1"/>
          <w:sz w:val="28"/>
          <w:szCs w:val="28"/>
          <w:lang w:eastAsia="zh-CN"/>
          <w14:textFill>
            <w14:solidFill>
              <w14:schemeClr w14:val="tx1"/>
            </w14:solidFill>
          </w14:textFill>
        </w:rPr>
        <w:t xml:space="preserve">投标</w:t>
      </w:r>
      <w:r>
        <w:rPr>
          <w:rFonts w:ascii="宋体" w:hAnsi="宋体" w:cs="宋体" w:hint="eastAsia"/>
          <w:color w:val="000000" w:themeColor="text1"/>
          <w:sz w:val="28"/>
          <w:szCs w:val="28"/>
          <w14:textFill>
            <w14:solidFill>
              <w14:schemeClr w14:val="tx1"/>
            </w14:solidFill>
          </w14:textFill>
        </w:rPr>
        <w:t xml:space="preserve">的，在投标前须办理淮安市政府采购供应商诚信库、CA证书以及电子签章后方可参加投标。具体办理详见淮安市公共资源交易网《政府采购操作指南》http://ggzy.huaian.gov.cn</w:t>
      </w:r>
    </w:p>
    <w:p>
      <w:pPr>
        <w:pStyle w:val="Heading2"/>
        <w:spacing w:before="0" w:after="0" w:line="400" w:lineRule="exact"/>
        <w:rPr>
          <w:rFonts w:ascii="宋体" w:eastAsia="宋体" w:hAnsi="宋体" w:cs="宋体"/>
          <w:b w:val="0"/>
          <w:color w:val="auto"/>
          <w:sz w:val="28"/>
          <w:szCs w:val="28"/>
        </w:rPr>
      </w:pPr>
      <w:r>
        <w:rPr>
          <w:rFonts w:ascii="宋体" w:eastAsia="宋体" w:hAnsi="宋体" w:cs="宋体" w:hint="eastAsia"/>
          <w:b w:val="0"/>
          <w:color w:val="auto"/>
          <w:sz w:val="28"/>
          <w:szCs w:val="28"/>
          <w:lang w:eastAsia="zh-CN"/>
        </w:rPr>
        <w:t xml:space="preserve">七</w:t>
      </w:r>
      <w:r>
        <w:rPr>
          <w:rFonts w:ascii="宋体" w:eastAsia="宋体" w:hAnsi="宋体" w:cs="宋体" w:hint="eastAsia"/>
          <w:b w:val="0"/>
          <w:color w:val="auto"/>
          <w:sz w:val="28"/>
          <w:szCs w:val="28"/>
        </w:rPr>
        <w:t xml:space="preserve">、凡对本次采购提出询问，请按以下方式联系</w:t>
      </w:r>
    </w:p>
    <w:p>
      <w:pPr>
        <w:pStyle w:val="[Normal]"/>
        <w:snapToGrid w:val="0"/>
        <w:spacing w:line="400" w:lineRule="exact"/>
        <w:ind w:firstLine="480"/>
        <w:rPr>
          <w:rFonts w:ascii="宋体" w:eastAsia="宋体" w:hAnsi="宋体" w:cs="宋体" w:hint="default"/>
          <w:color w:val="000000" w:themeColor="text1"/>
          <w:kern w:val="2"/>
          <w:sz w:val="28"/>
          <w:szCs w:val="28"/>
          <w:lang w:val="en-US" w:eastAsia="zh-CN"/>
          <w14:textFill>
            <w14:solidFill>
              <w14:schemeClr w14:val="tx1"/>
            </w14:solidFill>
          </w14:textFill>
        </w:rPr>
      </w:pPr>
      <w:r>
        <w:rPr>
          <w:rFonts w:ascii="宋体" w:hAnsi="宋体" w:cs="宋体" w:hint="eastAsia"/>
          <w:b/>
          <w:bCs/>
          <w:color w:val="auto"/>
        </w:rPr>
        <w:t xml:space="preserve"> </w:t>
      </w:r>
      <w:bookmarkEnd w:id="4"/>
      <w:r>
        <w:rPr>
          <w:rFonts w:ascii="宋体" w:eastAsia="宋体" w:hAnsi="宋体" w:cs="宋体" w:hint="eastAsia"/>
          <w:color w:val="000000" w:themeColor="text1"/>
          <w:kern w:val="2"/>
          <w:sz w:val="28"/>
          <w:szCs w:val="28"/>
          <w:lang w:val="en-US"/>
          <w14:textFill>
            <w14:solidFill>
              <w14:schemeClr w14:val="tx1"/>
            </w14:solidFill>
          </w14:textFill>
        </w:rPr>
        <w:t xml:space="preserve">1、名    称：</w:t>
      </w:r>
      <w:r>
        <w:rPr>
          <w:rFonts w:ascii="宋体" w:eastAsia="宋体" w:hAnsi="宋体" w:cs="宋体" w:hint="eastAsia"/>
          <w:color w:val="000000" w:themeColor="text1"/>
          <w:kern w:val="2"/>
          <w:sz w:val="28"/>
          <w:szCs w:val="28"/>
          <w:lang w:val="en-US" w:eastAsia="zh-CN"/>
          <w14:textFill>
            <w14:solidFill>
              <w14:schemeClr w14:val="tx1"/>
            </w14:solidFill>
          </w14:textFill>
        </w:rPr>
        <w:t xml:space="preserve">江苏省盱眙中等专业学校(盱眙技师学院）</w:t>
      </w:r>
    </w:p>
    <w:p>
      <w:pPr>
        <w:pStyle w:val="[Normal]"/>
        <w:snapToGrid w:val="0"/>
        <w:spacing w:line="400" w:lineRule="exact"/>
        <w:ind w:firstLine="480"/>
        <w:rPr>
          <w:rFonts w:ascii="宋体" w:eastAsia="宋体" w:hAnsi="宋体" w:cs="宋体"/>
          <w:color w:val="000000" w:themeColor="text1"/>
          <w:kern w:val="2"/>
          <w:sz w:val="28"/>
          <w:szCs w:val="28"/>
          <w:lang w:val="en-US"/>
          <w14:textFill>
            <w14:solidFill>
              <w14:schemeClr w14:val="tx1"/>
            </w14:solidFill>
          </w14:textFill>
        </w:rPr>
      </w:pPr>
      <w:r>
        <w:rPr>
          <w:rFonts w:ascii="宋体" w:eastAsia="宋体" w:hAnsi="宋体" w:cs="宋体" w:hint="eastAsia"/>
          <w:color w:val="000000" w:themeColor="text1"/>
          <w:kern w:val="2"/>
          <w:sz w:val="28"/>
          <w:szCs w:val="28"/>
          <w:lang w:val="en-US"/>
          <w14:textFill>
            <w14:solidFill>
              <w14:schemeClr w14:val="tx1"/>
            </w14:solidFill>
          </w14:textFill>
        </w:rPr>
        <w:t xml:space="preserve">地    址：盱眙县山水大道1号</w:t>
      </w:r>
    </w:p>
    <w:p>
      <w:pPr>
        <w:pStyle w:val="[Normal]"/>
        <w:snapToGrid w:val="0"/>
        <w:spacing w:line="400" w:lineRule="exact"/>
        <w:ind w:firstLine="480"/>
        <w:rPr>
          <w:rFonts w:ascii="宋体" w:eastAsia="宋体" w:hAnsi="宋体" w:cs="宋体" w:hint="default"/>
          <w:color w:val="000000" w:themeColor="text1"/>
          <w:kern w:val="2"/>
          <w:sz w:val="28"/>
          <w:szCs w:val="28"/>
          <w:lang w:val="en-US" w:eastAsia="zh-CN"/>
          <w14:textFill>
            <w14:solidFill>
              <w14:schemeClr w14:val="tx1"/>
            </w14:solidFill>
          </w14:textFill>
        </w:rPr>
      </w:pPr>
      <w:r>
        <w:rPr>
          <w:rFonts w:ascii="宋体" w:eastAsia="宋体" w:hAnsi="宋体" w:cs="宋体" w:hint="eastAsia"/>
          <w:color w:val="000000" w:themeColor="text1"/>
          <w:kern w:val="2"/>
          <w:sz w:val="28"/>
          <w:szCs w:val="28"/>
          <w:lang w:val="en-US"/>
          <w14:textFill>
            <w14:solidFill>
              <w14:schemeClr w14:val="tx1"/>
            </w14:solidFill>
          </w14:textFill>
        </w:rPr>
        <w:t xml:space="preserve">联 系 人：</w:t>
      </w:r>
      <w:r>
        <w:rPr>
          <w:rFonts w:ascii="宋体" w:eastAsia="宋体" w:hAnsi="宋体" w:cs="宋体" w:hint="eastAsia"/>
          <w:color w:val="000000" w:themeColor="text1"/>
          <w:kern w:val="2"/>
          <w:sz w:val="28"/>
          <w:szCs w:val="28"/>
          <w:lang w:val="en-US" w:eastAsia="zh-CN"/>
          <w14:textFill>
            <w14:solidFill>
              <w14:schemeClr w14:val="tx1"/>
            </w14:solidFill>
          </w14:textFill>
        </w:rPr>
        <w:t xml:space="preserve">李彪</w:t>
      </w:r>
    </w:p>
    <w:p>
      <w:pPr>
        <w:pStyle w:val="[Normal]"/>
        <w:snapToGrid w:val="0"/>
        <w:spacing w:line="400" w:lineRule="exact"/>
        <w:ind w:firstLine="480"/>
        <w:rPr>
          <w:rFonts w:ascii="宋体" w:eastAsia="宋体" w:hAnsi="宋体" w:cs="宋体" w:hint="default"/>
          <w:color w:val="000000" w:themeColor="text1"/>
          <w:kern w:val="2"/>
          <w:sz w:val="28"/>
          <w:szCs w:val="28"/>
          <w:highlight w:val="yellow"/>
          <w:lang w:val="en-US" w:eastAsia="zh-CN"/>
          <w14:textFill>
            <w14:solidFill>
              <w14:schemeClr w14:val="tx1"/>
            </w14:solidFill>
          </w14:textFill>
        </w:rPr>
      </w:pPr>
      <w:r>
        <w:rPr>
          <w:rFonts w:ascii="宋体" w:eastAsia="宋体" w:hAnsi="宋体" w:cs="宋体" w:hint="eastAsia"/>
          <w:color w:val="000000" w:themeColor="text1"/>
          <w:kern w:val="2"/>
          <w:sz w:val="28"/>
          <w:szCs w:val="28"/>
          <w:lang w:val="en-US"/>
          <w14:textFill>
            <w14:solidFill>
              <w14:schemeClr w14:val="tx1"/>
            </w14:solidFill>
          </w14:textFill>
        </w:rPr>
        <w:t xml:space="preserve">电    话：</w:t>
      </w:r>
      <w:r>
        <w:rPr>
          <w:rFonts w:ascii="宋体" w:eastAsia="宋体" w:hAnsi="宋体" w:cs="宋体" w:hint="eastAsia"/>
          <w:color w:val="000000" w:themeColor="text1"/>
          <w:kern w:val="2"/>
          <w:sz w:val="28"/>
          <w:szCs w:val="28"/>
          <w:lang w:val="en-US" w:eastAsia="zh-CN"/>
          <w14:textFill>
            <w14:solidFill>
              <w14:schemeClr w14:val="tx1"/>
            </w14:solidFill>
          </w14:textFill>
        </w:rPr>
        <w:t xml:space="preserve">15105238243</w:t>
      </w:r>
    </w:p>
    <w:p>
      <w:pPr>
        <w:pStyle w:val="[Normal]"/>
        <w:snapToGrid w:val="0"/>
        <w:spacing w:line="400" w:lineRule="exact"/>
        <w:ind w:left="420" w:leftChars="200"/>
        <w:rPr>
          <w:rFonts w:ascii="宋体" w:eastAsia="宋体" w:hAnsi="宋体" w:cs="宋体"/>
          <w:color w:val="000000" w:themeColor="text1"/>
          <w:kern w:val="2"/>
          <w:sz w:val="28"/>
          <w:szCs w:val="28"/>
          <w:lang w:val="en-US"/>
          <w14:textFill>
            <w14:solidFill>
              <w14:schemeClr w14:val="tx1"/>
            </w14:solidFill>
          </w14:textFill>
        </w:rPr>
      </w:pPr>
      <w:r>
        <w:rPr>
          <w:rFonts w:ascii="宋体" w:eastAsia="宋体" w:hAnsi="宋体" w:cs="宋体" w:hint="eastAsia"/>
          <w:color w:val="000000" w:themeColor="text1"/>
          <w:kern w:val="2"/>
          <w:sz w:val="28"/>
          <w:szCs w:val="28"/>
          <w:lang w:val="en-US"/>
          <w14:textFill>
            <w14:solidFill>
              <w14:schemeClr w14:val="tx1"/>
            </w14:solidFill>
          </w14:textFill>
        </w:rPr>
        <w:t xml:space="preserve">2、采购代理机构信息</w:t>
      </w:r>
    </w:p>
    <w:p>
      <w:pPr>
        <w:pStyle w:val="[Normal]"/>
        <w:snapToGrid w:val="0"/>
        <w:spacing w:line="400" w:lineRule="exact"/>
        <w:ind w:firstLine="480"/>
        <w:rPr>
          <w:rFonts w:ascii="宋体" w:eastAsia="宋体" w:hAnsi="宋体" w:cs="宋体"/>
          <w:color w:val="000000" w:themeColor="text1"/>
          <w:kern w:val="2"/>
          <w:sz w:val="28"/>
          <w:szCs w:val="28"/>
          <w:lang w:val="en-US"/>
          <w14:textFill>
            <w14:solidFill>
              <w14:schemeClr w14:val="tx1"/>
            </w14:solidFill>
          </w14:textFill>
        </w:rPr>
      </w:pPr>
      <w:r>
        <w:rPr>
          <w:rFonts w:ascii="宋体" w:eastAsia="宋体" w:hAnsi="宋体" w:cs="宋体" w:hint="eastAsia"/>
          <w:color w:val="000000" w:themeColor="text1"/>
          <w:kern w:val="2"/>
          <w:sz w:val="28"/>
          <w:szCs w:val="28"/>
          <w:lang w:val="en-US"/>
          <w14:textFill>
            <w14:solidFill>
              <w14:schemeClr w14:val="tx1"/>
            </w14:solidFill>
          </w14:textFill>
        </w:rPr>
        <w:t xml:space="preserve">名    称：正军项目管理集团有限公司</w:t>
      </w:r>
    </w:p>
    <w:p>
      <w:pPr>
        <w:pStyle w:val="[Normal]"/>
        <w:snapToGrid w:val="0"/>
        <w:spacing w:line="400" w:lineRule="exact"/>
        <w:ind w:firstLine="480"/>
        <w:rPr>
          <w:rFonts w:ascii="宋体" w:eastAsia="宋体" w:hAnsi="宋体" w:cs="宋体"/>
          <w:color w:val="000000" w:themeColor="text1"/>
          <w:kern w:val="2"/>
          <w:sz w:val="28"/>
          <w:szCs w:val="28"/>
          <w:lang w:val="en-US"/>
          <w14:textFill>
            <w14:solidFill>
              <w14:schemeClr w14:val="tx1"/>
            </w14:solidFill>
          </w14:textFill>
        </w:rPr>
      </w:pPr>
      <w:r>
        <w:rPr>
          <w:rFonts w:ascii="宋体" w:eastAsia="宋体" w:hAnsi="宋体" w:cs="宋体" w:hint="eastAsia"/>
          <w:color w:val="000000" w:themeColor="text1"/>
          <w:kern w:val="2"/>
          <w:sz w:val="28"/>
          <w:szCs w:val="28"/>
          <w:lang w:val="en-US"/>
          <w14:textFill>
            <w14:solidFill>
              <w14:schemeClr w14:val="tx1"/>
            </w14:solidFill>
          </w14:textFill>
        </w:rPr>
        <w:t xml:space="preserve">地    址：盱眙县山水大道88号中澳生态城商业区52号楼210室</w:t>
      </w:r>
    </w:p>
    <w:p>
      <w:pPr>
        <w:pStyle w:val="BodyText"/>
        <w:tabs>
          <w:tab w:val="left" w:pos="1619"/>
          <w:tab w:val="left" w:pos="5219"/>
          <w:tab w:val="left" w:pos="5939"/>
          <w:tab w:val="clear" w:pos="2020"/>
          <w:tab w:val="clear" w:pos="4535"/>
        </w:tabs>
        <w:spacing w:line="360" w:lineRule="exact"/>
        <w:ind w:firstLine="560" w:firstLineChars="200"/>
        <w:jc w:val="both"/>
        <w:rPr>
          <w:rFonts w:ascii="宋体" w:eastAsia="宋体" w:hAnsi="宋体" w:cs="宋体"/>
          <w:color w:val="000000" w:themeColor="text1"/>
          <w:szCs w:val="28"/>
          <w14:textFill>
            <w14:solidFill>
              <w14:schemeClr w14:val="tx1"/>
            </w14:solidFill>
          </w14:textFill>
        </w:rPr>
      </w:pPr>
      <w:r>
        <w:rPr>
          <w:rFonts w:ascii="宋体" w:eastAsia="宋体" w:hAnsi="宋体" w:cs="宋体" w:hint="eastAsia"/>
          <w:color w:val="000000" w:themeColor="text1"/>
          <w:szCs w:val="28"/>
          <w14:textFill>
            <w14:solidFill>
              <w14:schemeClr w14:val="tx1"/>
            </w14:solidFill>
          </w14:textFill>
        </w:rPr>
        <w:t xml:space="preserve">联系方式：蒋元荣</w:t>
      </w:r>
    </w:p>
    <w:p>
      <w:pPr>
        <w:pStyle w:val="[Normal]"/>
        <w:snapToGrid w:val="0"/>
        <w:spacing w:line="400" w:lineRule="exact"/>
        <w:ind w:firstLine="480"/>
        <w:rPr>
          <w:rFonts w:ascii="宋体" w:eastAsia="宋体" w:hAnsi="宋体" w:cs="宋体"/>
          <w:color w:val="000000" w:themeColor="text1"/>
          <w:kern w:val="2"/>
          <w:sz w:val="28"/>
          <w:szCs w:val="28"/>
          <w:lang w:val="en-US"/>
          <w14:textFill>
            <w14:solidFill>
              <w14:schemeClr w14:val="tx1"/>
            </w14:solidFill>
          </w14:textFill>
        </w:rPr>
      </w:pPr>
      <w:r>
        <w:rPr>
          <w:rFonts w:ascii="宋体" w:eastAsia="宋体" w:hAnsi="宋体" w:cs="宋体" w:hint="eastAsia"/>
          <w:color w:val="000000" w:themeColor="text1"/>
          <w:kern w:val="2"/>
          <w:sz w:val="28"/>
          <w:szCs w:val="28"/>
          <w:lang w:val="en-US"/>
          <w14:textFill>
            <w14:solidFill>
              <w14:schemeClr w14:val="tx1"/>
            </w14:solidFill>
          </w14:textFill>
        </w:rPr>
        <w:t xml:space="preserve">电话：15905238798</w:t>
      </w:r>
    </w:p>
    <w:p>
      <w:pPr>
        <w:snapToGrid w:val="0"/>
        <w:spacing w:line="440" w:lineRule="exact"/>
        <w:ind w:firstLine="560" w:firstLineChars="200"/>
        <w:jc w:val="right"/>
        <w:rPr>
          <w:rFonts w:ascii="宋体" w:eastAsia="宋体" w:hAnsi="宋体" w:cs="宋体" w:hint="eastAsia"/>
          <w:color w:val="000000" w:themeColor="text1"/>
          <w:sz w:val="28"/>
          <w:szCs w:val="28"/>
          <w:lang w:eastAsia="zh-CN"/>
          <w14:textFill>
            <w14:solidFill>
              <w14:schemeClr w14:val="tx1"/>
            </w14:solidFill>
          </w14:textFill>
        </w:rPr>
      </w:pPr>
      <w:r>
        <w:rPr>
          <w:rFonts w:ascii="宋体" w:hAnsi="宋体" w:cs="宋体" w:hint="eastAsia"/>
          <w:color w:val="000000" w:themeColor="text1"/>
          <w:sz w:val="28"/>
          <w:szCs w:val="28"/>
          <w:lang w:eastAsia="zh-CN"/>
          <w14:textFill>
            <w14:solidFill>
              <w14:schemeClr w14:val="tx1"/>
            </w14:solidFill>
          </w14:textFill>
        </w:rPr>
        <w:t xml:space="preserve">江苏省盱眙中等专业学校(盱眙技师学院）</w:t>
      </w:r>
    </w:p>
    <w:p>
      <w:pPr>
        <w:jc w:val="right"/>
      </w:pPr>
      <w:r>
        <w:rPr>
          <w:rFonts w:ascii="宋体" w:hAnsi="宋体" w:cs="宋体" w:hint="eastAsia"/>
          <w:color w:val="000000" w:themeColor="text1"/>
          <w:sz w:val="28"/>
          <w:szCs w:val="28"/>
          <w14:textFill>
            <w14:solidFill>
              <w14:schemeClr w14:val="tx1"/>
            </w14:solidFill>
          </w14:textFill>
        </w:rPr>
        <w:t xml:space="preserve">                                      </w:t>
      </w:r>
      <w:r>
        <w:rPr>
          <w:rFonts w:ascii="宋体" w:hAnsi="宋体" w:cs="宋体" w:hint="eastAsia"/>
          <w:color w:val="000000" w:themeColor="text1"/>
          <w:sz w:val="28"/>
          <w:szCs w:val="28"/>
          <w:highlight w:val="none"/>
          <w14:textFill>
            <w14:solidFill>
              <w14:schemeClr w14:val="tx1"/>
            </w14:solidFill>
          </w14:textFill>
        </w:rPr>
        <w:t xml:space="preserve"> 2023年</w:t>
      </w:r>
      <w:r>
        <w:rPr>
          <w:rFonts w:ascii="宋体" w:hAnsi="宋体" w:cs="宋体" w:hint="eastAsia"/>
          <w:color w:val="000000" w:themeColor="text1"/>
          <w:sz w:val="28"/>
          <w:szCs w:val="28"/>
          <w:highlight w:val="none"/>
          <w:lang w:val="en-US" w:eastAsia="zh-CN"/>
          <w14:textFill>
            <w14:solidFill>
              <w14:schemeClr w14:val="tx1"/>
            </w14:solidFill>
          </w14:textFill>
        </w:rPr>
        <w:t xml:space="preserve">10</w:t>
      </w:r>
      <w:r>
        <w:rPr>
          <w:rFonts w:ascii="宋体" w:hAnsi="宋体" w:cs="宋体" w:hint="eastAsia"/>
          <w:color w:val="000000" w:themeColor="text1"/>
          <w:sz w:val="28"/>
          <w:szCs w:val="28"/>
          <w:highlight w:val="none"/>
          <w14:textFill>
            <w14:solidFill>
              <w14:schemeClr w14:val="tx1"/>
            </w14:solidFill>
          </w14:textFill>
        </w:rPr>
        <w:t xml:space="preserve">月</w:t>
      </w:r>
      <w:r>
        <w:rPr>
          <w:rFonts w:ascii="宋体" w:hAnsi="宋体" w:cs="宋体" w:hint="eastAsia"/>
          <w:color w:val="000000" w:themeColor="text1"/>
          <w:sz w:val="28"/>
          <w:szCs w:val="28"/>
          <w:highlight w:val="none"/>
          <w:lang w:val="en-US" w:eastAsia="zh-CN"/>
          <w14:textFill>
            <w14:solidFill>
              <w14:schemeClr w14:val="tx1"/>
            </w14:solidFill>
          </w14:textFill>
        </w:rPr>
        <w:t xml:space="preserve">31</w:t>
      </w:r>
      <w:r>
        <w:rPr>
          <w:rFonts w:ascii="宋体" w:hAnsi="宋体" w:cs="宋体" w:hint="eastAsia"/>
          <w:color w:val="000000" w:themeColor="text1"/>
          <w:sz w:val="28"/>
          <w:szCs w:val="28"/>
          <w:highlight w:val="none"/>
          <w14:textFill>
            <w14:solidFill>
              <w14:schemeClr w14:val="tx1"/>
            </w14:solidFill>
          </w14:textFill>
        </w:rPr>
        <w:t xml:space="preserve">日</w:t>
      </w:r>
    </w:p>
    <w:p>
      <w:pPr>
        <w:pStyle w:val="Index4"/>
        <w:jc w:val="center"/>
        <w:rPr>
          <w:rFonts w:ascii="宋体" w:hAnsi="宋体" w:cs="宋体" w:hint="eastAsia"/>
          <w:b/>
          <w:sz w:val="36"/>
          <w:szCs w:val="36"/>
        </w:rPr>
      </w:pPr>
      <w:r>
        <w:br w:type="page"/>
      </w:r>
    </w:p>
    <w:p>
      <w:pPr>
        <w:spacing w:line="400" w:lineRule="exact"/>
        <w:jc w:val="center"/>
        <w:outlineLvl w:val="1"/>
        <w:rPr>
          <w:rFonts w:ascii="宋体" w:hAnsi="宋体" w:cs="宋体"/>
          <w:b/>
          <w:sz w:val="24"/>
        </w:rPr>
      </w:pPr>
      <w:r>
        <w:rPr>
          <w:rFonts w:ascii="宋体" w:hAnsi="宋体" w:cs="宋体" w:hint="eastAsia"/>
          <w:b/>
          <w:sz w:val="36"/>
          <w:szCs w:val="36"/>
        </w:rPr>
        <w:t xml:space="preserve">第二部分  投标人须知</w:t>
      </w:r>
    </w:p>
    <w:p>
      <w:pPr>
        <w:spacing w:line="400" w:lineRule="exact"/>
        <w:ind w:firstLine="480" w:firstLineChars="200"/>
        <w:outlineLvl w:val="2"/>
        <w:rPr>
          <w:rFonts w:ascii="宋体" w:hAnsi="宋体" w:cs="宋体"/>
          <w:b/>
          <w:sz w:val="24"/>
        </w:rPr>
      </w:pPr>
      <w:r>
        <w:rPr>
          <w:rFonts w:ascii="宋体" w:hAnsi="宋体" w:cs="宋体" w:hint="eastAsia"/>
          <w:b/>
          <w:sz w:val="24"/>
        </w:rPr>
        <w:t xml:space="preserve">一、总  则</w:t>
      </w:r>
    </w:p>
    <w:p>
      <w:pPr>
        <w:spacing w:line="400" w:lineRule="exact"/>
        <w:ind w:firstLine="480" w:firstLineChars="200"/>
        <w:rPr>
          <w:rFonts w:ascii="宋体" w:hAnsi="宋体" w:cs="宋体"/>
          <w:b/>
          <w:sz w:val="24"/>
        </w:rPr>
      </w:pPr>
      <w:r>
        <w:rPr>
          <w:rFonts w:ascii="宋体" w:hAnsi="宋体" w:cs="宋体" w:hint="eastAsia"/>
          <w:b/>
          <w:sz w:val="24"/>
        </w:rPr>
        <w:t xml:space="preserve"> 1.适用范围</w:t>
      </w:r>
    </w:p>
    <w:p>
      <w:pPr>
        <w:pStyle w:val="BodyTextIndent"/>
        <w:spacing w:line="400" w:lineRule="exact"/>
        <w:ind w:firstLine="480" w:firstLineChars="200"/>
        <w:rPr>
          <w:rFonts w:ascii="宋体" w:eastAsia="宋体" w:hAnsi="宋体" w:cs="宋体"/>
          <w:sz w:val="24"/>
          <w:szCs w:val="24"/>
        </w:rPr>
      </w:pPr>
      <w:r>
        <w:rPr>
          <w:rFonts w:ascii="宋体" w:eastAsia="宋体" w:hAnsi="宋体" w:cs="宋体" w:hint="eastAsia"/>
          <w:sz w:val="24"/>
          <w:szCs w:val="24"/>
        </w:rPr>
        <w:t xml:space="preserve">本招标文件仅适用于招标公告中所述项目。</w:t>
      </w:r>
    </w:p>
    <w:p>
      <w:pPr>
        <w:pStyle w:val="BodyTextIndent"/>
        <w:spacing w:line="400" w:lineRule="exact"/>
        <w:ind w:firstLine="480" w:firstLineChars="200"/>
        <w:rPr>
          <w:rFonts w:ascii="宋体" w:eastAsia="宋体" w:hAnsi="宋体" w:cs="宋体"/>
          <w:b/>
          <w:sz w:val="24"/>
          <w:szCs w:val="24"/>
        </w:rPr>
      </w:pPr>
      <w:r>
        <w:rPr>
          <w:rFonts w:ascii="宋体" w:eastAsia="宋体" w:hAnsi="宋体" w:cs="宋体" w:hint="eastAsia"/>
          <w:b/>
          <w:sz w:val="24"/>
          <w:szCs w:val="24"/>
        </w:rPr>
        <w:t xml:space="preserve"> 2.合格的投标人</w:t>
      </w:r>
    </w:p>
    <w:p>
      <w:pPr>
        <w:spacing w:line="400" w:lineRule="exact"/>
        <w:ind w:firstLine="480" w:firstLineChars="200"/>
        <w:rPr>
          <w:rFonts w:ascii="宋体" w:hAnsi="宋体" w:cs="宋体"/>
          <w:sz w:val="24"/>
        </w:rPr>
      </w:pPr>
      <w:r>
        <w:rPr>
          <w:rFonts w:ascii="宋体" w:hAnsi="宋体" w:cs="宋体" w:hint="eastAsia"/>
          <w:sz w:val="24"/>
        </w:rPr>
        <w:t xml:space="preserve">2.1</w:t>
      </w:r>
      <w:r>
        <w:rPr>
          <w:rFonts w:ascii="宋体" w:hAnsi="宋体" w:cs="宋体" w:hint="eastAsia"/>
          <w:kern w:val="0"/>
          <w:sz w:val="24"/>
        </w:rPr>
        <w:t xml:space="preserve">符合《中华人民共和国政府采购法》第二十二条规定</w:t>
      </w:r>
      <w:r>
        <w:rPr>
          <w:rFonts w:ascii="宋体" w:hAnsi="宋体" w:cs="宋体" w:hint="eastAsia"/>
          <w:sz w:val="24"/>
        </w:rPr>
        <w:t xml:space="preserve">；</w:t>
      </w:r>
    </w:p>
    <w:p>
      <w:pPr>
        <w:spacing w:line="400" w:lineRule="exact"/>
        <w:ind w:firstLine="480" w:firstLineChars="200"/>
        <w:rPr>
          <w:rFonts w:ascii="宋体" w:hAnsi="宋体" w:cs="宋体"/>
          <w:kern w:val="0"/>
          <w:sz w:val="24"/>
        </w:rPr>
      </w:pPr>
      <w:r>
        <w:rPr>
          <w:rFonts w:ascii="宋体" w:hAnsi="宋体" w:cs="宋体" w:hint="eastAsia"/>
          <w:kern w:val="0"/>
          <w:sz w:val="24"/>
        </w:rPr>
        <w:t xml:space="preserve">2.2凡有能力按照招标文件规定的要求交付货物、工程和服务的投标供应商均合格的投标供应商。</w:t>
      </w:r>
    </w:p>
    <w:p>
      <w:pPr>
        <w:spacing w:line="400" w:lineRule="exact"/>
        <w:ind w:firstLine="480" w:firstLineChars="200"/>
        <w:rPr>
          <w:rFonts w:ascii="宋体" w:hAnsi="宋体" w:cs="宋体"/>
          <w:kern w:val="0"/>
          <w:sz w:val="24"/>
        </w:rPr>
      </w:pPr>
      <w:r>
        <w:rPr>
          <w:rFonts w:ascii="宋体" w:hAnsi="宋体" w:cs="宋体" w:hint="eastAsia"/>
          <w:kern w:val="0"/>
          <w:sz w:val="24"/>
        </w:rPr>
        <w:t xml:space="preserve">2.3符合招标文件中规定的其他资质要求。</w:t>
      </w:r>
    </w:p>
    <w:p>
      <w:pPr>
        <w:pStyle w:val="BodyTextIndent"/>
        <w:spacing w:line="400" w:lineRule="exact"/>
        <w:ind w:firstLine="593" w:firstLineChars="247"/>
        <w:rPr>
          <w:rFonts w:ascii="宋体" w:eastAsia="宋体" w:hAnsi="宋体" w:cs="宋体"/>
          <w:b/>
          <w:sz w:val="24"/>
          <w:szCs w:val="24"/>
        </w:rPr>
      </w:pPr>
      <w:r>
        <w:rPr>
          <w:rFonts w:ascii="宋体" w:eastAsia="宋体" w:hAnsi="宋体" w:cs="宋体" w:hint="eastAsia"/>
          <w:b/>
          <w:sz w:val="24"/>
          <w:szCs w:val="24"/>
        </w:rPr>
        <w:t xml:space="preserve">3.投标费用</w:t>
      </w:r>
    </w:p>
    <w:p>
      <w:pPr>
        <w:pStyle w:val="BodyTextIndent"/>
        <w:spacing w:line="400" w:lineRule="exact"/>
        <w:ind w:firstLine="480" w:firstLineChars="200"/>
        <w:rPr>
          <w:rFonts w:ascii="宋体" w:eastAsia="宋体" w:hAnsi="宋体" w:cs="宋体"/>
          <w:sz w:val="24"/>
          <w:szCs w:val="24"/>
        </w:rPr>
      </w:pPr>
      <w:r>
        <w:rPr>
          <w:rFonts w:ascii="宋体" w:eastAsia="宋体" w:hAnsi="宋体" w:cs="宋体" w:hint="eastAsia"/>
          <w:sz w:val="24"/>
          <w:szCs w:val="24"/>
        </w:rPr>
        <w:t xml:space="preserve">3.1投标人自行承担所有与参加投标有关的费用。不论投标的结果如何，淮安市公共资源交易中心盱眙分中心（以下简称交易中心）在任何情况下均无义务和责任承担这些费用。</w:t>
      </w:r>
    </w:p>
    <w:p>
      <w:pPr>
        <w:spacing w:line="400" w:lineRule="exact"/>
        <w:ind w:firstLine="480" w:firstLineChars="200"/>
        <w:outlineLvl w:val="2"/>
        <w:rPr>
          <w:rFonts w:ascii="宋体" w:hAnsi="宋体" w:cs="宋体"/>
          <w:b/>
          <w:sz w:val="24"/>
        </w:rPr>
      </w:pPr>
      <w:r>
        <w:rPr>
          <w:rFonts w:ascii="宋体" w:hAnsi="宋体" w:cs="宋体" w:hint="eastAsia"/>
          <w:b/>
          <w:sz w:val="24"/>
        </w:rPr>
        <w:t xml:space="preserve">二、招标文件构成</w:t>
      </w:r>
    </w:p>
    <w:p>
      <w:pPr>
        <w:spacing w:line="400" w:lineRule="exact"/>
        <w:ind w:firstLine="480" w:firstLineChars="200"/>
        <w:rPr>
          <w:rFonts w:ascii="宋体" w:hAnsi="宋体" w:cs="宋体"/>
          <w:b/>
          <w:sz w:val="24"/>
        </w:rPr>
      </w:pPr>
      <w:r>
        <w:rPr>
          <w:rFonts w:ascii="宋体" w:hAnsi="宋体" w:cs="宋体" w:hint="eastAsia"/>
          <w:b/>
          <w:sz w:val="24"/>
        </w:rPr>
        <w:t xml:space="preserve">4.招标文件</w:t>
      </w:r>
      <w:r>
        <w:rPr>
          <w:rFonts w:ascii="宋体" w:hAnsi="宋体" w:cs="宋体" w:hint="eastAsia"/>
          <w:b/>
          <w:bCs/>
          <w:sz w:val="24"/>
        </w:rPr>
        <w:t xml:space="preserve">包</w:t>
      </w:r>
      <w:r>
        <w:rPr>
          <w:rFonts w:ascii="宋体" w:hAnsi="宋体" w:cs="宋体" w:hint="eastAsia"/>
          <w:b/>
          <w:sz w:val="24"/>
        </w:rPr>
        <w:t xml:space="preserve">括:</w:t>
      </w:r>
    </w:p>
    <w:p>
      <w:pPr>
        <w:spacing w:line="400" w:lineRule="exact"/>
        <w:ind w:firstLine="480" w:firstLineChars="200"/>
        <w:rPr>
          <w:rFonts w:ascii="宋体" w:hAnsi="宋体" w:cs="宋体"/>
          <w:b/>
          <w:sz w:val="24"/>
        </w:rPr>
      </w:pPr>
      <w:r>
        <w:rPr>
          <w:rFonts w:ascii="宋体" w:hAnsi="宋体" w:cs="宋体" w:hint="eastAsia"/>
          <w:b/>
          <w:sz w:val="24"/>
        </w:rPr>
        <w:t xml:space="preserve">第一章   招标文件</w:t>
      </w:r>
    </w:p>
    <w:p>
      <w:pPr>
        <w:spacing w:line="400" w:lineRule="exact"/>
        <w:ind w:firstLine="480" w:firstLineChars="200"/>
        <w:rPr>
          <w:rFonts w:ascii="宋体" w:hAnsi="宋体" w:cs="宋体"/>
          <w:sz w:val="24"/>
        </w:rPr>
      </w:pPr>
      <w:r>
        <w:rPr>
          <w:rFonts w:ascii="宋体" w:hAnsi="宋体" w:cs="宋体" w:hint="eastAsia"/>
          <w:sz w:val="24"/>
        </w:rPr>
        <w:t xml:space="preserve">一、招标公告</w:t>
      </w:r>
    </w:p>
    <w:p>
      <w:pPr>
        <w:spacing w:line="400" w:lineRule="exact"/>
        <w:ind w:firstLine="480" w:firstLineChars="200"/>
        <w:rPr>
          <w:rFonts w:ascii="宋体" w:hAnsi="宋体" w:cs="宋体"/>
          <w:sz w:val="24"/>
        </w:rPr>
      </w:pPr>
      <w:r>
        <w:rPr>
          <w:rFonts w:ascii="宋体" w:hAnsi="宋体" w:cs="宋体" w:hint="eastAsia"/>
          <w:sz w:val="24"/>
        </w:rPr>
        <w:t xml:space="preserve">二、投标人须知</w:t>
      </w:r>
    </w:p>
    <w:p>
      <w:pPr>
        <w:spacing w:line="400" w:lineRule="exact"/>
        <w:ind w:firstLine="480" w:firstLineChars="200"/>
        <w:rPr>
          <w:rFonts w:ascii="宋体" w:hAnsi="宋体" w:cs="宋体"/>
          <w:sz w:val="24"/>
        </w:rPr>
      </w:pPr>
      <w:r>
        <w:rPr>
          <w:rFonts w:ascii="宋体" w:hAnsi="宋体" w:cs="宋体" w:hint="eastAsia"/>
          <w:sz w:val="24"/>
        </w:rPr>
        <w:t xml:space="preserve">三、合同条款前附表</w:t>
      </w:r>
    </w:p>
    <w:p>
      <w:pPr>
        <w:spacing w:line="400" w:lineRule="exact"/>
        <w:ind w:firstLine="480" w:firstLineChars="200"/>
        <w:rPr>
          <w:rFonts w:ascii="宋体" w:hAnsi="宋体" w:cs="宋体"/>
          <w:sz w:val="24"/>
        </w:rPr>
      </w:pPr>
      <w:r>
        <w:rPr>
          <w:rFonts w:ascii="宋体" w:hAnsi="宋体" w:cs="宋体" w:hint="eastAsia"/>
          <w:sz w:val="24"/>
        </w:rPr>
        <w:t xml:space="preserve">四、合同条款</w:t>
      </w:r>
    </w:p>
    <w:p>
      <w:pPr>
        <w:spacing w:line="400" w:lineRule="exact"/>
        <w:ind w:firstLine="480" w:firstLineChars="200"/>
        <w:rPr>
          <w:rFonts w:ascii="宋体" w:hAnsi="宋体" w:cs="宋体"/>
          <w:sz w:val="24"/>
        </w:rPr>
      </w:pPr>
      <w:r>
        <w:rPr>
          <w:rFonts w:ascii="宋体" w:hAnsi="宋体" w:cs="宋体" w:hint="eastAsia"/>
          <w:sz w:val="24"/>
        </w:rPr>
        <w:t xml:space="preserve">五、合同格式</w:t>
      </w:r>
    </w:p>
    <w:p>
      <w:pPr>
        <w:spacing w:line="400" w:lineRule="exact"/>
        <w:ind w:firstLine="480" w:firstLineChars="200"/>
        <w:rPr>
          <w:rFonts w:ascii="宋体" w:hAnsi="宋体" w:cs="宋体"/>
          <w:sz w:val="24"/>
        </w:rPr>
      </w:pPr>
      <w:r>
        <w:rPr>
          <w:rFonts w:ascii="宋体" w:hAnsi="宋体" w:cs="宋体" w:hint="eastAsia"/>
          <w:sz w:val="24"/>
        </w:rPr>
        <w:t xml:space="preserve">六、采购配置及总体要求</w:t>
      </w:r>
    </w:p>
    <w:p>
      <w:pPr>
        <w:spacing w:line="400" w:lineRule="exact"/>
        <w:ind w:firstLine="480" w:firstLineChars="200"/>
        <w:rPr>
          <w:rFonts w:ascii="宋体" w:hAnsi="宋体" w:cs="宋体"/>
          <w:b/>
          <w:sz w:val="24"/>
        </w:rPr>
      </w:pPr>
      <w:r>
        <w:rPr>
          <w:rFonts w:ascii="宋体" w:hAnsi="宋体" w:cs="宋体" w:hint="eastAsia"/>
          <w:b/>
          <w:sz w:val="24"/>
        </w:rPr>
        <w:t xml:space="preserve">第二章   投标文件</w:t>
      </w:r>
    </w:p>
    <w:p>
      <w:pPr>
        <w:spacing w:line="400" w:lineRule="exact"/>
        <w:ind w:firstLine="480" w:firstLineChars="200"/>
        <w:rPr>
          <w:rFonts w:ascii="宋体" w:hAnsi="宋体" w:cs="宋体"/>
          <w:sz w:val="24"/>
        </w:rPr>
      </w:pPr>
      <w:r>
        <w:rPr>
          <w:rFonts w:ascii="宋体" w:hAnsi="宋体" w:cs="宋体" w:hint="eastAsia"/>
          <w:sz w:val="24"/>
        </w:rPr>
        <w:t xml:space="preserve">一、投标函格式</w:t>
      </w:r>
    </w:p>
    <w:p>
      <w:pPr>
        <w:spacing w:line="400" w:lineRule="exact"/>
        <w:ind w:firstLine="480" w:firstLineChars="200"/>
        <w:rPr>
          <w:rFonts w:ascii="宋体" w:hAnsi="宋体" w:cs="宋体"/>
          <w:sz w:val="24"/>
        </w:rPr>
      </w:pPr>
      <w:r>
        <w:rPr>
          <w:rFonts w:ascii="宋体" w:hAnsi="宋体" w:cs="宋体" w:hint="eastAsia"/>
          <w:sz w:val="24"/>
        </w:rPr>
        <w:t xml:space="preserve">二、开标一览表</w:t>
      </w:r>
    </w:p>
    <w:p>
      <w:pPr>
        <w:spacing w:line="400" w:lineRule="exact"/>
        <w:ind w:firstLine="480" w:firstLineChars="200"/>
        <w:rPr>
          <w:rFonts w:ascii="宋体" w:hAnsi="宋体" w:cs="宋体"/>
          <w:sz w:val="24"/>
          <w:u w:val="thick" w:color="0000FF"/>
        </w:rPr>
      </w:pPr>
      <w:r>
        <w:rPr>
          <w:rFonts w:ascii="宋体" w:hAnsi="宋体" w:cs="宋体" w:hint="eastAsia"/>
          <w:sz w:val="24"/>
        </w:rPr>
        <w:t xml:space="preserve">三、服务承诺</w:t>
      </w:r>
    </w:p>
    <w:p>
      <w:pPr>
        <w:spacing w:line="400" w:lineRule="exact"/>
        <w:ind w:firstLine="480" w:firstLineChars="200"/>
        <w:rPr>
          <w:rFonts w:ascii="宋体" w:hAnsi="宋体" w:cs="宋体"/>
          <w:sz w:val="24"/>
        </w:rPr>
      </w:pPr>
      <w:r>
        <w:rPr>
          <w:rFonts w:ascii="宋体" w:hAnsi="宋体" w:cs="宋体" w:hint="eastAsia"/>
          <w:sz w:val="24"/>
        </w:rPr>
        <w:t xml:space="preserve">四、资格证明文件</w:t>
      </w:r>
    </w:p>
    <w:p>
      <w:pPr>
        <w:spacing w:line="400" w:lineRule="exact"/>
        <w:ind w:firstLine="480" w:firstLineChars="200"/>
        <w:rPr>
          <w:rFonts w:ascii="宋体" w:hAnsi="宋体" w:cs="宋体"/>
          <w:sz w:val="24"/>
        </w:rPr>
      </w:pPr>
      <w:r>
        <w:rPr>
          <w:rFonts w:ascii="宋体" w:hAnsi="宋体" w:cs="宋体" w:hint="eastAsia"/>
          <w:sz w:val="24"/>
        </w:rPr>
        <w:t xml:space="preserve">五、</w:t>
      </w:r>
      <w:r>
        <w:rPr>
          <w:rFonts w:ascii="宋体" w:hAnsi="宋体" w:cs="宋体" w:hint="eastAsia"/>
          <w:bCs/>
          <w:sz w:val="24"/>
        </w:rPr>
        <w:t xml:space="preserve">投标人认为有必要提供并说明的其它资料</w:t>
      </w:r>
    </w:p>
    <w:p>
      <w:pPr>
        <w:spacing w:line="400" w:lineRule="exact"/>
        <w:ind w:firstLine="480" w:firstLineChars="200"/>
        <w:rPr>
          <w:rFonts w:ascii="宋体" w:hAnsi="宋体" w:cs="宋体"/>
          <w:b/>
          <w:sz w:val="24"/>
        </w:rPr>
      </w:pPr>
      <w:r>
        <w:rPr>
          <w:rFonts w:ascii="宋体" w:hAnsi="宋体" w:cs="宋体" w:hint="eastAsia"/>
          <w:b/>
          <w:sz w:val="24"/>
        </w:rPr>
        <w:t xml:space="preserve">5.招标文件的澄清</w:t>
      </w:r>
    </w:p>
    <w:p>
      <w:pPr>
        <w:autoSpaceDE w:val="0"/>
        <w:autoSpaceDN w:val="0"/>
        <w:adjustRightInd w:val="0"/>
        <w:spacing w:line="400" w:lineRule="exact"/>
        <w:ind w:firstLine="480" w:firstLineChars="200"/>
        <w:rPr>
          <w:rFonts w:ascii="宋体" w:hAnsi="宋体" w:cs="宋体"/>
          <w:sz w:val="24"/>
          <w:lang w:val="zh-CN"/>
        </w:rPr>
      </w:pPr>
      <w:r>
        <w:rPr>
          <w:rFonts w:ascii="宋体" w:hAnsi="宋体" w:cs="宋体" w:hint="eastAsia"/>
          <w:sz w:val="24"/>
        </w:rPr>
        <w:t xml:space="preserve">5.1任何对招标文件要求进行澄清的投标人，均应在投标截止时间前十五日按投标邀请中的通讯地址，以书面形式（如信件、传真等）送达采购单位，采购人对投标截止时间前十五日收到的任何澄清要求将以书面形式予以答复（邮寄或传真）。由于投标人所留联系方式有问题而导致采购人无法通知的，其责任由投标人自行承担。</w:t>
      </w:r>
      <w:r>
        <w:rPr>
          <w:rFonts w:ascii="宋体" w:hAnsi="宋体" w:cs="宋体" w:hint="eastAsia"/>
          <w:sz w:val="24"/>
          <w:lang w:val="zh-CN"/>
        </w:rPr>
        <w:t xml:space="preserve">（逾期递交对招标文件要求进行澄清的，</w:t>
      </w:r>
      <w:r>
        <w:rPr>
          <w:rFonts w:ascii="宋体" w:hAnsi="宋体" w:cs="宋体" w:hint="eastAsia"/>
          <w:sz w:val="24"/>
        </w:rPr>
        <w:t xml:space="preserve">采购人</w:t>
      </w:r>
      <w:r>
        <w:rPr>
          <w:rFonts w:ascii="宋体" w:hAnsi="宋体" w:cs="宋体" w:hint="eastAsia"/>
          <w:sz w:val="24"/>
          <w:lang w:val="zh-CN"/>
        </w:rPr>
        <w:t xml:space="preserve">不予受理）</w:t>
      </w:r>
    </w:p>
    <w:p>
      <w:pPr>
        <w:spacing w:line="400" w:lineRule="exact"/>
        <w:ind w:firstLine="480" w:firstLineChars="200"/>
        <w:rPr>
          <w:rFonts w:ascii="宋体" w:hAnsi="宋体" w:cs="宋体"/>
          <w:b/>
          <w:sz w:val="24"/>
        </w:rPr>
      </w:pPr>
      <w:r>
        <w:rPr>
          <w:rFonts w:ascii="宋体" w:hAnsi="宋体" w:cs="宋体" w:hint="eastAsia"/>
          <w:b/>
          <w:sz w:val="24"/>
        </w:rPr>
        <w:t xml:space="preserve">6.招标文件的修改</w:t>
      </w:r>
    </w:p>
    <w:p>
      <w:pPr>
        <w:spacing w:line="400" w:lineRule="exact"/>
        <w:ind w:firstLine="480" w:firstLineChars="200"/>
        <w:rPr>
          <w:rFonts w:ascii="宋体" w:hAnsi="宋体" w:cs="宋体"/>
          <w:sz w:val="24"/>
        </w:rPr>
      </w:pPr>
      <w:r>
        <w:rPr>
          <w:rFonts w:ascii="宋体" w:hAnsi="宋体" w:cs="宋体" w:hint="eastAsia"/>
          <w:sz w:val="24"/>
        </w:rPr>
        <w:t xml:space="preserve">6.1在投标截止时间十五日前，采购人可主动地或在解答投标人提出的澄清问题时对招标文件进行修改。</w:t>
      </w:r>
    </w:p>
    <w:p>
      <w:pPr>
        <w:autoSpaceDE w:val="0"/>
        <w:autoSpaceDN w:val="0"/>
        <w:adjustRightInd w:val="0"/>
        <w:spacing w:line="400" w:lineRule="exact"/>
        <w:ind w:firstLine="480" w:firstLineChars="200"/>
        <w:rPr>
          <w:rFonts w:ascii="宋体" w:hAnsi="宋体" w:cs="宋体"/>
          <w:sz w:val="24"/>
          <w:lang w:val="zh-CN"/>
        </w:rPr>
      </w:pPr>
      <w:r>
        <w:rPr>
          <w:rFonts w:ascii="宋体" w:hAnsi="宋体" w:cs="宋体" w:hint="eastAsia"/>
          <w:sz w:val="24"/>
          <w:lang w:val="zh-CN"/>
        </w:rPr>
        <w:t xml:space="preserve">6.2招标文件的修改将以</w:t>
      </w:r>
      <w:r>
        <w:rPr>
          <w:rFonts w:ascii="宋体" w:hAnsi="宋体" w:cs="宋体" w:hint="eastAsia"/>
          <w:bCs/>
          <w:sz w:val="24"/>
        </w:rPr>
        <w:t xml:space="preserve">淮安市公共资源交易网盱眙板块</w:t>
      </w:r>
      <w:r>
        <w:rPr>
          <w:rFonts w:ascii="宋体" w:hAnsi="宋体" w:cs="宋体" w:hint="eastAsia"/>
          <w:sz w:val="24"/>
          <w:lang w:val="zh-CN"/>
        </w:rPr>
        <w:t xml:space="preserve">公告的形式进行发布，投标人应持续关注</w:t>
      </w:r>
      <w:r>
        <w:rPr>
          <w:rFonts w:ascii="宋体" w:hAnsi="宋体" w:cs="宋体" w:hint="eastAsia"/>
          <w:bCs/>
          <w:sz w:val="24"/>
        </w:rPr>
        <w:t xml:space="preserve">淮安市公共资源交易网盱眙板块信息</w:t>
      </w:r>
      <w:r>
        <w:rPr>
          <w:rFonts w:ascii="宋体" w:hAnsi="宋体" w:cs="宋体" w:hint="eastAsia"/>
          <w:sz w:val="24"/>
          <w:lang w:val="zh-CN"/>
        </w:rPr>
        <w:t xml:space="preserve">。补充文件将作为招标文件的组成部分，对所有投标人都具有约束力。</w:t>
      </w:r>
    </w:p>
    <w:p>
      <w:pPr>
        <w:spacing w:line="400" w:lineRule="exact"/>
        <w:ind w:firstLine="480" w:firstLineChars="200"/>
        <w:rPr>
          <w:rFonts w:ascii="宋体" w:hAnsi="宋体" w:cs="宋体"/>
          <w:sz w:val="24"/>
        </w:rPr>
      </w:pPr>
      <w:r>
        <w:rPr>
          <w:rFonts w:ascii="宋体" w:hAnsi="宋体" w:cs="宋体" w:hint="eastAsia"/>
          <w:sz w:val="24"/>
          <w:lang w:val="zh-CN"/>
        </w:rPr>
        <w:t xml:space="preserve">6.3</w:t>
      </w:r>
      <w:r>
        <w:rPr>
          <w:rFonts w:ascii="宋体" w:hAnsi="宋体" w:cs="宋体" w:hint="eastAsia"/>
          <w:sz w:val="24"/>
        </w:rPr>
        <w:t xml:space="preserve">投标人在收到补充通知后，应于一个工作日内正式书面回函采购人。逾期不回的，采购人视同投标人已收到补充通知。</w:t>
      </w:r>
    </w:p>
    <w:p>
      <w:pPr>
        <w:spacing w:line="400" w:lineRule="exact"/>
        <w:ind w:firstLine="480" w:firstLineChars="200"/>
        <w:rPr>
          <w:rFonts w:ascii="宋体" w:hAnsi="宋体" w:cs="宋体"/>
          <w:sz w:val="24"/>
          <w:lang w:val="zh-CN"/>
        </w:rPr>
      </w:pPr>
      <w:r>
        <w:rPr>
          <w:rFonts w:ascii="宋体" w:hAnsi="宋体" w:cs="宋体" w:hint="eastAsia"/>
          <w:sz w:val="24"/>
        </w:rPr>
        <w:t xml:space="preserve">6.4采购人</w:t>
      </w:r>
      <w:r>
        <w:rPr>
          <w:rFonts w:ascii="宋体" w:hAnsi="宋体" w:cs="宋体" w:hint="eastAsia"/>
          <w:sz w:val="24"/>
          <w:lang w:val="zh-CN"/>
        </w:rPr>
        <w:t xml:space="preserve">有权酌情推迟投标截止时间和开标日期，并在淮安市公共资源交易网公告。</w:t>
      </w:r>
    </w:p>
    <w:p>
      <w:pPr>
        <w:spacing w:line="400" w:lineRule="exact"/>
        <w:ind w:firstLine="480" w:firstLineChars="200"/>
        <w:outlineLvl w:val="2"/>
        <w:rPr>
          <w:rFonts w:ascii="宋体" w:hAnsi="宋体" w:cs="宋体"/>
          <w:b/>
          <w:bCs/>
          <w:sz w:val="24"/>
        </w:rPr>
      </w:pPr>
      <w:r>
        <w:rPr>
          <w:rFonts w:ascii="宋体" w:hAnsi="宋体" w:cs="宋体" w:hint="eastAsia"/>
          <w:b/>
          <w:bCs/>
          <w:sz w:val="24"/>
        </w:rPr>
        <w:t xml:space="preserve">三、投标文件的编制</w:t>
      </w:r>
    </w:p>
    <w:p>
      <w:pPr>
        <w:spacing w:line="400" w:lineRule="exact"/>
        <w:ind w:firstLine="480" w:firstLineChars="200"/>
        <w:rPr>
          <w:rFonts w:ascii="宋体" w:hAnsi="宋体" w:cs="宋体"/>
          <w:b/>
          <w:sz w:val="24"/>
        </w:rPr>
      </w:pPr>
      <w:r>
        <w:rPr>
          <w:rFonts w:ascii="宋体" w:hAnsi="宋体" w:cs="宋体" w:hint="eastAsia"/>
          <w:b/>
          <w:sz w:val="24"/>
        </w:rPr>
        <w:t xml:space="preserve">7.投标文件的语言及计量单位</w:t>
      </w:r>
    </w:p>
    <w:p>
      <w:pPr>
        <w:spacing w:line="400" w:lineRule="exact"/>
        <w:ind w:firstLine="480" w:firstLineChars="200"/>
        <w:rPr>
          <w:rFonts w:ascii="宋体" w:hAnsi="宋体" w:cs="宋体"/>
          <w:sz w:val="24"/>
        </w:rPr>
      </w:pPr>
      <w:r>
        <w:rPr>
          <w:rFonts w:ascii="宋体" w:hAnsi="宋体" w:cs="宋体" w:hint="eastAsia"/>
          <w:sz w:val="24"/>
        </w:rPr>
        <w:t xml:space="preserve">7.1投标人提交的投标文件以及投标人与交易中心就有关投标的所有来往函电均应使用简体中文。</w:t>
      </w:r>
    </w:p>
    <w:p>
      <w:pPr>
        <w:spacing w:line="400" w:lineRule="exact"/>
        <w:ind w:firstLine="480" w:firstLineChars="200"/>
        <w:rPr>
          <w:rFonts w:ascii="宋体" w:hAnsi="宋体" w:cs="宋体"/>
          <w:sz w:val="24"/>
          <w:lang w:val="zh-CN"/>
        </w:rPr>
      </w:pPr>
      <w:r>
        <w:rPr>
          <w:rFonts w:ascii="宋体" w:hAnsi="宋体" w:cs="宋体" w:hint="eastAsia"/>
          <w:sz w:val="24"/>
        </w:rPr>
        <w:t xml:space="preserve">7.2</w:t>
      </w:r>
      <w:r>
        <w:rPr>
          <w:rFonts w:ascii="宋体" w:hAnsi="宋体" w:cs="宋体" w:hint="eastAsia"/>
          <w:sz w:val="24"/>
          <w:lang w:val="zh-CN"/>
        </w:rPr>
        <w:t xml:space="preserve">除招标文件中另有规定外，投标文件所使用的计量单位，均须采用国家法定计量单位。</w:t>
      </w:r>
    </w:p>
    <w:p>
      <w:pPr>
        <w:spacing w:line="400" w:lineRule="exact"/>
        <w:ind w:firstLine="480" w:firstLineChars="200"/>
        <w:rPr>
          <w:rFonts w:ascii="宋体" w:hAnsi="宋体" w:cs="宋体"/>
          <w:sz w:val="24"/>
        </w:rPr>
      </w:pPr>
      <w:r>
        <w:rPr>
          <w:rFonts w:ascii="宋体" w:hAnsi="宋体" w:cs="宋体" w:hint="eastAsia"/>
          <w:b/>
          <w:sz w:val="24"/>
        </w:rPr>
        <w:t xml:space="preserve">8.投标文件构成</w:t>
      </w:r>
    </w:p>
    <w:p>
      <w:pPr>
        <w:spacing w:line="400" w:lineRule="exact"/>
        <w:ind w:firstLine="480" w:firstLineChars="200"/>
        <w:rPr>
          <w:rFonts w:ascii="宋体" w:hAnsi="宋体" w:cs="宋体"/>
          <w:spacing w:val="6"/>
          <w:sz w:val="24"/>
        </w:rPr>
      </w:pPr>
      <w:r>
        <w:rPr>
          <w:rFonts w:ascii="宋体" w:hAnsi="宋体" w:cs="宋体" w:hint="eastAsia"/>
          <w:spacing w:val="6"/>
          <w:sz w:val="24"/>
        </w:rPr>
        <w:t xml:space="preserve">8.1</w:t>
      </w:r>
      <w:r>
        <w:rPr>
          <w:rFonts w:ascii="宋体" w:hAnsi="宋体" w:cs="宋体" w:hint="eastAsia"/>
          <w:sz w:val="24"/>
        </w:rPr>
        <w:t xml:space="preserve">投标人编写的投标文件应包括下列部分:</w:t>
      </w:r>
    </w:p>
    <w:p>
      <w:pPr>
        <w:spacing w:line="400" w:lineRule="exact"/>
        <w:ind w:firstLine="480" w:firstLineChars="200"/>
        <w:rPr>
          <w:rFonts w:ascii="宋体" w:hAnsi="宋体" w:cs="宋体"/>
          <w:spacing w:val="6"/>
          <w:sz w:val="24"/>
        </w:rPr>
      </w:pPr>
      <w:r>
        <w:rPr>
          <w:rFonts w:ascii="宋体" w:hAnsi="宋体" w:cs="宋体" w:hint="eastAsia"/>
          <w:spacing w:val="6"/>
          <w:sz w:val="24"/>
        </w:rPr>
        <w:t xml:space="preserve">8.1.1按照要求填写的投标函；</w:t>
      </w:r>
    </w:p>
    <w:p>
      <w:pPr>
        <w:spacing w:line="400" w:lineRule="exact"/>
        <w:ind w:firstLine="480" w:firstLineChars="200"/>
        <w:rPr>
          <w:rFonts w:ascii="宋体" w:hAnsi="宋体" w:cs="宋体"/>
          <w:spacing w:val="6"/>
          <w:sz w:val="24"/>
        </w:rPr>
      </w:pPr>
      <w:r>
        <w:rPr>
          <w:rFonts w:ascii="宋体" w:hAnsi="宋体" w:cs="宋体" w:hint="eastAsia"/>
          <w:spacing w:val="6"/>
          <w:sz w:val="24"/>
        </w:rPr>
        <w:t xml:space="preserve">8.1.2按照第9条要求填写的</w:t>
      </w:r>
      <w:r>
        <w:rPr>
          <w:rFonts w:ascii="宋体" w:hAnsi="宋体" w:cs="宋体" w:hint="eastAsia"/>
          <w:sz w:val="24"/>
        </w:rPr>
        <w:t xml:space="preserve">开标一览表</w:t>
      </w:r>
      <w:r>
        <w:rPr>
          <w:rFonts w:ascii="宋体" w:hAnsi="宋体" w:cs="宋体" w:hint="eastAsia"/>
          <w:spacing w:val="6"/>
          <w:sz w:val="24"/>
        </w:rPr>
        <w:t xml:space="preserve">；</w:t>
      </w:r>
    </w:p>
    <w:p>
      <w:pPr>
        <w:spacing w:line="400" w:lineRule="exact"/>
        <w:ind w:firstLine="480" w:firstLineChars="200"/>
        <w:rPr>
          <w:rFonts w:ascii="宋体" w:hAnsi="宋体" w:cs="宋体"/>
          <w:spacing w:val="6"/>
          <w:sz w:val="24"/>
        </w:rPr>
      </w:pPr>
      <w:r>
        <w:rPr>
          <w:rFonts w:ascii="宋体" w:hAnsi="宋体" w:cs="宋体" w:hint="eastAsia"/>
          <w:sz w:val="24"/>
        </w:rPr>
        <w:t xml:space="preserve">8.1.3</w:t>
      </w:r>
      <w:r>
        <w:rPr>
          <w:rFonts w:ascii="宋体" w:hAnsi="宋体" w:cs="宋体" w:hint="eastAsia"/>
          <w:spacing w:val="6"/>
          <w:sz w:val="24"/>
        </w:rPr>
        <w:t xml:space="preserve">按照第12条要求作出的服务承诺； </w:t>
      </w:r>
    </w:p>
    <w:p>
      <w:pPr>
        <w:spacing w:line="400" w:lineRule="exact"/>
        <w:ind w:firstLine="480" w:firstLineChars="200"/>
        <w:rPr>
          <w:rFonts w:ascii="宋体" w:hAnsi="宋体" w:cs="宋体"/>
          <w:sz w:val="24"/>
          <w:lang w:val="zh-CN"/>
        </w:rPr>
      </w:pPr>
      <w:r>
        <w:rPr>
          <w:rFonts w:ascii="宋体" w:hAnsi="宋体" w:cs="宋体" w:hint="eastAsia"/>
          <w:spacing w:val="6"/>
          <w:sz w:val="24"/>
        </w:rPr>
        <w:t xml:space="preserve">8.1.4按照第13条要求出具资格证明文件；</w:t>
      </w:r>
      <w:r>
        <w:rPr>
          <w:rFonts w:ascii="宋体" w:hAnsi="宋体" w:cs="宋体" w:hint="eastAsia"/>
          <w:sz w:val="24"/>
          <w:lang w:val="zh-CN"/>
        </w:rPr>
        <w:t xml:space="preserve">证明投标人是合格的，中标人有能力履行合同；</w:t>
      </w:r>
    </w:p>
    <w:p>
      <w:pPr>
        <w:spacing w:line="400" w:lineRule="exact"/>
        <w:ind w:firstLine="480" w:firstLineChars="200"/>
        <w:rPr>
          <w:rFonts w:ascii="宋体" w:hAnsi="宋体" w:cs="宋体"/>
          <w:b/>
          <w:sz w:val="24"/>
        </w:rPr>
      </w:pPr>
      <w:r>
        <w:rPr>
          <w:rFonts w:ascii="宋体" w:hAnsi="宋体" w:cs="宋体" w:hint="eastAsia"/>
          <w:b/>
          <w:sz w:val="24"/>
        </w:rPr>
        <w:t xml:space="preserve">9.开标一览表</w:t>
      </w:r>
    </w:p>
    <w:p>
      <w:pPr>
        <w:spacing w:line="400" w:lineRule="exact"/>
        <w:ind w:firstLine="480" w:firstLineChars="200"/>
        <w:rPr>
          <w:rFonts w:ascii="宋体" w:hAnsi="宋体" w:cs="宋体"/>
          <w:sz w:val="24"/>
          <w:lang w:val="zh-CN"/>
        </w:rPr>
      </w:pPr>
      <w:r>
        <w:rPr>
          <w:rFonts w:ascii="宋体" w:hAnsi="宋体" w:cs="宋体" w:hint="eastAsia"/>
          <w:sz w:val="24"/>
        </w:rPr>
        <w:t xml:space="preserve">9.1投标人必须按照招标文件中提供的开标一览表的规定格式完整、清晰、正确填写,</w:t>
      </w:r>
      <w:r>
        <w:rPr>
          <w:rFonts w:ascii="宋体" w:hAnsi="宋体" w:cs="宋体" w:hint="eastAsia"/>
          <w:sz w:val="24"/>
          <w:lang w:val="zh-CN"/>
        </w:rPr>
        <w:t xml:space="preserve">不得自行增减内容。</w:t>
      </w:r>
    </w:p>
    <w:p>
      <w:pPr>
        <w:spacing w:line="400" w:lineRule="exact"/>
        <w:ind w:firstLine="480" w:firstLineChars="200"/>
        <w:rPr>
          <w:rFonts w:ascii="宋体" w:hAnsi="宋体" w:cs="宋体"/>
          <w:sz w:val="24"/>
        </w:rPr>
      </w:pPr>
      <w:r>
        <w:rPr>
          <w:rFonts w:ascii="宋体" w:hAnsi="宋体" w:cs="宋体" w:hint="eastAsia"/>
          <w:sz w:val="24"/>
        </w:rPr>
        <w:t xml:space="preserve">9.2开标一览表中不得填报有选择性报价方案，表中内容应与投标文件中的内容完全一致，如不一致的，以开标一览表内容为准。</w:t>
      </w:r>
    </w:p>
    <w:p>
      <w:pPr>
        <w:spacing w:line="400" w:lineRule="exact"/>
        <w:ind w:firstLine="480" w:firstLineChars="200"/>
        <w:rPr>
          <w:rFonts w:ascii="宋体" w:hAnsi="宋体" w:cs="宋体"/>
          <w:b/>
          <w:sz w:val="24"/>
        </w:rPr>
      </w:pPr>
      <w:r>
        <w:rPr>
          <w:rFonts w:ascii="宋体" w:hAnsi="宋体" w:cs="宋体" w:hint="eastAsia"/>
          <w:b/>
          <w:sz w:val="24"/>
        </w:rPr>
        <w:t xml:space="preserve">10.投标报价</w:t>
      </w:r>
    </w:p>
    <w:p>
      <w:pPr>
        <w:spacing w:line="400" w:lineRule="exact"/>
        <w:ind w:firstLine="480" w:firstLineChars="200"/>
        <w:rPr>
          <w:rFonts w:ascii="宋体" w:hAnsi="宋体" w:cs="宋体"/>
          <w:sz w:val="24"/>
        </w:rPr>
      </w:pPr>
      <w:r>
        <w:rPr>
          <w:rFonts w:ascii="宋体" w:hAnsi="宋体" w:cs="宋体" w:hint="eastAsia"/>
          <w:sz w:val="24"/>
        </w:rPr>
        <w:t xml:space="preserve">10.1投标人应在投标文件中的投标报价表上标明本合同拟提供货物的单价和总价。任何有选择的报价将不予接受，每种规格货物只允许有一个报价。</w:t>
      </w:r>
    </w:p>
    <w:p>
      <w:pPr>
        <w:spacing w:line="400" w:lineRule="exact"/>
        <w:ind w:firstLine="480" w:firstLineChars="200"/>
        <w:rPr>
          <w:rFonts w:ascii="宋体" w:hAnsi="宋体" w:cs="宋体"/>
          <w:sz w:val="24"/>
        </w:rPr>
      </w:pPr>
      <w:r>
        <w:rPr>
          <w:rFonts w:ascii="宋体" w:hAnsi="宋体" w:cs="宋体" w:hint="eastAsia"/>
          <w:sz w:val="24"/>
        </w:rPr>
        <w:t xml:space="preserve">10.2投标报价表上的价格应按下列方式分开填写:</w:t>
      </w:r>
    </w:p>
    <w:p>
      <w:pPr>
        <w:spacing w:line="400" w:lineRule="exact"/>
        <w:ind w:firstLine="480" w:firstLineChars="200"/>
        <w:rPr>
          <w:rFonts w:ascii="宋体" w:hAnsi="宋体" w:cs="宋体"/>
          <w:sz w:val="24"/>
        </w:rPr>
      </w:pPr>
      <w:r>
        <w:rPr>
          <w:rFonts w:ascii="宋体" w:hAnsi="宋体" w:cs="宋体" w:hint="eastAsia"/>
          <w:sz w:val="24"/>
        </w:rPr>
        <w:t xml:space="preserve">（1）货物的总价:包括制造和装配货物所使用的材料、部件、售后服务的费用及货物本身已支付或将支付的进口税、增值税、营业税和其它税费；</w:t>
      </w:r>
    </w:p>
    <w:p>
      <w:pPr>
        <w:spacing w:line="400" w:lineRule="exact"/>
        <w:ind w:firstLine="480" w:firstLineChars="200"/>
        <w:rPr>
          <w:rFonts w:ascii="宋体" w:hAnsi="宋体" w:cs="宋体"/>
          <w:sz w:val="24"/>
        </w:rPr>
      </w:pPr>
      <w:r>
        <w:rPr>
          <w:rFonts w:ascii="宋体" w:hAnsi="宋体" w:cs="宋体" w:hint="eastAsia"/>
          <w:sz w:val="24"/>
        </w:rPr>
        <w:t xml:space="preserve">（2）技术规格中特别要求的备件价格；</w:t>
      </w:r>
    </w:p>
    <w:p>
      <w:pPr>
        <w:spacing w:line="400" w:lineRule="exact"/>
        <w:ind w:firstLine="480" w:firstLineChars="200"/>
        <w:rPr>
          <w:rFonts w:ascii="宋体" w:hAnsi="宋体" w:cs="宋体"/>
          <w:sz w:val="24"/>
        </w:rPr>
      </w:pPr>
      <w:r>
        <w:rPr>
          <w:rFonts w:ascii="宋体" w:hAnsi="宋体" w:cs="宋体" w:hint="eastAsia"/>
          <w:sz w:val="24"/>
        </w:rPr>
        <w:t xml:space="preserve">（3）运输费、保险费和货物交付使用前所产生的其它费用；</w:t>
      </w:r>
    </w:p>
    <w:p>
      <w:pPr>
        <w:widowControl/>
        <w:shd w:val="clear" w:color="auto" w:fill="FFFFFF"/>
        <w:spacing w:line="360" w:lineRule="atLeast"/>
        <w:ind w:firstLine="480" w:firstLineChars="200"/>
        <w:jc w:val="left"/>
        <w:rPr>
          <w:rFonts w:ascii="宋体" w:hAnsi="宋体" w:cs="宋体"/>
          <w:color w:val="000000" w:themeColor="text1"/>
          <w:kern w:val="0"/>
          <w:sz w:val="24"/>
          <w:shd w:val="clear" w:color="auto" w:fill="FFFFFF"/>
          <w14:textFill>
            <w14:solidFill>
              <w14:schemeClr w14:val="tx1"/>
            </w14:solidFill>
          </w14:textFill>
        </w:rPr>
      </w:pPr>
      <w:r>
        <w:rPr>
          <w:rFonts w:ascii="宋体" w:hAnsi="宋体" w:cs="宋体" w:hint="eastAsia"/>
          <w:sz w:val="24"/>
        </w:rPr>
        <w:t xml:space="preserve">（4）</w:t>
      </w:r>
      <w:r>
        <w:rPr>
          <w:rFonts w:ascii="宋体" w:hAnsi="宋体" w:cs="宋体" w:hint="eastAsia"/>
          <w:color w:val="000000" w:themeColor="text1"/>
          <w:kern w:val="0"/>
          <w:sz w:val="24"/>
          <w:shd w:val="clear" w:color="auto" w:fill="FFFFFF"/>
          <w14:textFill>
            <w14:solidFill>
              <w14:schemeClr w14:val="tx1"/>
            </w14:solidFill>
          </w14:textFill>
        </w:rPr>
        <w:t xml:space="preserve">本次采购项目招标代理费参照江苏省招标投标协会苏招协【2022】002号《江苏省招标代理收费的指导意见》文件收取，由中标单位领取中标通知书时缴纳。</w:t>
      </w:r>
    </w:p>
    <w:p>
      <w:pPr>
        <w:spacing w:line="400" w:lineRule="exact"/>
        <w:ind w:firstLine="480" w:firstLineChars="200"/>
        <w:rPr>
          <w:rFonts w:ascii="宋体" w:hAnsi="宋体" w:cs="宋体"/>
          <w:b/>
          <w:sz w:val="24"/>
        </w:rPr>
      </w:pPr>
      <w:r>
        <w:rPr>
          <w:rFonts w:ascii="宋体" w:hAnsi="宋体" w:cs="宋体" w:hint="eastAsia"/>
          <w:b/>
          <w:sz w:val="24"/>
        </w:rPr>
        <w:t xml:space="preserve">（5）最高限价:</w:t>
      </w:r>
      <w:r>
        <w:rPr>
          <w:rFonts w:ascii="宋体" w:hAnsi="宋体" w:cs="宋体" w:hint="eastAsia"/>
          <w:b/>
          <w:sz w:val="24"/>
          <w:lang w:val="en-US" w:eastAsia="zh-CN"/>
        </w:rPr>
        <w:t xml:space="preserve"> </w:t>
      </w:r>
      <w:r>
        <w:rPr>
          <w:rFonts w:ascii="宋体" w:hAnsi="宋体" w:cs="宋体" w:hint="eastAsia"/>
          <w:b/>
          <w:sz w:val="24"/>
          <w:highlight w:val="none"/>
          <w:lang w:val="en-US" w:eastAsia="zh-CN"/>
        </w:rPr>
        <w:t xml:space="preserve"> 35万</w:t>
      </w:r>
      <w:r>
        <w:rPr>
          <w:rFonts w:ascii="宋体" w:hAnsi="宋体" w:cs="宋体" w:hint="eastAsia"/>
          <w:b/>
          <w:sz w:val="24"/>
          <w:highlight w:val="none"/>
          <w:lang w:eastAsia="zh-CN"/>
        </w:rPr>
        <w:t xml:space="preserve">元</w:t>
      </w:r>
      <w:r>
        <w:rPr>
          <w:rFonts w:ascii="宋体" w:hAnsi="宋体" w:cs="宋体" w:hint="eastAsia"/>
          <w:b/>
          <w:sz w:val="24"/>
        </w:rPr>
        <w:t xml:space="preserve">，投标报价超过预算限价的，视为重大偏差，作废标处理。</w:t>
      </w:r>
    </w:p>
    <w:p>
      <w:pPr>
        <w:spacing w:line="400" w:lineRule="exact"/>
        <w:ind w:firstLine="480" w:firstLineChars="200"/>
        <w:rPr>
          <w:rFonts w:ascii="宋体" w:hAnsi="宋体" w:cs="宋体"/>
          <w:sz w:val="24"/>
        </w:rPr>
      </w:pPr>
      <w:r>
        <w:rPr>
          <w:rFonts w:ascii="宋体" w:hAnsi="宋体" w:cs="宋体" w:hint="eastAsia"/>
          <w:sz w:val="24"/>
        </w:rPr>
        <w:t xml:space="preserve">10.3技术规格要求的安装、校准、调试和培训的费用应包括在投标报价中。</w:t>
      </w:r>
    </w:p>
    <w:p>
      <w:pPr>
        <w:spacing w:line="400" w:lineRule="exact"/>
        <w:ind w:firstLine="480" w:firstLineChars="200"/>
        <w:rPr>
          <w:rFonts w:ascii="宋体" w:hAnsi="宋体" w:cs="宋体"/>
          <w:b/>
          <w:sz w:val="24"/>
        </w:rPr>
      </w:pPr>
      <w:r>
        <w:rPr>
          <w:rFonts w:ascii="宋体" w:hAnsi="宋体" w:cs="宋体" w:hint="eastAsia"/>
          <w:b/>
          <w:sz w:val="24"/>
        </w:rPr>
        <w:t xml:space="preserve">11.技术方案的响应</w:t>
      </w:r>
    </w:p>
    <w:p>
      <w:pPr>
        <w:spacing w:line="400" w:lineRule="exact"/>
        <w:ind w:firstLine="480" w:firstLineChars="200"/>
        <w:rPr>
          <w:rFonts w:ascii="宋体" w:hAnsi="宋体" w:cs="宋体"/>
          <w:sz w:val="24"/>
        </w:rPr>
      </w:pPr>
      <w:r>
        <w:rPr>
          <w:rFonts w:ascii="宋体" w:hAnsi="宋体" w:cs="宋体" w:hint="eastAsia"/>
          <w:sz w:val="24"/>
        </w:rPr>
        <w:t xml:space="preserve">11.1投标人应对招标文件中的技术要求作出实质性响应。</w:t>
      </w:r>
    </w:p>
    <w:p>
      <w:pPr>
        <w:spacing w:line="400" w:lineRule="exact"/>
        <w:ind w:firstLine="480" w:firstLineChars="200"/>
        <w:rPr>
          <w:rFonts w:ascii="宋体" w:hAnsi="宋体" w:cs="宋体"/>
          <w:b/>
          <w:sz w:val="24"/>
          <w:lang w:val="zh-CN"/>
        </w:rPr>
      </w:pPr>
      <w:r>
        <w:rPr>
          <w:rFonts w:ascii="宋体" w:hAnsi="宋体" w:cs="宋体" w:hint="eastAsia"/>
          <w:b/>
          <w:sz w:val="24"/>
          <w:lang w:val="zh-CN"/>
        </w:rPr>
        <w:t xml:space="preserve">12.服务承诺</w:t>
      </w:r>
    </w:p>
    <w:p>
      <w:pPr>
        <w:spacing w:line="400" w:lineRule="exact"/>
        <w:ind w:firstLine="480" w:firstLineChars="200"/>
        <w:rPr>
          <w:rFonts w:ascii="宋体" w:hAnsi="宋体" w:cs="宋体"/>
          <w:sz w:val="24"/>
          <w:lang w:val="zh-CN"/>
        </w:rPr>
      </w:pPr>
      <w:r>
        <w:rPr>
          <w:rFonts w:ascii="宋体" w:hAnsi="宋体" w:cs="宋体" w:hint="eastAsia"/>
          <w:sz w:val="24"/>
          <w:lang w:val="zh-CN"/>
        </w:rPr>
        <w:t xml:space="preserve">12.1投标人的服务承诺应按不低于招标文件中基本服务要求的标准，并作出响应。</w:t>
      </w:r>
    </w:p>
    <w:p>
      <w:pPr>
        <w:spacing w:line="400" w:lineRule="exact"/>
        <w:ind w:firstLine="480" w:firstLineChars="200"/>
        <w:rPr>
          <w:rFonts w:ascii="宋体" w:hAnsi="宋体" w:cs="宋体"/>
          <w:b/>
          <w:sz w:val="24"/>
        </w:rPr>
      </w:pPr>
      <w:r>
        <w:rPr>
          <w:rFonts w:ascii="宋体" w:hAnsi="宋体" w:cs="宋体" w:hint="eastAsia"/>
          <w:b/>
          <w:sz w:val="24"/>
        </w:rPr>
        <w:t xml:space="preserve">13.证明投标人资格的文件</w:t>
      </w:r>
    </w:p>
    <w:p>
      <w:pPr>
        <w:spacing w:line="400" w:lineRule="exact"/>
        <w:ind w:firstLine="480" w:firstLineChars="200"/>
        <w:rPr>
          <w:rFonts w:ascii="宋体" w:hAnsi="宋体" w:cs="宋体"/>
          <w:sz w:val="24"/>
        </w:rPr>
      </w:pPr>
      <w:r>
        <w:rPr>
          <w:rFonts w:ascii="宋体" w:hAnsi="宋体" w:cs="宋体" w:hint="eastAsia"/>
          <w:sz w:val="24"/>
        </w:rPr>
        <w:t xml:space="preserve">13.1按照规定，投标人应提交证明其有资格参加投标和中标后有能力履行合同的文件，并作为其投标文件的一部分。</w:t>
      </w:r>
    </w:p>
    <w:p>
      <w:pPr>
        <w:spacing w:line="400" w:lineRule="exact"/>
        <w:ind w:firstLine="480" w:firstLineChars="200"/>
        <w:rPr>
          <w:rFonts w:ascii="宋体" w:hAnsi="宋体" w:cs="宋体"/>
          <w:sz w:val="24"/>
          <w:lang w:val="zh-CN"/>
        </w:rPr>
      </w:pPr>
      <w:r>
        <w:rPr>
          <w:rFonts w:ascii="宋体" w:hAnsi="宋体" w:cs="宋体" w:hint="eastAsia"/>
          <w:sz w:val="24"/>
          <w:lang w:val="zh-CN"/>
        </w:rPr>
        <w:t xml:space="preserve">13.2投标人除必须具有履行合同所必需的提供货物和服务的能力外，还必须具备相应的的财务、物流保障方面的能力；</w:t>
      </w:r>
    </w:p>
    <w:p>
      <w:pPr>
        <w:spacing w:line="400" w:lineRule="exact"/>
        <w:ind w:firstLine="480" w:firstLineChars="200"/>
        <w:rPr>
          <w:rFonts w:ascii="宋体" w:hAnsi="宋体" w:cs="宋体"/>
          <w:sz w:val="24"/>
          <w:lang w:val="zh-CN"/>
        </w:rPr>
      </w:pPr>
      <w:r>
        <w:rPr>
          <w:rFonts w:ascii="宋体" w:hAnsi="宋体" w:cs="宋体" w:hint="eastAsia"/>
          <w:sz w:val="24"/>
          <w:lang w:val="zh-CN"/>
        </w:rPr>
        <w:t xml:space="preserve"> 13.3 投标人应填写并提交招标文件所附的“资格证明文件”。</w:t>
      </w:r>
    </w:p>
    <w:p>
      <w:pPr>
        <w:spacing w:line="400" w:lineRule="exact"/>
        <w:ind w:firstLine="480" w:firstLineChars="200"/>
        <w:rPr>
          <w:rFonts w:ascii="宋体" w:hAnsi="宋体" w:cs="宋体"/>
          <w:b/>
          <w:sz w:val="24"/>
        </w:rPr>
      </w:pPr>
      <w:r>
        <w:rPr>
          <w:rFonts w:ascii="宋体" w:hAnsi="宋体" w:cs="宋体" w:hint="eastAsia"/>
          <w:b/>
          <w:sz w:val="24"/>
        </w:rPr>
        <w:t xml:space="preserve">14.证明货物的合格性和符合招标文件规定的文件</w:t>
      </w:r>
    </w:p>
    <w:p>
      <w:pPr>
        <w:spacing w:line="400" w:lineRule="exact"/>
        <w:ind w:firstLine="480" w:firstLineChars="200"/>
        <w:rPr>
          <w:rFonts w:ascii="宋体" w:hAnsi="宋体" w:cs="宋体"/>
          <w:sz w:val="24"/>
        </w:rPr>
      </w:pPr>
      <w:r>
        <w:rPr>
          <w:rFonts w:ascii="宋体" w:hAnsi="宋体" w:cs="宋体" w:hint="eastAsia"/>
          <w:sz w:val="24"/>
        </w:rPr>
        <w:t xml:space="preserve">14.1按照规定，投标人应提交根据合同要求提供的主要货物的合格性以及符合招标文件规定的证明文件，并作为其投标的一部分。</w:t>
      </w:r>
    </w:p>
    <w:p>
      <w:pPr>
        <w:spacing w:line="400" w:lineRule="exact"/>
        <w:ind w:firstLine="480" w:firstLineChars="200"/>
        <w:rPr>
          <w:rFonts w:ascii="宋体" w:hAnsi="宋体" w:cs="宋体"/>
          <w:sz w:val="24"/>
        </w:rPr>
      </w:pPr>
      <w:r>
        <w:rPr>
          <w:rFonts w:ascii="宋体" w:hAnsi="宋体" w:cs="宋体" w:hint="eastAsia"/>
          <w:sz w:val="24"/>
        </w:rPr>
        <w:t xml:space="preserve">14.2货物合格性的证明文件应包括投标报价表中对货物来源地的声明。</w:t>
      </w:r>
    </w:p>
    <w:p>
      <w:pPr>
        <w:spacing w:line="400" w:lineRule="exact"/>
        <w:ind w:firstLine="480" w:firstLineChars="200"/>
        <w:rPr>
          <w:rFonts w:ascii="宋体" w:hAnsi="宋体" w:cs="宋体"/>
          <w:sz w:val="24"/>
        </w:rPr>
      </w:pPr>
      <w:r>
        <w:rPr>
          <w:rFonts w:ascii="宋体" w:hAnsi="宋体" w:cs="宋体" w:hint="eastAsia"/>
          <w:sz w:val="24"/>
        </w:rPr>
        <w:t xml:space="preserve">14.3证明货物与招标文件的要求相一致的文件可以是手册、图纸、文字资料和数据，投标人应提供:</w:t>
      </w:r>
    </w:p>
    <w:p>
      <w:pPr>
        <w:spacing w:line="400" w:lineRule="exact"/>
        <w:ind w:firstLine="480" w:firstLineChars="200"/>
        <w:rPr>
          <w:rFonts w:ascii="宋体" w:hAnsi="宋体" w:cs="宋体"/>
          <w:sz w:val="24"/>
        </w:rPr>
      </w:pPr>
      <w:r>
        <w:rPr>
          <w:rFonts w:ascii="宋体" w:hAnsi="宋体" w:cs="宋体" w:hint="eastAsia"/>
          <w:sz w:val="24"/>
        </w:rPr>
        <w:t xml:space="preserve">（1）货物主要技术指标和运行性能的详细说明；</w:t>
      </w:r>
    </w:p>
    <w:p>
      <w:pPr>
        <w:spacing w:line="400" w:lineRule="exact"/>
        <w:ind w:firstLine="480" w:firstLineChars="200"/>
        <w:rPr>
          <w:rFonts w:ascii="宋体" w:hAnsi="宋体" w:cs="宋体"/>
          <w:sz w:val="24"/>
        </w:rPr>
      </w:pPr>
      <w:r>
        <w:rPr>
          <w:rFonts w:ascii="宋体" w:hAnsi="宋体" w:cs="宋体" w:hint="eastAsia"/>
          <w:sz w:val="24"/>
        </w:rPr>
        <w:t xml:space="preserve">（2）逐条对招标文件要求的技术规格进行评议，指出自己提供的货物、服务是否做出实质性的响应；或逐条填报投标报价表的技术规格响应表。</w:t>
      </w:r>
    </w:p>
    <w:p>
      <w:pPr>
        <w:spacing w:line="400" w:lineRule="exact"/>
        <w:ind w:firstLine="480" w:firstLineChars="200"/>
        <w:rPr>
          <w:rFonts w:ascii="宋体" w:hAnsi="宋体" w:cs="宋体"/>
          <w:sz w:val="24"/>
        </w:rPr>
      </w:pPr>
      <w:r>
        <w:rPr>
          <w:rFonts w:ascii="宋体" w:hAnsi="宋体" w:cs="宋体" w:hint="eastAsia"/>
          <w:sz w:val="24"/>
        </w:rPr>
        <w:t xml:space="preserve">14.4投标人在说明上述第14.3（2）的规定时应注意:招标文件在技术规格中指出的工艺、材料、设备参照的标准、商标或样本目录号码对投标文件具有限制性。</w:t>
      </w:r>
    </w:p>
    <w:p>
      <w:pPr>
        <w:autoSpaceDE w:val="0"/>
        <w:autoSpaceDN w:val="0"/>
        <w:adjustRightInd w:val="0"/>
        <w:spacing w:line="400" w:lineRule="exact"/>
        <w:ind w:firstLine="480" w:firstLineChars="200"/>
        <w:rPr>
          <w:rFonts w:ascii="宋体" w:hAnsi="宋体" w:cs="宋体"/>
          <w:b/>
          <w:bCs/>
          <w:sz w:val="24"/>
          <w:lang w:val="zh-CN"/>
        </w:rPr>
      </w:pPr>
      <w:r>
        <w:rPr>
          <w:rFonts w:ascii="宋体" w:hAnsi="宋体" w:cs="宋体" w:hint="eastAsia"/>
          <w:b/>
          <w:bCs/>
          <w:sz w:val="24"/>
        </w:rPr>
        <w:t xml:space="preserve">15.</w:t>
      </w:r>
      <w:r>
        <w:rPr>
          <w:rFonts w:ascii="宋体" w:hAnsi="宋体" w:cs="宋体" w:hint="eastAsia"/>
          <w:b/>
          <w:bCs/>
          <w:sz w:val="24"/>
          <w:lang w:val="zh-CN"/>
        </w:rPr>
        <w:t xml:space="preserve">投标保证金（</w:t>
      </w:r>
      <w:r>
        <w:rPr>
          <w:rFonts w:ascii="宋体" w:hAnsi="宋体" w:cs="宋体" w:hint="eastAsia"/>
          <w:b/>
          <w:bCs/>
          <w:sz w:val="24"/>
        </w:rPr>
        <w:t xml:space="preserve">无</w:t>
      </w:r>
      <w:r>
        <w:rPr>
          <w:rFonts w:ascii="宋体" w:hAnsi="宋体" w:cs="宋体" w:hint="eastAsia"/>
          <w:b/>
          <w:bCs/>
          <w:sz w:val="24"/>
          <w:lang w:val="zh-CN"/>
        </w:rPr>
        <w:t xml:space="preserve">）</w:t>
      </w:r>
    </w:p>
    <w:p>
      <w:pPr>
        <w:spacing w:line="400" w:lineRule="exact"/>
        <w:ind w:firstLine="480" w:firstLineChars="200"/>
        <w:rPr>
          <w:rFonts w:ascii="宋体" w:hAnsi="宋体" w:cs="宋体"/>
          <w:b/>
          <w:sz w:val="24"/>
        </w:rPr>
      </w:pPr>
      <w:r>
        <w:rPr>
          <w:rFonts w:ascii="宋体" w:hAnsi="宋体" w:cs="宋体" w:hint="eastAsia"/>
          <w:b/>
          <w:sz w:val="24"/>
        </w:rPr>
        <w:t xml:space="preserve">16.投标管理费</w:t>
      </w:r>
    </w:p>
    <w:p>
      <w:pPr>
        <w:spacing w:line="400" w:lineRule="exact"/>
        <w:ind w:firstLine="480" w:firstLineChars="200"/>
        <w:rPr>
          <w:rFonts w:ascii="宋体" w:hAnsi="宋体" w:cs="宋体"/>
          <w:sz w:val="24"/>
        </w:rPr>
      </w:pPr>
      <w:r>
        <w:rPr>
          <w:rFonts w:ascii="宋体" w:hAnsi="宋体" w:cs="宋体" w:hint="eastAsia"/>
          <w:sz w:val="24"/>
        </w:rPr>
        <w:t xml:space="preserve">16.1本次采购暂免收中标管理费。</w:t>
      </w:r>
    </w:p>
    <w:p>
      <w:pPr>
        <w:spacing w:line="400" w:lineRule="exact"/>
        <w:ind w:firstLine="480" w:firstLineChars="200"/>
        <w:rPr>
          <w:rFonts w:ascii="宋体" w:hAnsi="宋体" w:cs="宋体"/>
          <w:b/>
          <w:sz w:val="24"/>
        </w:rPr>
      </w:pPr>
      <w:r>
        <w:rPr>
          <w:rFonts w:ascii="宋体" w:hAnsi="宋体" w:cs="宋体" w:hint="eastAsia"/>
          <w:b/>
          <w:sz w:val="24"/>
        </w:rPr>
        <w:t xml:space="preserve">17.投标有效期</w:t>
      </w:r>
    </w:p>
    <w:p>
      <w:pPr>
        <w:spacing w:line="400" w:lineRule="exact"/>
        <w:ind w:firstLine="480" w:firstLineChars="200"/>
        <w:rPr>
          <w:rFonts w:ascii="宋体" w:hAnsi="宋体" w:cs="宋体"/>
          <w:sz w:val="24"/>
          <w:lang w:val="zh-CN"/>
        </w:rPr>
      </w:pPr>
      <w:r>
        <w:rPr>
          <w:rFonts w:ascii="宋体" w:hAnsi="宋体" w:cs="宋体" w:hint="eastAsia"/>
          <w:sz w:val="24"/>
        </w:rPr>
        <w:t xml:space="preserve">17.1投标有效期为采购人及交易中心规定的开标之日后九十天。</w:t>
      </w:r>
      <w:r>
        <w:rPr>
          <w:rFonts w:ascii="宋体" w:hAnsi="宋体" w:cs="宋体" w:hint="eastAsia"/>
          <w:sz w:val="24"/>
          <w:lang w:val="zh-CN"/>
        </w:rPr>
        <w:t xml:space="preserve">投标有效期比规定短的将被视为非响应投标而予以拒绝。</w:t>
      </w:r>
    </w:p>
    <w:p>
      <w:pPr>
        <w:spacing w:line="400" w:lineRule="exact"/>
        <w:ind w:firstLine="480" w:firstLineChars="200"/>
        <w:rPr>
          <w:rFonts w:ascii="宋体" w:hAnsi="宋体" w:cs="宋体"/>
          <w:sz w:val="24"/>
        </w:rPr>
      </w:pPr>
      <w:r>
        <w:rPr>
          <w:rFonts w:ascii="宋体" w:hAnsi="宋体" w:cs="宋体" w:hint="eastAsia"/>
          <w:bCs/>
          <w:sz w:val="24"/>
        </w:rPr>
        <w:t xml:space="preserve">17.2</w:t>
      </w:r>
      <w:r>
        <w:rPr>
          <w:rFonts w:ascii="宋体" w:hAnsi="宋体" w:cs="宋体" w:hint="eastAsia"/>
          <w:sz w:val="24"/>
        </w:rPr>
        <w:t xml:space="preserve">在特殊情况下，采购人于原投标有效期满之前，可向投标人提出延长投标有效期的要求，这种要求与答复均应采用书面形式如信件、传真或电报等。投标人可以拒绝接受采购人的这种要求而放弃投标。同意延长的投标人既不能要求也不允许修改其投标文件。</w:t>
      </w:r>
    </w:p>
    <w:p>
      <w:pPr>
        <w:spacing w:line="276" w:lineRule="auto"/>
        <w:ind w:firstLine="480" w:firstLineChars="200"/>
        <w:rPr>
          <w:rFonts w:ascii="宋体" w:hAnsi="宋体" w:cs="宋体"/>
          <w:b/>
          <w:sz w:val="24"/>
        </w:rPr>
      </w:pPr>
      <w:r>
        <w:rPr>
          <w:rFonts w:ascii="宋体" w:hAnsi="宋体" w:cs="宋体" w:hint="eastAsia"/>
          <w:b/>
          <w:sz w:val="24"/>
        </w:rPr>
        <w:t xml:space="preserve">18.投标文件份数和签署</w:t>
      </w:r>
    </w:p>
    <w:p>
      <w:pPr>
        <w:spacing w:line="276" w:lineRule="auto"/>
        <w:ind w:firstLine="570"/>
        <w:rPr>
          <w:rFonts w:ascii="宋体" w:hAnsi="宋体" w:cs="宋体"/>
          <w:sz w:val="24"/>
        </w:rPr>
      </w:pPr>
      <w:r>
        <w:rPr>
          <w:rFonts w:ascii="宋体" w:hAnsi="宋体" w:cs="宋体" w:hint="eastAsia"/>
          <w:sz w:val="24"/>
        </w:rPr>
        <w:t xml:space="preserve">18.1投标人应在投标邀请规定的投标截止时间前上传加密电子投标文件一份。本项目采用“全流程不见面交易”模式，详见第38条“全流程不见面交易采购”注意事项。</w:t>
      </w:r>
    </w:p>
    <w:p>
      <w:pPr>
        <w:spacing w:line="276" w:lineRule="auto"/>
        <w:ind w:firstLine="570"/>
        <w:rPr>
          <w:rFonts w:ascii="宋体" w:hAnsi="宋体" w:cs="宋体"/>
          <w:sz w:val="24"/>
        </w:rPr>
      </w:pPr>
      <w:r>
        <w:rPr>
          <w:rFonts w:ascii="宋体" w:hAnsi="宋体" w:cs="宋体" w:hint="eastAsia"/>
          <w:sz w:val="24"/>
        </w:rPr>
        <w:t xml:space="preserve">18.2投标人在投标文件制作工具中生成电子投标文件后即可进行加密投标上传淮安市公共资源全程电子化交易平台。投标人应在投标邀请规定的投标截止时间前完成网上电子投标文件的上传。</w:t>
      </w:r>
    </w:p>
    <w:p>
      <w:pPr>
        <w:spacing w:line="276" w:lineRule="auto"/>
        <w:ind w:firstLine="480" w:firstLineChars="200"/>
        <w:outlineLvl w:val="2"/>
        <w:rPr>
          <w:rFonts w:ascii="宋体" w:hAnsi="宋体" w:cs="宋体"/>
          <w:b/>
          <w:bCs/>
          <w:sz w:val="24"/>
        </w:rPr>
      </w:pPr>
      <w:r>
        <w:rPr>
          <w:rFonts w:ascii="宋体" w:hAnsi="宋体" w:cs="宋体" w:hint="eastAsia"/>
          <w:b/>
          <w:bCs/>
          <w:sz w:val="24"/>
        </w:rPr>
        <w:t xml:space="preserve">四、投标文件的递交</w:t>
      </w:r>
    </w:p>
    <w:p>
      <w:pPr>
        <w:spacing w:line="276" w:lineRule="auto"/>
        <w:ind w:firstLine="560" w:firstLineChars="200"/>
        <w:rPr>
          <w:rFonts w:ascii="宋体" w:hAnsi="宋体" w:cs="宋体"/>
          <w:b/>
          <w:sz w:val="28"/>
        </w:rPr>
      </w:pPr>
      <w:r>
        <w:rPr>
          <w:rFonts w:ascii="宋体" w:hAnsi="宋体" w:cs="宋体" w:hint="eastAsia"/>
          <w:b/>
          <w:sz w:val="28"/>
        </w:rPr>
        <w:t xml:space="preserve">19.响应文件的密封和标记</w:t>
      </w:r>
    </w:p>
    <w:p>
      <w:pPr>
        <w:spacing w:line="276" w:lineRule="auto"/>
        <w:ind w:firstLine="570"/>
        <w:rPr>
          <w:rFonts w:ascii="宋体" w:hAnsi="宋体" w:cs="宋体"/>
          <w:sz w:val="24"/>
        </w:rPr>
      </w:pPr>
      <w:r>
        <w:rPr>
          <w:rFonts w:ascii="宋体" w:hAnsi="宋体" w:cs="宋体" w:hint="eastAsia"/>
          <w:sz w:val="24"/>
        </w:rPr>
        <w:t xml:space="preserve">19.1投标人应严格按照第7.3条的要求，在淮安市公共资源全程电子化交易平台中上传加密电子投标文件一份，本项目采用“全流程不见面交易”模式，详见第38条“全流程不见面交易采购”注意事项。</w:t>
      </w:r>
    </w:p>
    <w:p>
      <w:pPr>
        <w:spacing w:line="276" w:lineRule="auto"/>
        <w:ind w:firstLine="570"/>
        <w:rPr>
          <w:rFonts w:ascii="宋体" w:hAnsi="宋体" w:cs="宋体"/>
          <w:sz w:val="24"/>
        </w:rPr>
      </w:pPr>
      <w:r>
        <w:rPr>
          <w:rFonts w:ascii="宋体" w:hAnsi="宋体" w:cs="宋体" w:hint="eastAsia"/>
          <w:sz w:val="24"/>
        </w:rPr>
        <w:t xml:space="preserve">19.2电子投标文件仅需要在投标人进行签章的位置应进行电子签章。电子投标文件（如有）均不得涂改、行间插字或删除，如果出现上述情况应重新编制。</w:t>
      </w:r>
    </w:p>
    <w:p>
      <w:pPr>
        <w:spacing w:line="276" w:lineRule="auto"/>
        <w:ind w:firstLine="570"/>
        <w:rPr>
          <w:rFonts w:ascii="宋体" w:hAnsi="宋体" w:cs="宋体"/>
          <w:sz w:val="24"/>
        </w:rPr>
      </w:pPr>
      <w:r>
        <w:rPr>
          <w:rFonts w:ascii="宋体" w:hAnsi="宋体" w:cs="宋体" w:hint="eastAsia"/>
          <w:sz w:val="24"/>
        </w:rPr>
        <w:t xml:space="preserve">19.3纸质投标文件（中标公示结束成交供应商打印3套提交,纸质投标文件须打印并加盖投标人公章。）</w:t>
      </w:r>
    </w:p>
    <w:p>
      <w:pPr>
        <w:spacing w:line="276" w:lineRule="auto"/>
        <w:ind w:firstLine="570"/>
        <w:rPr>
          <w:rFonts w:ascii="宋体" w:hAnsi="宋体" w:cs="宋体"/>
          <w:sz w:val="24"/>
        </w:rPr>
      </w:pPr>
      <w:r>
        <w:rPr>
          <w:rFonts w:ascii="宋体" w:hAnsi="宋体" w:cs="宋体" w:hint="eastAsia"/>
          <w:sz w:val="24"/>
        </w:rPr>
        <w:t xml:space="preserve">19.4本招标文件所表述的公章是指刻有投标人法定名称的印章，不包括合同、财务、税务、增值税专用发票等形式的业务专用章。</w:t>
      </w:r>
    </w:p>
    <w:p>
      <w:pPr>
        <w:spacing w:line="276" w:lineRule="auto"/>
        <w:ind w:firstLine="480" w:firstLineChars="200"/>
        <w:rPr>
          <w:rFonts w:ascii="宋体" w:hAnsi="宋体" w:cs="宋体"/>
          <w:b/>
          <w:sz w:val="24"/>
        </w:rPr>
      </w:pPr>
      <w:r>
        <w:rPr>
          <w:rFonts w:ascii="宋体" w:hAnsi="宋体" w:cs="宋体" w:hint="eastAsia"/>
          <w:b/>
          <w:sz w:val="24"/>
        </w:rPr>
        <w:t xml:space="preserve">20.投标截止日期</w:t>
      </w:r>
    </w:p>
    <w:p>
      <w:pPr>
        <w:spacing w:line="276" w:lineRule="auto"/>
        <w:ind w:firstLine="570"/>
        <w:rPr>
          <w:rFonts w:ascii="宋体" w:hAnsi="宋体" w:cs="宋体"/>
          <w:sz w:val="24"/>
        </w:rPr>
      </w:pPr>
      <w:r>
        <w:rPr>
          <w:rFonts w:ascii="宋体" w:hAnsi="宋体" w:cs="宋体" w:hint="eastAsia"/>
          <w:sz w:val="24"/>
        </w:rPr>
        <w:t xml:space="preserve">20.1投标人递交投标文件（包括上传加密电子投标文件、制作本投标文件时使用的CA锁、投标文件备份光盘（或U盘）的时间不得迟于投标邀请中规定的截止时间。</w:t>
      </w:r>
    </w:p>
    <w:p>
      <w:pPr>
        <w:spacing w:line="276" w:lineRule="auto"/>
        <w:ind w:firstLine="570"/>
        <w:rPr>
          <w:rFonts w:ascii="宋体" w:hAnsi="宋体" w:cs="宋体"/>
          <w:sz w:val="24"/>
        </w:rPr>
      </w:pPr>
      <w:r>
        <w:rPr>
          <w:rFonts w:ascii="宋体" w:hAnsi="宋体" w:cs="宋体" w:hint="eastAsia"/>
          <w:sz w:val="24"/>
        </w:rPr>
        <w:t xml:space="preserve">20.2采购人可以按第6条规定，通过修改招标文件有权酌情延长投标截止时间。在此情况下，投标人的所有权利和义务以及受制的截止日期均应以延长后新的截止日期为准。</w:t>
      </w:r>
    </w:p>
    <w:p>
      <w:pPr>
        <w:spacing w:line="400" w:lineRule="exact"/>
        <w:ind w:firstLine="480" w:firstLineChars="200"/>
        <w:rPr>
          <w:rFonts w:ascii="宋体" w:hAnsi="宋体" w:cs="宋体"/>
          <w:b/>
          <w:sz w:val="24"/>
        </w:rPr>
      </w:pPr>
      <w:r>
        <w:rPr>
          <w:rFonts w:ascii="宋体" w:hAnsi="宋体" w:cs="宋体" w:hint="eastAsia"/>
          <w:b/>
          <w:sz w:val="24"/>
        </w:rPr>
        <w:t xml:space="preserve">21.迟交的投标文件</w:t>
      </w:r>
    </w:p>
    <w:p>
      <w:pPr>
        <w:spacing w:line="400" w:lineRule="exact"/>
        <w:ind w:firstLine="480" w:firstLineChars="200"/>
        <w:rPr>
          <w:rFonts w:ascii="宋体" w:hAnsi="宋体" w:cs="宋体"/>
          <w:sz w:val="24"/>
        </w:rPr>
      </w:pPr>
      <w:r>
        <w:rPr>
          <w:rFonts w:ascii="宋体" w:hAnsi="宋体" w:cs="宋体" w:hint="eastAsia"/>
          <w:sz w:val="24"/>
        </w:rPr>
        <w:t xml:space="preserve">21.1在投标截止时间后递交的投标文件，采购人将拒绝接收。</w:t>
      </w:r>
    </w:p>
    <w:p>
      <w:pPr>
        <w:spacing w:line="400" w:lineRule="exact"/>
        <w:rPr>
          <w:rFonts w:ascii="宋体" w:hAnsi="宋体" w:cs="宋体"/>
          <w:b/>
          <w:sz w:val="24"/>
        </w:rPr>
      </w:pPr>
      <w:r>
        <w:rPr>
          <w:rFonts w:ascii="宋体" w:hAnsi="宋体" w:cs="宋体" w:hint="eastAsia"/>
          <w:sz w:val="24"/>
        </w:rPr>
        <w:t xml:space="preserve">22.投标文件的修改和撤回</w:t>
      </w:r>
    </w:p>
    <w:p>
      <w:pPr>
        <w:spacing w:line="400" w:lineRule="exact"/>
        <w:ind w:firstLine="480" w:firstLineChars="200"/>
        <w:rPr>
          <w:rFonts w:ascii="宋体" w:hAnsi="宋体" w:cs="宋体"/>
          <w:b/>
          <w:sz w:val="24"/>
        </w:rPr>
      </w:pPr>
      <w:r>
        <w:rPr>
          <w:rFonts w:ascii="宋体" w:hAnsi="宋体" w:cs="宋体" w:hint="eastAsia"/>
          <w:b/>
          <w:sz w:val="24"/>
        </w:rPr>
        <w:t xml:space="preserve">22.投标文件的修改和撤回</w:t>
      </w:r>
    </w:p>
    <w:p>
      <w:pPr>
        <w:spacing w:line="400" w:lineRule="exact"/>
        <w:ind w:firstLine="480" w:firstLineChars="200"/>
        <w:rPr>
          <w:rFonts w:ascii="宋体" w:hAnsi="宋体" w:cs="宋体"/>
          <w:sz w:val="24"/>
        </w:rPr>
      </w:pPr>
      <w:r>
        <w:rPr>
          <w:rFonts w:ascii="宋体" w:hAnsi="宋体" w:cs="宋体" w:hint="eastAsia"/>
          <w:sz w:val="24"/>
        </w:rPr>
        <w:t xml:space="preserve">22.1投标人在递交投标文件后可以对其修改或撤回，但这种修改和撤回，必须在规定的投标截止时间前。</w:t>
      </w:r>
    </w:p>
    <w:p>
      <w:pPr>
        <w:spacing w:line="400" w:lineRule="exact"/>
        <w:ind w:firstLine="480" w:firstLineChars="200"/>
        <w:rPr>
          <w:rFonts w:ascii="宋体" w:hAnsi="宋体" w:cs="宋体"/>
          <w:sz w:val="24"/>
        </w:rPr>
      </w:pPr>
      <w:r>
        <w:rPr>
          <w:rFonts w:ascii="宋体" w:hAnsi="宋体" w:cs="宋体" w:hint="eastAsia"/>
          <w:sz w:val="24"/>
        </w:rPr>
        <w:t xml:space="preserve">22.2对于电子投标文件的修改，投标人可在投标截止时间前登录淮安市公共资源全程电子化交易平台撤回电子投标文件，并上传新的投标文件。</w:t>
      </w:r>
    </w:p>
    <w:p>
      <w:pPr>
        <w:spacing w:line="400" w:lineRule="exact"/>
        <w:ind w:firstLine="480" w:firstLineChars="200"/>
        <w:rPr>
          <w:rFonts w:ascii="宋体" w:hAnsi="宋体" w:cs="宋体"/>
          <w:sz w:val="24"/>
        </w:rPr>
      </w:pPr>
      <w:r>
        <w:rPr>
          <w:rFonts w:ascii="宋体" w:hAnsi="宋体" w:cs="宋体" w:hint="eastAsia"/>
          <w:sz w:val="24"/>
        </w:rPr>
        <w:t xml:space="preserve">22.3投标人不得在投标截止时间以后修改投标文件。</w:t>
      </w:r>
    </w:p>
    <w:p>
      <w:pPr>
        <w:spacing w:line="400" w:lineRule="exact"/>
        <w:ind w:firstLine="480" w:firstLineChars="200"/>
        <w:rPr>
          <w:rFonts w:ascii="宋体" w:hAnsi="宋体" w:cs="宋体"/>
          <w:sz w:val="24"/>
        </w:rPr>
      </w:pPr>
      <w:r>
        <w:rPr>
          <w:rFonts w:ascii="宋体" w:hAnsi="宋体" w:cs="宋体" w:hint="eastAsia"/>
          <w:sz w:val="24"/>
        </w:rPr>
        <w:t xml:space="preserve">22.4投标人不得在投标截止时间起至投标有效期满前撤回投标文件。</w:t>
      </w:r>
    </w:p>
    <w:p>
      <w:pPr>
        <w:spacing w:line="400" w:lineRule="exact"/>
        <w:ind w:firstLine="480" w:firstLineChars="200"/>
        <w:outlineLvl w:val="2"/>
        <w:rPr>
          <w:rFonts w:ascii="宋体" w:hAnsi="宋体" w:cs="宋体"/>
          <w:b/>
          <w:bCs/>
          <w:sz w:val="24"/>
        </w:rPr>
      </w:pPr>
      <w:r>
        <w:rPr>
          <w:rFonts w:ascii="宋体" w:hAnsi="宋体" w:cs="宋体" w:hint="eastAsia"/>
          <w:b/>
          <w:bCs/>
          <w:sz w:val="24"/>
        </w:rPr>
        <w:t xml:space="preserve">五、开标与评标</w:t>
      </w:r>
    </w:p>
    <w:p>
      <w:pPr>
        <w:spacing w:line="400" w:lineRule="exact"/>
        <w:ind w:firstLine="468" w:firstLineChars="195"/>
        <w:rPr>
          <w:rFonts w:ascii="宋体" w:hAnsi="宋体" w:cs="宋体"/>
          <w:b/>
          <w:sz w:val="24"/>
        </w:rPr>
      </w:pPr>
      <w:bookmarkStart w:id="19" w:name="_Toc162083530"/>
      <w:r>
        <w:rPr>
          <w:rFonts w:ascii="宋体" w:hAnsi="宋体" w:cs="宋体" w:hint="eastAsia"/>
          <w:b/>
          <w:sz w:val="24"/>
        </w:rPr>
        <w:t xml:space="preserve">23.投标截止时间结束后参加投标的供应商不足三家的处理</w:t>
      </w:r>
      <w:bookmarkEnd w:id="19"/>
    </w:p>
    <w:p>
      <w:pPr>
        <w:spacing w:line="400" w:lineRule="exact"/>
        <w:ind w:firstLine="425" w:firstLineChars="177"/>
        <w:rPr>
          <w:rFonts w:ascii="宋体" w:hAnsi="宋体" w:cs="宋体"/>
          <w:sz w:val="24"/>
        </w:rPr>
      </w:pPr>
      <w:r>
        <w:rPr>
          <w:rFonts w:ascii="宋体" w:hAnsi="宋体" w:cs="宋体" w:hint="eastAsia"/>
          <w:sz w:val="24"/>
        </w:rPr>
        <w:t xml:space="preserve"> 23.1 如出现投标截止时间结束后参加投标的供应商不足三家的情况，除采购任务取消情形外，其招标文件经评委会认定没有歧视限制条款的情况下，并且是在采购人同意继续采用公开招标方式采购的情况下，采购代理机构将报告财政部门，据其批准按以下原则处理:</w:t>
      </w:r>
    </w:p>
    <w:p>
      <w:pPr>
        <w:spacing w:line="400" w:lineRule="exact"/>
        <w:ind w:firstLine="425" w:firstLineChars="177"/>
        <w:outlineLvl w:val="0"/>
        <w:rPr>
          <w:rFonts w:ascii="宋体" w:hAnsi="宋体" w:cs="宋体"/>
          <w:sz w:val="24"/>
        </w:rPr>
      </w:pPr>
      <w:r>
        <w:rPr>
          <w:rFonts w:ascii="宋体" w:hAnsi="宋体" w:cs="宋体" w:hint="eastAsia"/>
          <w:sz w:val="24"/>
        </w:rPr>
        <w:t xml:space="preserve">23.1.1 同意继续采用公开招标方式采购，采购代理机构将继续实施采购。其原招标文件中所有内容均不变。</w:t>
      </w:r>
    </w:p>
    <w:p>
      <w:pPr>
        <w:spacing w:line="400" w:lineRule="exact"/>
        <w:ind w:firstLine="425" w:firstLineChars="177"/>
        <w:rPr>
          <w:rFonts w:ascii="宋体" w:hAnsi="宋体" w:cs="宋体"/>
          <w:sz w:val="24"/>
        </w:rPr>
      </w:pPr>
      <w:r>
        <w:rPr>
          <w:rFonts w:ascii="宋体" w:hAnsi="宋体" w:cs="宋体" w:hint="eastAsia"/>
          <w:sz w:val="24"/>
        </w:rPr>
        <w:t xml:space="preserve">23.1.2同意采取竞争性谈判采购或单一来源方式采购，采购代理机构将继续按批准的方式实施采购。</w:t>
      </w:r>
    </w:p>
    <w:p>
      <w:pPr>
        <w:spacing w:line="400" w:lineRule="exact"/>
        <w:ind w:firstLine="425" w:firstLineChars="177"/>
        <w:outlineLvl w:val="0"/>
        <w:rPr>
          <w:rFonts w:ascii="宋体" w:hAnsi="宋体" w:cs="宋体"/>
          <w:sz w:val="24"/>
        </w:rPr>
      </w:pPr>
      <w:r>
        <w:rPr>
          <w:rFonts w:ascii="宋体" w:hAnsi="宋体" w:cs="宋体" w:hint="eastAsia"/>
          <w:sz w:val="24"/>
        </w:rPr>
        <w:t xml:space="preserve">23.1.3 财政部门不同意采购方式变更的，本次招标项目作废标处理，采购人将依法重新组织招标。</w:t>
      </w:r>
    </w:p>
    <w:p>
      <w:pPr>
        <w:spacing w:line="400" w:lineRule="exact"/>
        <w:ind w:firstLine="425" w:firstLineChars="177"/>
        <w:outlineLvl w:val="0"/>
        <w:rPr>
          <w:rFonts w:ascii="宋体" w:hAnsi="宋体" w:cs="宋体"/>
          <w:sz w:val="24"/>
        </w:rPr>
      </w:pPr>
      <w:r>
        <w:rPr>
          <w:rFonts w:ascii="宋体" w:hAnsi="宋体" w:cs="宋体" w:hint="eastAsia"/>
          <w:sz w:val="24"/>
        </w:rPr>
        <w:t xml:space="preserve">23.1.4有多家投标人参加投标，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p>
    <w:p>
      <w:pPr>
        <w:spacing w:line="400" w:lineRule="exact"/>
        <w:ind w:firstLine="425" w:firstLineChars="177"/>
        <w:rPr>
          <w:rFonts w:ascii="宋体" w:hAnsi="宋体" w:cs="宋体"/>
          <w:sz w:val="24"/>
        </w:rPr>
      </w:pPr>
      <w:r>
        <w:rPr>
          <w:rFonts w:ascii="宋体" w:hAnsi="宋体" w:cs="宋体" w:hint="eastAsia"/>
          <w:sz w:val="24"/>
        </w:rPr>
        <w:t xml:space="preserve">23.2 在评标期间，出现有效供应商不足三家情形的，比照前款规定执行。</w:t>
      </w:r>
    </w:p>
    <w:p>
      <w:pPr>
        <w:spacing w:line="400" w:lineRule="exact"/>
        <w:ind w:firstLine="480" w:firstLineChars="200"/>
        <w:rPr>
          <w:rFonts w:ascii="宋体" w:hAnsi="宋体" w:cs="宋体"/>
          <w:b/>
          <w:bCs/>
          <w:sz w:val="24"/>
        </w:rPr>
      </w:pPr>
      <w:r>
        <w:rPr>
          <w:rFonts w:ascii="宋体" w:hAnsi="宋体" w:cs="宋体" w:hint="eastAsia"/>
          <w:sz w:val="24"/>
        </w:rPr>
        <w:t xml:space="preserve">23.3投标人若不同意继续采用竞争性谈判方式或单一来源方式采购的，应在规定的时间内书面向评委会说明，未在规定时间内提交书面说明的将被视为同意。</w:t>
      </w:r>
    </w:p>
    <w:p>
      <w:pPr>
        <w:spacing w:line="400" w:lineRule="exact"/>
        <w:ind w:firstLine="480" w:firstLineChars="200"/>
        <w:rPr>
          <w:rFonts w:ascii="宋体" w:hAnsi="宋体" w:cs="宋体"/>
          <w:sz w:val="24"/>
          <w:lang w:val="zh-CN"/>
        </w:rPr>
      </w:pPr>
      <w:r>
        <w:rPr>
          <w:rFonts w:ascii="宋体" w:hAnsi="宋体" w:cs="宋体" w:hint="eastAsia"/>
          <w:sz w:val="24"/>
        </w:rPr>
        <w:t xml:space="preserve">23.4采购人将在投标邀请中规定的时间和地点组织公开开标。</w:t>
      </w:r>
      <w:r>
        <w:rPr>
          <w:rFonts w:ascii="宋体" w:hAnsi="宋体" w:cs="宋体" w:hint="eastAsia"/>
          <w:sz w:val="24"/>
          <w:lang w:val="zh-CN"/>
        </w:rPr>
        <w:t xml:space="preserve">采购人、投标供应商应委派代表准时参加，财政部门及有关部门可以视情况到现场监督开标活动。参加开标的代表须签名以证明其出席，否则将取消投标供应商的投标资格。</w:t>
      </w:r>
    </w:p>
    <w:p>
      <w:pPr>
        <w:spacing w:line="400" w:lineRule="exact"/>
        <w:ind w:firstLine="480" w:firstLineChars="200"/>
        <w:rPr>
          <w:rFonts w:ascii="宋体" w:hAnsi="宋体" w:cs="宋体"/>
          <w:sz w:val="24"/>
        </w:rPr>
      </w:pPr>
      <w:r>
        <w:rPr>
          <w:rFonts w:ascii="宋体" w:hAnsi="宋体" w:cs="宋体" w:hint="eastAsia"/>
          <w:sz w:val="24"/>
        </w:rPr>
        <w:t xml:space="preserve">23.5按照第21条规定，迟交的投标文件将不予开封。</w:t>
      </w:r>
    </w:p>
    <w:p>
      <w:pPr>
        <w:spacing w:line="400" w:lineRule="exact"/>
        <w:ind w:firstLine="480" w:firstLineChars="200"/>
        <w:rPr>
          <w:rFonts w:ascii="宋体" w:hAnsi="宋体" w:cs="宋体"/>
          <w:sz w:val="24"/>
        </w:rPr>
      </w:pPr>
      <w:r>
        <w:rPr>
          <w:rFonts w:ascii="宋体" w:hAnsi="宋体" w:cs="宋体" w:hint="eastAsia"/>
          <w:sz w:val="24"/>
        </w:rPr>
        <w:t xml:space="preserve">23.6唱标后，由采购人组织评标委员会对投标供应商的资质进行审查，对于符合招标文件资质要求的给予继续评标。若发现投标供应商资质条件不符合招标文件要求的，可取消其继续参加评审的资格。</w:t>
      </w:r>
    </w:p>
    <w:p>
      <w:pPr>
        <w:widowControl/>
        <w:spacing w:line="400" w:lineRule="exact"/>
        <w:ind w:firstLine="480" w:firstLineChars="200"/>
        <w:jc w:val="left"/>
        <w:rPr>
          <w:rFonts w:ascii="宋体" w:hAnsi="宋体" w:cs="宋体"/>
          <w:b/>
          <w:sz w:val="24"/>
        </w:rPr>
      </w:pPr>
      <w:r>
        <w:rPr>
          <w:rFonts w:ascii="宋体" w:hAnsi="宋体" w:cs="宋体" w:hint="eastAsia"/>
          <w:b/>
          <w:sz w:val="24"/>
        </w:rPr>
        <w:t xml:space="preserve">24.评标委员会</w:t>
      </w:r>
    </w:p>
    <w:p>
      <w:pPr>
        <w:spacing w:line="400" w:lineRule="exact"/>
        <w:ind w:firstLine="480" w:firstLineChars="200"/>
        <w:rPr>
          <w:rFonts w:ascii="宋体" w:hAnsi="宋体" w:cs="宋体"/>
          <w:b/>
          <w:sz w:val="24"/>
        </w:rPr>
      </w:pPr>
      <w:r>
        <w:rPr>
          <w:rFonts w:ascii="宋体" w:hAnsi="宋体" w:cs="宋体" w:hint="eastAsia"/>
          <w:sz w:val="24"/>
        </w:rPr>
        <w:t xml:space="preserve">24.1 唱标结束后，采购人将立即组织评标委员会（以下简称评委会）进行评标。</w:t>
      </w:r>
    </w:p>
    <w:p>
      <w:pPr>
        <w:spacing w:line="400" w:lineRule="exact"/>
        <w:ind w:firstLine="480" w:firstLineChars="200"/>
        <w:rPr>
          <w:rFonts w:ascii="宋体" w:hAnsi="宋体" w:cs="宋体"/>
          <w:b/>
          <w:sz w:val="24"/>
        </w:rPr>
      </w:pPr>
      <w:r>
        <w:rPr>
          <w:rFonts w:ascii="宋体" w:hAnsi="宋体" w:cs="宋体" w:hint="eastAsia"/>
          <w:sz w:val="24"/>
        </w:rPr>
        <w:t xml:space="preserve">24.2 评委会由五人或以上单数的行业专家、采购人代表（限1人）组成。</w:t>
      </w:r>
    </w:p>
    <w:p>
      <w:pPr>
        <w:spacing w:line="400" w:lineRule="exact"/>
        <w:ind w:firstLine="480" w:firstLineChars="200"/>
        <w:rPr>
          <w:rFonts w:ascii="宋体" w:hAnsi="宋体" w:cs="宋体"/>
          <w:sz w:val="24"/>
        </w:rPr>
      </w:pPr>
      <w:r>
        <w:rPr>
          <w:rFonts w:ascii="宋体" w:hAnsi="宋体" w:cs="宋体" w:hint="eastAsia"/>
          <w:sz w:val="24"/>
        </w:rPr>
        <w:t xml:space="preserve">24.3 评委会独立开展工作，负责审议所有投标文件，并推荐中标候选人。</w:t>
      </w:r>
    </w:p>
    <w:p>
      <w:pPr>
        <w:spacing w:line="400" w:lineRule="exact"/>
        <w:ind w:firstLine="480" w:firstLineChars="200"/>
        <w:rPr>
          <w:rFonts w:ascii="宋体" w:hAnsi="宋体" w:cs="宋体"/>
          <w:sz w:val="24"/>
        </w:rPr>
      </w:pPr>
      <w:r>
        <w:rPr>
          <w:rFonts w:ascii="宋体" w:hAnsi="宋体" w:cs="宋体" w:hint="eastAsia"/>
          <w:sz w:val="24"/>
        </w:rPr>
        <w:t xml:space="preserve">24.4 评委会应对投标人的商业、技术秘密予以保密。</w:t>
      </w:r>
    </w:p>
    <w:p>
      <w:pPr>
        <w:spacing w:line="400" w:lineRule="exact"/>
        <w:ind w:firstLine="480" w:firstLineChars="200"/>
        <w:rPr>
          <w:rFonts w:ascii="宋体" w:hAnsi="宋体" w:cs="宋体"/>
          <w:b/>
          <w:sz w:val="24"/>
        </w:rPr>
      </w:pPr>
      <w:r>
        <w:rPr>
          <w:rFonts w:ascii="宋体" w:hAnsi="宋体" w:cs="宋体" w:hint="eastAsia"/>
          <w:b/>
          <w:sz w:val="24"/>
        </w:rPr>
        <w:t xml:space="preserve">25.评标过程的保密</w:t>
      </w:r>
    </w:p>
    <w:p>
      <w:pPr>
        <w:spacing w:line="400" w:lineRule="exact"/>
        <w:ind w:firstLine="480" w:firstLineChars="200"/>
        <w:rPr>
          <w:rFonts w:ascii="宋体" w:hAnsi="宋体" w:cs="宋体"/>
          <w:sz w:val="24"/>
        </w:rPr>
      </w:pPr>
      <w:r>
        <w:rPr>
          <w:rFonts w:ascii="宋体" w:hAnsi="宋体" w:cs="宋体" w:hint="eastAsia"/>
          <w:sz w:val="24"/>
        </w:rPr>
        <w:t xml:space="preserve">25.1开标后，直至向中标的投标人授予合同时止，凡是与审查、澄清、评价和比较投标的有关资料以及授权建议等，均不得向任何投标人或与评标无关的其他人员透露。</w:t>
      </w:r>
    </w:p>
    <w:p>
      <w:pPr>
        <w:spacing w:line="400" w:lineRule="exact"/>
        <w:ind w:firstLine="480" w:firstLineChars="200"/>
        <w:rPr>
          <w:rFonts w:ascii="宋体" w:hAnsi="宋体" w:cs="宋体"/>
          <w:sz w:val="24"/>
        </w:rPr>
      </w:pPr>
      <w:r>
        <w:rPr>
          <w:rFonts w:ascii="宋体" w:hAnsi="宋体" w:cs="宋体" w:hint="eastAsia"/>
          <w:sz w:val="24"/>
        </w:rPr>
        <w:t xml:space="preserve">25.2在评标过程中，如果投标人试图向采购人、交易中心和参与评标的人员施加任何影响，都将会导致其投标被拒绝。</w:t>
      </w:r>
    </w:p>
    <w:p>
      <w:pPr>
        <w:spacing w:line="400" w:lineRule="exact"/>
        <w:ind w:firstLine="480" w:firstLineChars="200"/>
        <w:rPr>
          <w:rFonts w:ascii="宋体" w:hAnsi="宋体" w:cs="宋体"/>
          <w:sz w:val="24"/>
          <w:lang w:val="zh-CN"/>
        </w:rPr>
      </w:pPr>
      <w:r>
        <w:rPr>
          <w:rFonts w:ascii="宋体" w:hAnsi="宋体" w:cs="宋体" w:hint="eastAsia"/>
          <w:sz w:val="24"/>
        </w:rPr>
        <w:t xml:space="preserve">25.3</w:t>
      </w:r>
      <w:r>
        <w:rPr>
          <w:rFonts w:ascii="宋体" w:hAnsi="宋体" w:cs="宋体" w:hint="eastAsia"/>
          <w:sz w:val="24"/>
          <w:lang w:val="zh-CN"/>
        </w:rPr>
        <w:t xml:space="preserve"> 评标委员会名单应在开标前确定，并在招标结果确定前保密。</w:t>
      </w:r>
    </w:p>
    <w:p>
      <w:pPr>
        <w:spacing w:line="400" w:lineRule="exact"/>
        <w:ind w:firstLine="480" w:firstLineChars="200"/>
        <w:rPr>
          <w:rFonts w:ascii="宋体" w:hAnsi="宋体" w:cs="宋体"/>
          <w:b/>
          <w:sz w:val="24"/>
        </w:rPr>
      </w:pPr>
      <w:r>
        <w:rPr>
          <w:rFonts w:ascii="宋体" w:hAnsi="宋体" w:cs="宋体" w:hint="eastAsia"/>
          <w:b/>
          <w:sz w:val="24"/>
        </w:rPr>
        <w:t xml:space="preserve">26.对投标文件的初审</w:t>
      </w:r>
    </w:p>
    <w:p>
      <w:pPr>
        <w:spacing w:line="400" w:lineRule="exact"/>
        <w:ind w:firstLine="480" w:firstLineChars="200"/>
        <w:rPr>
          <w:rFonts w:ascii="宋体" w:hAnsi="宋体" w:cs="宋体"/>
          <w:sz w:val="24"/>
        </w:rPr>
      </w:pPr>
      <w:r>
        <w:rPr>
          <w:rFonts w:ascii="宋体" w:hAnsi="宋体" w:cs="宋体" w:hint="eastAsia"/>
          <w:sz w:val="24"/>
        </w:rPr>
        <w:t xml:space="preserve">26.1</w:t>
      </w:r>
      <w:r>
        <w:rPr>
          <w:rFonts w:ascii="宋体" w:hAnsi="宋体" w:cs="宋体" w:hint="eastAsia"/>
          <w:sz w:val="24"/>
          <w:lang w:val="zh-CN"/>
        </w:rPr>
        <w:t xml:space="preserve">开标后，</w:t>
      </w:r>
      <w:r>
        <w:rPr>
          <w:rFonts w:ascii="宋体" w:hAnsi="宋体" w:cs="宋体" w:hint="eastAsia"/>
          <w:sz w:val="24"/>
        </w:rPr>
        <w:t xml:space="preserve">采购人</w:t>
      </w:r>
      <w:r>
        <w:rPr>
          <w:rFonts w:ascii="宋体" w:hAnsi="宋体" w:cs="宋体" w:hint="eastAsia"/>
          <w:sz w:val="24"/>
          <w:lang w:val="zh-CN"/>
        </w:rPr>
        <w:t xml:space="preserve">将组织工作人员对以</w:t>
      </w:r>
      <w:r>
        <w:rPr>
          <w:rFonts w:ascii="宋体" w:hAnsi="宋体" w:cs="宋体" w:hint="eastAsia"/>
          <w:sz w:val="24"/>
        </w:rPr>
        <w:t xml:space="preserve">法定代表人参加投标的</w:t>
      </w:r>
      <w:r>
        <w:rPr>
          <w:rFonts w:ascii="宋体" w:hAnsi="宋体" w:cs="宋体" w:hint="eastAsia"/>
          <w:sz w:val="24"/>
          <w:lang w:val="zh-CN"/>
        </w:rPr>
        <w:t xml:space="preserve">投标人是否</w:t>
      </w:r>
      <w:r>
        <w:rPr>
          <w:rFonts w:ascii="宋体" w:hAnsi="宋体" w:cs="宋体" w:hint="eastAsia"/>
          <w:sz w:val="24"/>
        </w:rPr>
        <w:t xml:space="preserve">按第二章投标文件的相关格式填写资格证明文件；对以委托受托人参加投标的</w:t>
      </w:r>
      <w:r>
        <w:rPr>
          <w:rFonts w:ascii="宋体" w:hAnsi="宋体" w:cs="宋体" w:hint="eastAsia"/>
          <w:sz w:val="24"/>
          <w:lang w:val="zh-CN"/>
        </w:rPr>
        <w:t xml:space="preserve">投标人是否</w:t>
      </w:r>
      <w:r>
        <w:rPr>
          <w:rFonts w:ascii="宋体" w:hAnsi="宋体" w:cs="宋体" w:hint="eastAsia"/>
          <w:sz w:val="24"/>
        </w:rPr>
        <w:t xml:space="preserve">按第二章投标文件的相关格式填写授权委托书。</w:t>
      </w:r>
    </w:p>
    <w:p>
      <w:pPr>
        <w:spacing w:line="400" w:lineRule="exact"/>
        <w:ind w:firstLine="480" w:firstLineChars="200"/>
        <w:rPr>
          <w:rFonts w:ascii="宋体" w:hAnsi="宋体" w:cs="宋体"/>
          <w:sz w:val="24"/>
          <w:lang w:val="zh-CN"/>
        </w:rPr>
      </w:pPr>
      <w:r>
        <w:rPr>
          <w:rFonts w:ascii="宋体" w:hAnsi="宋体" w:cs="宋体" w:hint="eastAsia"/>
          <w:sz w:val="24"/>
          <w:lang w:val="zh-CN"/>
        </w:rPr>
        <w:t xml:space="preserve">26.2开标后，</w:t>
      </w:r>
      <w:r>
        <w:rPr>
          <w:rFonts w:ascii="宋体" w:hAnsi="宋体" w:cs="宋体" w:hint="eastAsia"/>
          <w:sz w:val="24"/>
        </w:rPr>
        <w:t xml:space="preserve">采购人</w:t>
      </w:r>
      <w:r>
        <w:rPr>
          <w:rFonts w:ascii="宋体" w:hAnsi="宋体" w:cs="宋体" w:hint="eastAsia"/>
          <w:sz w:val="24"/>
          <w:lang w:val="zh-CN"/>
        </w:rPr>
        <w:t xml:space="preserve">将组织评委会对投标文件是否完整，有无计算上的错误，文件签署是否合格，投标文件是否大体编排有序且基本符合招标文件的要求。</w:t>
      </w:r>
    </w:p>
    <w:p>
      <w:pPr>
        <w:autoSpaceDE w:val="0"/>
        <w:autoSpaceDN w:val="0"/>
        <w:adjustRightInd w:val="0"/>
        <w:spacing w:line="400" w:lineRule="exact"/>
        <w:ind w:firstLine="480" w:firstLineChars="200"/>
        <w:rPr>
          <w:rFonts w:ascii="宋体" w:hAnsi="宋体" w:cs="宋体"/>
          <w:sz w:val="24"/>
        </w:rPr>
      </w:pPr>
      <w:r>
        <w:rPr>
          <w:rFonts w:ascii="宋体" w:hAnsi="宋体" w:cs="宋体" w:hint="eastAsia"/>
          <w:sz w:val="24"/>
        </w:rPr>
        <w:t xml:space="preserve">26.3在详细评标之前，评委会将首先审查每份投标文件是否实质响应了招标文件的要求。实质上响应的投标应该是与招标文件要求的所有全部条款、条件和要求相符，没有重大偏离或保留的投标。所谓重大偏离或保留是指影响到招标文件规定的供货期、供货范围、质量和性能；或者在实质上与招标文件不一致，而且限制了合同中买方的权利或投标人的义务，纠正这些偏离或保留将会对其他实质上响应要求的投标人的竞争地位产生不公正的影响。重大负偏离的认定须经评标委员会三分之二以上同意。评委会决定投标文件的响应性只根据投标文件本身的内容，而不寻求外部的证据。</w:t>
      </w:r>
    </w:p>
    <w:p>
      <w:pPr>
        <w:spacing w:line="400" w:lineRule="exact"/>
        <w:ind w:firstLine="480" w:firstLineChars="200"/>
        <w:rPr>
          <w:rFonts w:ascii="宋体" w:hAnsi="宋体" w:cs="宋体"/>
          <w:sz w:val="24"/>
        </w:rPr>
      </w:pPr>
      <w:r>
        <w:rPr>
          <w:rFonts w:ascii="宋体" w:hAnsi="宋体" w:cs="宋体" w:hint="eastAsia"/>
          <w:sz w:val="24"/>
        </w:rPr>
        <w:t xml:space="preserve">26.4如果投标文件实质上没有响应招标文件的要求，评委会将予以拒绝，投标人不得通过修改或撤销不合要求的偏离或保留而使其投标成为实质上响应的投标。</w:t>
      </w:r>
    </w:p>
    <w:p>
      <w:pPr>
        <w:spacing w:line="400" w:lineRule="exact"/>
        <w:ind w:firstLine="480" w:firstLineChars="200"/>
        <w:rPr>
          <w:rFonts w:ascii="宋体" w:hAnsi="宋体" w:cs="宋体"/>
          <w:sz w:val="24"/>
        </w:rPr>
      </w:pPr>
      <w:r>
        <w:rPr>
          <w:rFonts w:ascii="宋体" w:hAnsi="宋体" w:cs="宋体" w:hint="eastAsia"/>
          <w:sz w:val="24"/>
        </w:rPr>
        <w:t xml:space="preserve">26.5评委会将对确定为实质性响应的投标进行进一步审核，看其是否有计算上或累加上的算术错误，修正错误的原则如下:</w:t>
      </w:r>
    </w:p>
    <w:p>
      <w:pPr>
        <w:spacing w:line="400" w:lineRule="exact"/>
        <w:ind w:firstLine="480" w:firstLineChars="200"/>
        <w:rPr>
          <w:rFonts w:ascii="宋体" w:hAnsi="宋体" w:cs="宋体"/>
          <w:sz w:val="24"/>
        </w:rPr>
      </w:pPr>
      <w:r>
        <w:rPr>
          <w:rFonts w:ascii="宋体" w:hAnsi="宋体" w:cs="宋体" w:hint="eastAsia"/>
          <w:sz w:val="24"/>
        </w:rPr>
        <w:t xml:space="preserve">（1）如果用数字表示的金额和用文字表示的金额不一致时，应以文字表示的金额为准进行修正；</w:t>
      </w:r>
    </w:p>
    <w:p>
      <w:pPr>
        <w:spacing w:line="400" w:lineRule="exact"/>
        <w:ind w:firstLine="480" w:firstLineChars="200"/>
        <w:rPr>
          <w:rFonts w:ascii="宋体" w:hAnsi="宋体" w:cs="宋体"/>
          <w:sz w:val="24"/>
        </w:rPr>
      </w:pPr>
      <w:r>
        <w:rPr>
          <w:rFonts w:ascii="宋体" w:hAnsi="宋体" w:cs="宋体" w:hint="eastAsia"/>
          <w:sz w:val="24"/>
        </w:rPr>
        <w:t xml:space="preserve">（2）当单价与数量的乘积和总价不一致时，以单价为准进行修正。只有在评委会认为单价有明显的小数点错误时，才能以标出的总价为准，并修改单价。</w:t>
      </w:r>
    </w:p>
    <w:p>
      <w:pPr>
        <w:spacing w:line="400" w:lineRule="exact"/>
        <w:ind w:firstLine="480" w:firstLineChars="200"/>
        <w:rPr>
          <w:rFonts w:ascii="宋体" w:hAnsi="宋体" w:cs="宋体"/>
          <w:sz w:val="24"/>
        </w:rPr>
      </w:pPr>
      <w:r>
        <w:rPr>
          <w:rFonts w:ascii="宋体" w:hAnsi="宋体" w:cs="宋体" w:hint="eastAsia"/>
          <w:sz w:val="24"/>
        </w:rPr>
        <w:t xml:space="preserve">（3）如果投标人提供的折扣数与按折扣率为基准计算的折扣数不一致时，以折扣率计算为基准进行修正。</w:t>
      </w:r>
    </w:p>
    <w:p>
      <w:pPr>
        <w:spacing w:line="400" w:lineRule="exact"/>
        <w:ind w:firstLine="480" w:firstLineChars="200"/>
        <w:rPr>
          <w:rFonts w:ascii="宋体" w:hAnsi="宋体" w:cs="宋体"/>
          <w:sz w:val="24"/>
        </w:rPr>
      </w:pPr>
      <w:r>
        <w:rPr>
          <w:rFonts w:ascii="宋体" w:hAnsi="宋体" w:cs="宋体" w:hint="eastAsia"/>
          <w:sz w:val="24"/>
        </w:rPr>
        <w:t xml:space="preserve">26.6评委会将按上述修正错误的方法调整投标文件中的投标报价，调整后的价格应对投标人具有约束力。如果投标人不接受修正后的价格，则其投标将被拒绝。</w:t>
      </w:r>
    </w:p>
    <w:p>
      <w:pPr>
        <w:spacing w:line="400" w:lineRule="exact"/>
        <w:ind w:firstLine="480" w:firstLineChars="200"/>
        <w:rPr>
          <w:rFonts w:ascii="宋体" w:hAnsi="宋体" w:cs="宋体"/>
          <w:sz w:val="24"/>
        </w:rPr>
      </w:pPr>
      <w:r>
        <w:rPr>
          <w:rFonts w:ascii="宋体" w:hAnsi="宋体" w:cs="宋体" w:hint="eastAsia"/>
          <w:sz w:val="24"/>
        </w:rPr>
        <w:t xml:space="preserve">26.7评委会将允许修正投标文件中不构成重大偏离的、微小的、非正规的、不一致的或不规则的地方，但这些修改不能影响任何投标人相应的名次排列。</w:t>
      </w:r>
    </w:p>
    <w:p>
      <w:pPr>
        <w:spacing w:line="400" w:lineRule="exact"/>
        <w:ind w:firstLine="480" w:firstLineChars="200"/>
        <w:rPr>
          <w:rFonts w:ascii="宋体" w:hAnsi="宋体" w:cs="宋体"/>
          <w:sz w:val="24"/>
        </w:rPr>
      </w:pPr>
      <w:r>
        <w:rPr>
          <w:rFonts w:ascii="宋体" w:hAnsi="宋体" w:cs="宋体" w:hint="eastAsia"/>
          <w:sz w:val="24"/>
        </w:rPr>
        <w:t xml:space="preserve">26.8投标文件有下列情况之一的，应当在资格性、符合性检查时按照无效投标处理:                                                                                                                                                       </w:t>
      </w:r>
    </w:p>
    <w:p>
      <w:pPr>
        <w:spacing w:line="400" w:lineRule="exact"/>
        <w:ind w:firstLine="540"/>
        <w:rPr>
          <w:rFonts w:ascii="宋体" w:hAnsi="宋体" w:cs="宋体"/>
          <w:bCs/>
          <w:sz w:val="24"/>
        </w:rPr>
      </w:pPr>
      <w:r>
        <w:rPr>
          <w:rFonts w:ascii="宋体" w:hAnsi="宋体" w:cs="宋体" w:hint="eastAsia"/>
          <w:bCs/>
          <w:sz w:val="24"/>
        </w:rPr>
        <w:t xml:space="preserve">(</w:t>
      </w:r>
      <w:r>
        <w:rPr>
          <w:rFonts w:ascii="宋体" w:hAnsi="宋体" w:cs="宋体" w:hint="eastAsia"/>
          <w:bCs/>
          <w:sz w:val="24"/>
          <w:lang w:val="en-US" w:eastAsia="zh-CN"/>
        </w:rPr>
        <w:t xml:space="preserve">1</w:t>
      </w:r>
      <w:r>
        <w:rPr>
          <w:rFonts w:ascii="宋体" w:hAnsi="宋体" w:cs="宋体" w:hint="eastAsia"/>
          <w:bCs/>
          <w:sz w:val="24"/>
        </w:rPr>
        <w:t xml:space="preserve">)投标文件未按招标文件要求签署、盖章的;</w:t>
      </w:r>
    </w:p>
    <w:p>
      <w:pPr>
        <w:spacing w:line="400" w:lineRule="exact"/>
        <w:ind w:firstLine="540"/>
        <w:rPr>
          <w:rFonts w:ascii="宋体" w:hAnsi="宋体" w:cs="宋体"/>
          <w:bCs/>
          <w:sz w:val="24"/>
        </w:rPr>
      </w:pPr>
      <w:r>
        <w:rPr>
          <w:rFonts w:ascii="宋体" w:hAnsi="宋体" w:cs="宋体" w:hint="eastAsia"/>
          <w:bCs/>
          <w:sz w:val="24"/>
        </w:rPr>
        <w:t xml:space="preserve">(</w:t>
      </w:r>
      <w:r>
        <w:rPr>
          <w:rFonts w:ascii="宋体" w:hAnsi="宋体" w:cs="宋体" w:hint="eastAsia"/>
          <w:bCs/>
          <w:sz w:val="24"/>
          <w:lang w:val="en-US" w:eastAsia="zh-CN"/>
        </w:rPr>
        <w:t xml:space="preserve">2</w:t>
      </w:r>
      <w:r>
        <w:rPr>
          <w:rFonts w:ascii="宋体" w:hAnsi="宋体" w:cs="宋体" w:hint="eastAsia"/>
          <w:bCs/>
          <w:sz w:val="24"/>
        </w:rPr>
        <w:t xml:space="preserve">)不具备招标文件中规定的资格要求的;</w:t>
      </w:r>
    </w:p>
    <w:p>
      <w:pPr>
        <w:spacing w:line="400" w:lineRule="exact"/>
        <w:ind w:firstLine="540"/>
        <w:rPr>
          <w:rFonts w:ascii="宋体" w:hAnsi="宋体" w:cs="宋体"/>
          <w:bCs/>
          <w:sz w:val="24"/>
        </w:rPr>
      </w:pPr>
      <w:r>
        <w:rPr>
          <w:rFonts w:ascii="宋体" w:hAnsi="宋体" w:cs="宋体" w:hint="eastAsia"/>
          <w:bCs/>
          <w:sz w:val="24"/>
        </w:rPr>
        <w:t xml:space="preserve">(</w:t>
      </w:r>
      <w:r>
        <w:rPr>
          <w:rFonts w:ascii="宋体" w:hAnsi="宋体" w:cs="宋体" w:hint="eastAsia"/>
          <w:bCs/>
          <w:sz w:val="24"/>
          <w:lang w:val="en-US" w:eastAsia="zh-CN"/>
        </w:rPr>
        <w:t xml:space="preserve">3</w:t>
      </w:r>
      <w:r>
        <w:rPr>
          <w:rFonts w:ascii="宋体" w:hAnsi="宋体" w:cs="宋体" w:hint="eastAsia"/>
          <w:bCs/>
          <w:sz w:val="24"/>
        </w:rPr>
        <w:t xml:space="preserve">)报价超过招标文件中规定的预算金额或者最高限价的;</w:t>
      </w:r>
    </w:p>
    <w:p>
      <w:pPr>
        <w:spacing w:line="400" w:lineRule="exact"/>
        <w:ind w:firstLine="540"/>
        <w:rPr>
          <w:rFonts w:ascii="宋体" w:hAnsi="宋体" w:cs="宋体"/>
          <w:bCs/>
          <w:sz w:val="24"/>
        </w:rPr>
      </w:pPr>
      <w:r>
        <w:rPr>
          <w:rFonts w:ascii="宋体" w:hAnsi="宋体" w:cs="宋体" w:hint="eastAsia"/>
          <w:bCs/>
          <w:sz w:val="24"/>
        </w:rPr>
        <w:t xml:space="preserve">(</w:t>
      </w:r>
      <w:r>
        <w:rPr>
          <w:rFonts w:ascii="宋体" w:hAnsi="宋体" w:cs="宋体" w:hint="eastAsia"/>
          <w:bCs/>
          <w:sz w:val="24"/>
          <w:lang w:val="en-US" w:eastAsia="zh-CN"/>
        </w:rPr>
        <w:t xml:space="preserve">4</w:t>
      </w:r>
      <w:r>
        <w:rPr>
          <w:rFonts w:ascii="宋体" w:hAnsi="宋体" w:cs="宋体" w:hint="eastAsia"/>
          <w:bCs/>
          <w:sz w:val="24"/>
        </w:rPr>
        <w:t xml:space="preserve">)投标文件含有采购人不能接受的附加条件的;</w:t>
      </w:r>
    </w:p>
    <w:p>
      <w:pPr>
        <w:spacing w:line="400" w:lineRule="exact"/>
        <w:ind w:firstLine="480" w:firstLineChars="200"/>
        <w:rPr>
          <w:rFonts w:ascii="宋体" w:hAnsi="宋体" w:cs="宋体"/>
          <w:sz w:val="24"/>
        </w:rPr>
      </w:pPr>
      <w:r>
        <w:rPr>
          <w:rFonts w:ascii="宋体" w:hAnsi="宋体" w:cs="宋体" w:hint="eastAsia"/>
          <w:sz w:val="24"/>
        </w:rPr>
        <w:t xml:space="preserve">（</w:t>
      </w:r>
      <w:r>
        <w:rPr>
          <w:rFonts w:ascii="宋体" w:hAnsi="宋体" w:cs="宋体" w:hint="eastAsia"/>
          <w:sz w:val="24"/>
          <w:lang w:val="en-US" w:eastAsia="zh-CN"/>
        </w:rPr>
        <w:t xml:space="preserve">5</w:t>
      </w:r>
      <w:r>
        <w:rPr>
          <w:rFonts w:ascii="宋体" w:hAnsi="宋体" w:cs="宋体" w:hint="eastAsia"/>
          <w:sz w:val="24"/>
        </w:rPr>
        <w:t xml:space="preserve">）未按招标文件要求提供电子投标文件或者电子投标文件未能解密（指因投标人自身原因）、按照招标文件明确的投标文件解密失败的补救方案补救不成功的；</w:t>
      </w:r>
    </w:p>
    <w:p>
      <w:pPr>
        <w:spacing w:line="400" w:lineRule="exact"/>
        <w:ind w:firstLine="425" w:firstLineChars="177"/>
        <w:rPr>
          <w:rFonts w:ascii="宋体" w:hAnsi="宋体" w:cs="宋体"/>
          <w:sz w:val="24"/>
        </w:rPr>
      </w:pPr>
      <w:r>
        <w:rPr>
          <w:rFonts w:ascii="宋体" w:hAnsi="宋体" w:cs="宋体" w:hint="eastAsia"/>
          <w:sz w:val="24"/>
        </w:rPr>
        <w:t xml:space="preserve">（</w:t>
      </w:r>
      <w:r>
        <w:rPr>
          <w:rFonts w:ascii="宋体" w:hAnsi="宋体" w:cs="宋体" w:hint="eastAsia"/>
          <w:sz w:val="24"/>
          <w:lang w:val="en-US" w:eastAsia="zh-CN"/>
        </w:rPr>
        <w:t xml:space="preserve">6</w:t>
      </w:r>
      <w:r>
        <w:rPr>
          <w:rFonts w:ascii="宋体" w:hAnsi="宋体" w:cs="宋体" w:hint="eastAsia"/>
          <w:sz w:val="24"/>
        </w:rPr>
        <w:t xml:space="preserve">）投标人提交的电子投标文件、投标备份光盘（或U盘）均因其自身出现问题导致无法电子评标的；</w:t>
      </w:r>
    </w:p>
    <w:p>
      <w:pPr>
        <w:spacing w:line="400" w:lineRule="exact"/>
        <w:ind w:firstLine="480" w:firstLineChars="200"/>
        <w:rPr>
          <w:rFonts w:ascii="宋体" w:hAnsi="宋体" w:cs="宋体"/>
          <w:sz w:val="24"/>
        </w:rPr>
      </w:pPr>
      <w:r>
        <w:rPr>
          <w:rFonts w:ascii="宋体" w:hAnsi="宋体" w:cs="宋体" w:hint="eastAsia"/>
          <w:sz w:val="24"/>
        </w:rPr>
        <w:t xml:space="preserve">26.9在招标采购中，出现下列情形之一的，应予废标:</w:t>
      </w:r>
    </w:p>
    <w:p>
      <w:pPr>
        <w:spacing w:line="400" w:lineRule="exact"/>
        <w:ind w:firstLine="480" w:firstLineChars="200"/>
        <w:rPr>
          <w:rFonts w:ascii="宋体" w:hAnsi="宋体" w:cs="宋体"/>
          <w:sz w:val="24"/>
        </w:rPr>
      </w:pPr>
      <w:r>
        <w:rPr>
          <w:rFonts w:ascii="宋体" w:hAnsi="宋体" w:cs="宋体" w:hint="eastAsia"/>
          <w:sz w:val="24"/>
        </w:rPr>
        <w:t xml:space="preserve">（1）符合专业条件的投标人或者对招标文件作实质响应的投标人不足三家的；特殊情况按第23条处理。</w:t>
      </w:r>
    </w:p>
    <w:p>
      <w:pPr>
        <w:spacing w:line="400" w:lineRule="exact"/>
        <w:ind w:firstLine="480" w:firstLineChars="200"/>
        <w:rPr>
          <w:rFonts w:ascii="宋体" w:hAnsi="宋体" w:cs="宋体"/>
          <w:sz w:val="24"/>
        </w:rPr>
      </w:pPr>
      <w:r>
        <w:rPr>
          <w:rFonts w:ascii="宋体" w:hAnsi="宋体" w:cs="宋体" w:hint="eastAsia"/>
          <w:sz w:val="24"/>
        </w:rPr>
        <w:t xml:space="preserve">（2）出现影响采购公正的违法、违规行为的；</w:t>
      </w:r>
    </w:p>
    <w:p>
      <w:pPr>
        <w:spacing w:line="400" w:lineRule="exact"/>
        <w:ind w:firstLine="480" w:firstLineChars="200"/>
        <w:rPr>
          <w:rFonts w:ascii="宋体" w:hAnsi="宋体" w:cs="宋体"/>
          <w:sz w:val="24"/>
        </w:rPr>
      </w:pPr>
      <w:r>
        <w:rPr>
          <w:rFonts w:ascii="宋体" w:hAnsi="宋体" w:cs="宋体" w:hint="eastAsia"/>
          <w:sz w:val="24"/>
        </w:rPr>
        <w:t xml:space="preserve">（3）投标人的报价均超过了采购预算，采购人不能支付的；</w:t>
      </w:r>
    </w:p>
    <w:p>
      <w:pPr>
        <w:spacing w:line="400" w:lineRule="exact"/>
        <w:ind w:firstLine="480" w:firstLineChars="200"/>
        <w:rPr>
          <w:rFonts w:ascii="宋体" w:hAnsi="宋体" w:cs="宋体"/>
          <w:sz w:val="24"/>
        </w:rPr>
      </w:pPr>
      <w:r>
        <w:rPr>
          <w:rFonts w:ascii="宋体" w:hAnsi="宋体" w:cs="宋体" w:hint="eastAsia"/>
          <w:sz w:val="24"/>
        </w:rPr>
        <w:t xml:space="preserve">（4）因重大变故，采购任务取消的。</w:t>
      </w:r>
    </w:p>
    <w:p>
      <w:pPr>
        <w:spacing w:line="400" w:lineRule="exact"/>
        <w:ind w:firstLine="480" w:firstLineChars="200"/>
        <w:rPr>
          <w:rFonts w:ascii="宋体" w:hAnsi="宋体" w:cs="宋体"/>
          <w:sz w:val="24"/>
        </w:rPr>
      </w:pPr>
      <w:r>
        <w:rPr>
          <w:rFonts w:ascii="宋体" w:hAnsi="宋体" w:cs="宋体" w:hint="eastAsia"/>
          <w:sz w:val="24"/>
        </w:rPr>
        <w:t xml:space="preserve">废标后，采购人应当将废标理由通知所有投标人。</w:t>
      </w:r>
    </w:p>
    <w:p>
      <w:pPr>
        <w:spacing w:line="400" w:lineRule="exact"/>
        <w:ind w:firstLine="480" w:firstLineChars="200"/>
        <w:rPr>
          <w:rFonts w:ascii="宋体" w:hAnsi="宋体" w:cs="宋体"/>
          <w:b/>
          <w:sz w:val="24"/>
        </w:rPr>
      </w:pPr>
      <w:r>
        <w:rPr>
          <w:rFonts w:ascii="宋体" w:hAnsi="宋体" w:cs="宋体" w:hint="eastAsia"/>
          <w:b/>
          <w:bCs/>
          <w:sz w:val="24"/>
        </w:rPr>
        <w:t xml:space="preserve">27.</w:t>
      </w:r>
      <w:r>
        <w:rPr>
          <w:rFonts w:ascii="宋体" w:hAnsi="宋体" w:cs="宋体" w:hint="eastAsia"/>
          <w:b/>
          <w:sz w:val="24"/>
        </w:rPr>
        <w:t xml:space="preserve"> 投标文件的澄清</w:t>
      </w:r>
    </w:p>
    <w:p>
      <w:pPr>
        <w:spacing w:line="400" w:lineRule="exact"/>
        <w:ind w:firstLine="480" w:firstLineChars="200"/>
        <w:rPr>
          <w:rFonts w:ascii="宋体" w:hAnsi="宋体" w:cs="宋体"/>
          <w:sz w:val="24"/>
        </w:rPr>
      </w:pPr>
      <w:r>
        <w:rPr>
          <w:rFonts w:ascii="宋体" w:hAnsi="宋体" w:cs="宋体" w:hint="eastAsia"/>
          <w:bCs/>
          <w:sz w:val="24"/>
        </w:rPr>
        <w:t xml:space="preserve">27.1在</w:t>
      </w:r>
      <w:r>
        <w:rPr>
          <w:rFonts w:ascii="宋体" w:hAnsi="宋体" w:cs="宋体" w:hint="eastAsia"/>
          <w:sz w:val="24"/>
        </w:rPr>
        <w:t xml:space="preserve">评标期间，为有助于对投标文件的审查、评价和比较，评委会有权要求投标人对其投标文件进行澄清，但并非对每个投标人都作澄清要求。</w:t>
      </w:r>
    </w:p>
    <w:p>
      <w:pPr>
        <w:spacing w:line="400" w:lineRule="exact"/>
        <w:ind w:firstLine="480" w:firstLineChars="200"/>
        <w:rPr>
          <w:rFonts w:ascii="宋体" w:hAnsi="宋体" w:cs="宋体"/>
          <w:sz w:val="24"/>
        </w:rPr>
      </w:pPr>
      <w:r>
        <w:rPr>
          <w:rFonts w:ascii="宋体" w:hAnsi="宋体" w:cs="宋体" w:hint="eastAsia"/>
          <w:bCs/>
          <w:sz w:val="24"/>
        </w:rPr>
        <w:t xml:space="preserve">27.2</w:t>
      </w:r>
      <w:r>
        <w:rPr>
          <w:rFonts w:ascii="宋体" w:hAnsi="宋体" w:cs="宋体" w:hint="eastAsia"/>
          <w:sz w:val="24"/>
        </w:rPr>
        <w:t xml:space="preserve">接到评委会澄清要求的投标人应派人按评委会通知的时间和地点做出书面澄清，书面澄清的内容必须由投标人法定代表人或委托受托人签署，并作为投标文件的补充部分，但投标的价格和实质性的内容不得做任何更改。</w:t>
      </w:r>
    </w:p>
    <w:p>
      <w:pPr>
        <w:spacing w:line="400" w:lineRule="exact"/>
        <w:ind w:firstLine="480" w:firstLineChars="200"/>
        <w:rPr>
          <w:rFonts w:ascii="宋体" w:hAnsi="宋体" w:cs="宋体"/>
          <w:sz w:val="24"/>
        </w:rPr>
      </w:pPr>
      <w:r>
        <w:rPr>
          <w:rFonts w:ascii="宋体" w:hAnsi="宋体" w:cs="宋体" w:hint="eastAsia"/>
          <w:bCs/>
          <w:sz w:val="24"/>
        </w:rPr>
        <w:t xml:space="preserve">27.3 </w:t>
      </w:r>
      <w:r>
        <w:rPr>
          <w:rFonts w:ascii="宋体" w:hAnsi="宋体" w:cs="宋体" w:hint="eastAsia"/>
          <w:sz w:val="24"/>
        </w:rPr>
        <w:t xml:space="preserve">接到评委会澄清要求的投标人如未按第27.2条的规定做出澄清，其风险由投标人自行承担。</w:t>
      </w:r>
    </w:p>
    <w:p>
      <w:pPr>
        <w:spacing w:line="400" w:lineRule="exact"/>
        <w:rPr>
          <w:rFonts w:ascii="宋体" w:hAnsi="宋体" w:cs="宋体"/>
          <w:sz w:val="24"/>
        </w:rPr>
      </w:pPr>
      <w:r>
        <w:rPr>
          <w:rFonts w:ascii="宋体" w:hAnsi="宋体" w:cs="宋体" w:hint="eastAsia"/>
          <w:sz w:val="24"/>
        </w:rPr>
        <w:t xml:space="preserve">28.评审及中标</w:t>
      </w:r>
    </w:p>
    <w:p>
      <w:pPr>
        <w:spacing w:line="400" w:lineRule="exact"/>
        <w:ind w:firstLine="480" w:firstLineChars="200"/>
        <w:rPr>
          <w:rFonts w:ascii="宋体" w:hAnsi="宋体" w:cs="宋体"/>
          <w:sz w:val="24"/>
        </w:rPr>
      </w:pPr>
      <w:r>
        <w:rPr>
          <w:rFonts w:ascii="宋体" w:hAnsi="宋体" w:cs="宋体" w:hint="eastAsia"/>
          <w:sz w:val="24"/>
        </w:rPr>
        <w:t xml:space="preserve">28.1特殊情况处理</w:t>
      </w:r>
    </w:p>
    <w:p>
      <w:pPr>
        <w:spacing w:line="400" w:lineRule="exact"/>
        <w:ind w:firstLine="480" w:firstLineChars="200"/>
        <w:rPr>
          <w:rFonts w:ascii="宋体" w:hAnsi="宋体" w:cs="宋体"/>
          <w:sz w:val="24"/>
        </w:rPr>
      </w:pPr>
      <w:r>
        <w:rPr>
          <w:rFonts w:ascii="宋体" w:hAnsi="宋体" w:cs="宋体" w:hint="eastAsia"/>
          <w:sz w:val="24"/>
        </w:rPr>
        <w:t xml:space="preserve">28.1.1因“开评标系统”自身故障，开标活动无法正常进行时，将使用投标文件备份光盘（或U盘）继续进行开标活动。</w:t>
      </w:r>
    </w:p>
    <w:p>
      <w:pPr>
        <w:spacing w:line="400" w:lineRule="exact"/>
        <w:ind w:firstLine="480" w:firstLineChars="200"/>
        <w:rPr>
          <w:rFonts w:ascii="宋体" w:hAnsi="宋体" w:cs="宋体"/>
          <w:sz w:val="24"/>
        </w:rPr>
      </w:pPr>
      <w:r>
        <w:rPr>
          <w:rFonts w:ascii="宋体" w:hAnsi="宋体" w:cs="宋体" w:hint="eastAsia"/>
          <w:sz w:val="24"/>
        </w:rPr>
        <w:t xml:space="preserve">28.1.2“开评标系统”自身故障是指非投标人原因造成所有投标人电子投标文件均无法解密的情形。部分投标文件无法解密的，不适用该条款。</w:t>
      </w:r>
    </w:p>
    <w:p>
      <w:pPr>
        <w:spacing w:line="400" w:lineRule="exact"/>
        <w:ind w:firstLine="480" w:firstLineChars="200"/>
        <w:rPr>
          <w:rFonts w:ascii="宋体" w:hAnsi="宋体" w:cs="宋体"/>
          <w:sz w:val="24"/>
        </w:rPr>
      </w:pPr>
      <w:r>
        <w:rPr>
          <w:rFonts w:ascii="宋体" w:hAnsi="宋体" w:cs="宋体" w:hint="eastAsia"/>
          <w:sz w:val="24"/>
        </w:rPr>
        <w:t xml:space="preserve">28.2对于不同载体的投标文件，开标、评标及认定顺序为电子投标文件、投标备份光盘（或U盘），前项不能读取的可按后项评审。</w:t>
      </w:r>
    </w:p>
    <w:p>
      <w:pPr>
        <w:spacing w:line="400" w:lineRule="exact"/>
        <w:ind w:firstLine="480" w:firstLineChars="200"/>
        <w:rPr>
          <w:rFonts w:ascii="宋体" w:hAnsi="宋体" w:cs="宋体"/>
          <w:sz w:val="24"/>
        </w:rPr>
      </w:pPr>
      <w:r>
        <w:rPr>
          <w:rFonts w:ascii="宋体" w:hAnsi="宋体" w:cs="宋体" w:hint="eastAsia"/>
          <w:sz w:val="24"/>
        </w:rPr>
        <w:t xml:space="preserve">28.3 评委会将对通过资格性审查和符合性审查的投标文件进行评价和比较。 </w:t>
      </w:r>
    </w:p>
    <w:p>
      <w:pPr>
        <w:spacing w:line="400" w:lineRule="exact"/>
        <w:ind w:firstLine="480" w:firstLineChars="200"/>
        <w:rPr>
          <w:rFonts w:ascii="宋体" w:hAnsi="宋体" w:cs="宋体"/>
          <w:sz w:val="24"/>
        </w:rPr>
      </w:pPr>
      <w:r>
        <w:rPr>
          <w:rFonts w:ascii="宋体" w:hAnsi="宋体" w:cs="宋体" w:hint="eastAsia"/>
          <w:sz w:val="24"/>
        </w:rPr>
        <w:t xml:space="preserve">28.4评委会按招标文件第一章第三部分中公布的评标标准对每份合格投标文件进行评审，确定中标供应商，任何单项因素的最优不能作为中标的保证。 </w:t>
      </w:r>
    </w:p>
    <w:p>
      <w:pPr>
        <w:spacing w:line="400" w:lineRule="exact"/>
        <w:ind w:firstLine="480" w:firstLineChars="200"/>
        <w:rPr>
          <w:rFonts w:ascii="宋体" w:hAnsi="宋体" w:cs="宋体"/>
          <w:sz w:val="24"/>
        </w:rPr>
      </w:pPr>
      <w:r>
        <w:rPr>
          <w:rFonts w:ascii="宋体" w:hAnsi="宋体" w:cs="宋体" w:hint="eastAsia"/>
          <w:sz w:val="24"/>
        </w:rPr>
        <w:t xml:space="preserve">28.5评委会发现招标文件存在歧义、重大缺陷导致评审工作无法进行，或者招标文件内容存在违反国家有关规定的，评标工作停止，采购人修改招标文件后重新组织采购活动。</w:t>
      </w:r>
    </w:p>
    <w:p>
      <w:pPr>
        <w:spacing w:line="400" w:lineRule="exact"/>
        <w:ind w:firstLine="480" w:firstLineChars="200"/>
        <w:rPr>
          <w:rFonts w:ascii="宋体" w:hAnsi="宋体" w:cs="宋体"/>
          <w:sz w:val="24"/>
        </w:rPr>
      </w:pPr>
      <w:r>
        <w:rPr>
          <w:rFonts w:ascii="宋体" w:hAnsi="宋体" w:cs="宋体" w:hint="eastAsia"/>
          <w:sz w:val="24"/>
        </w:rPr>
        <w:t xml:space="preserve">29.评标过程的保密</w:t>
      </w:r>
    </w:p>
    <w:p>
      <w:pPr>
        <w:spacing w:line="400" w:lineRule="exact"/>
        <w:ind w:firstLine="480" w:firstLineChars="200"/>
        <w:rPr>
          <w:rFonts w:ascii="宋体" w:hAnsi="宋体" w:cs="宋体"/>
          <w:sz w:val="24"/>
        </w:rPr>
      </w:pPr>
      <w:r>
        <w:rPr>
          <w:rFonts w:ascii="宋体" w:hAnsi="宋体" w:cs="宋体" w:hint="eastAsia"/>
          <w:sz w:val="24"/>
        </w:rPr>
        <w:t xml:space="preserve">29.1在宣布中标结果之前，凡属于审查、澄清、评价、比较投标文件和中标意向等有关信息，相关当事人均不得泄露给任何供应商或与评审工作无关的人员。</w:t>
      </w:r>
    </w:p>
    <w:p>
      <w:pPr>
        <w:spacing w:line="400" w:lineRule="exact"/>
        <w:ind w:firstLine="480" w:firstLineChars="200"/>
        <w:rPr>
          <w:rFonts w:ascii="宋体" w:hAnsi="宋体" w:cs="宋体"/>
          <w:sz w:val="24"/>
        </w:rPr>
      </w:pPr>
      <w:r>
        <w:rPr>
          <w:rFonts w:ascii="宋体" w:hAnsi="宋体" w:cs="宋体" w:hint="eastAsia"/>
          <w:sz w:val="24"/>
        </w:rPr>
        <w:t xml:space="preserve">29.2 投标人不得探听上述信息，不得以任何行为影响评标过程，否则其投标文件将被作无效处理。 </w:t>
      </w:r>
    </w:p>
    <w:p>
      <w:pPr>
        <w:spacing w:line="400" w:lineRule="exact"/>
        <w:ind w:firstLine="480" w:firstLineChars="200"/>
        <w:rPr>
          <w:rFonts w:ascii="宋体" w:hAnsi="宋体" w:cs="宋体"/>
          <w:sz w:val="24"/>
        </w:rPr>
      </w:pPr>
      <w:r>
        <w:rPr>
          <w:rFonts w:ascii="宋体" w:hAnsi="宋体" w:cs="宋体" w:hint="eastAsia"/>
          <w:sz w:val="24"/>
        </w:rPr>
        <w:t xml:space="preserve">29.3 在评审期间，采购人将有专门人员与投标人进行联络。 </w:t>
      </w:r>
    </w:p>
    <w:p>
      <w:pPr>
        <w:spacing w:line="400" w:lineRule="exact"/>
        <w:ind w:firstLine="480" w:firstLineChars="200"/>
        <w:rPr>
          <w:rFonts w:ascii="宋体" w:hAnsi="宋体" w:cs="宋体"/>
          <w:sz w:val="24"/>
        </w:rPr>
      </w:pPr>
      <w:r>
        <w:rPr>
          <w:rFonts w:ascii="宋体" w:hAnsi="宋体" w:cs="宋体" w:hint="eastAsia"/>
          <w:sz w:val="24"/>
        </w:rPr>
        <w:t xml:space="preserve">29.4 采购人和评审委员会不向未中标的供应商解释未中标原因，也不公布评审过程中的相关细节。</w:t>
      </w:r>
    </w:p>
    <w:p>
      <w:pPr>
        <w:spacing w:line="400" w:lineRule="exact"/>
        <w:ind w:firstLine="480" w:firstLineChars="200"/>
        <w:rPr>
          <w:rFonts w:ascii="宋体" w:hAnsi="宋体" w:cs="宋体"/>
          <w:sz w:val="24"/>
        </w:rPr>
      </w:pPr>
      <w:r>
        <w:rPr>
          <w:rFonts w:ascii="宋体" w:hAnsi="宋体" w:cs="宋体" w:hint="eastAsia"/>
          <w:sz w:val="24"/>
        </w:rPr>
        <w:t xml:space="preserve">29.5 评标委员会名单在开标前确定，并在招标结果确定前保密。</w:t>
      </w:r>
    </w:p>
    <w:p>
      <w:pPr>
        <w:spacing w:line="400" w:lineRule="exact"/>
        <w:ind w:firstLine="480" w:firstLineChars="200"/>
        <w:rPr>
          <w:rFonts w:ascii="宋体" w:hAnsi="宋体" w:cs="宋体"/>
          <w:b/>
          <w:sz w:val="24"/>
        </w:rPr>
      </w:pPr>
      <w:r>
        <w:rPr>
          <w:rFonts w:ascii="宋体" w:hAnsi="宋体" w:cs="宋体" w:hint="eastAsia"/>
          <w:b/>
          <w:sz w:val="24"/>
        </w:rPr>
        <w:t xml:space="preserve">30.评标办法</w:t>
      </w:r>
    </w:p>
    <w:p>
      <w:pPr>
        <w:tabs>
          <w:tab w:val="left" w:pos="735"/>
        </w:tabs>
        <w:spacing w:line="400" w:lineRule="exact"/>
        <w:ind w:firstLine="360" w:firstLineChars="150"/>
        <w:rPr>
          <w:rFonts w:ascii="宋体" w:hAnsi="宋体" w:cs="宋体"/>
          <w:sz w:val="24"/>
        </w:rPr>
      </w:pPr>
      <w:r>
        <w:rPr>
          <w:rFonts w:ascii="宋体" w:hAnsi="宋体" w:cs="宋体" w:hint="eastAsia"/>
          <w:sz w:val="24"/>
          <w:lang w:val="zh-CN"/>
        </w:rPr>
        <w:t xml:space="preserve">30.1</w:t>
      </w:r>
      <w:r>
        <w:rPr>
          <w:rFonts w:ascii="宋体" w:hAnsi="宋体" w:cs="宋体" w:hint="eastAsia"/>
          <w:b/>
          <w:sz w:val="24"/>
        </w:rPr>
        <w:t xml:space="preserve">评标标准和方法:</w:t>
      </w:r>
      <w:r>
        <w:rPr>
          <w:rFonts w:ascii="宋体" w:hAnsi="宋体" w:cs="宋体" w:hint="eastAsia"/>
          <w:sz w:val="24"/>
        </w:rPr>
        <w:t xml:space="preserve">（均按下述办法分别进行评标）</w:t>
      </w:r>
    </w:p>
    <w:p>
      <w:pPr>
        <w:pStyle w:val="NormalIndent"/>
        <w:tabs>
          <w:tab w:val="left" w:pos="735"/>
        </w:tabs>
        <w:snapToGrid w:val="0"/>
        <w:spacing w:line="440" w:lineRule="exact"/>
        <w:ind w:firstLine="480" w:firstLineChars="200"/>
        <w:outlineLvl w:val="0"/>
        <w:rPr>
          <w:rFonts w:ascii="宋体" w:hAnsi="宋体" w:cs="宋体"/>
          <w:sz w:val="24"/>
          <w:szCs w:val="24"/>
        </w:rPr>
      </w:pPr>
      <w:r>
        <w:rPr>
          <w:rFonts w:ascii="宋体" w:hAnsi="宋体" w:cs="宋体" w:hint="eastAsia"/>
          <w:sz w:val="24"/>
          <w:szCs w:val="24"/>
        </w:rPr>
        <w:t xml:space="preserve">一、对所有投标人的投标评估，都采用相同的程序和标准。</w:t>
      </w:r>
    </w:p>
    <w:p>
      <w:pPr>
        <w:pStyle w:val="NormalIndent"/>
        <w:tabs>
          <w:tab w:val="left" w:pos="735"/>
        </w:tabs>
        <w:snapToGrid w:val="0"/>
        <w:spacing w:line="440" w:lineRule="exact"/>
        <w:ind w:firstLine="480" w:firstLineChars="200"/>
        <w:outlineLvl w:val="0"/>
        <w:rPr>
          <w:rFonts w:ascii="宋体" w:hAnsi="宋体" w:cs="宋体"/>
          <w:sz w:val="24"/>
          <w:szCs w:val="24"/>
        </w:rPr>
      </w:pPr>
      <w:r>
        <w:rPr>
          <w:rFonts w:ascii="宋体" w:hAnsi="宋体" w:cs="宋体" w:hint="eastAsia"/>
          <w:sz w:val="24"/>
          <w:szCs w:val="24"/>
        </w:rPr>
        <w:t xml:space="preserve">二、评标严格按照招标文件的要求和条件进行。</w:t>
      </w:r>
    </w:p>
    <w:p>
      <w:pPr>
        <w:pStyle w:val="NormalIndent"/>
        <w:tabs>
          <w:tab w:val="left" w:pos="735"/>
        </w:tabs>
        <w:snapToGrid w:val="0"/>
        <w:spacing w:line="440" w:lineRule="exact"/>
        <w:ind w:firstLine="480" w:firstLineChars="200"/>
        <w:outlineLvl w:val="0"/>
        <w:rPr>
          <w:rFonts w:ascii="宋体" w:hAnsi="宋体" w:cs="宋体"/>
          <w:sz w:val="24"/>
          <w:szCs w:val="24"/>
        </w:rPr>
      </w:pPr>
      <w:r>
        <w:rPr>
          <w:rFonts w:ascii="宋体" w:hAnsi="宋体" w:cs="宋体" w:hint="eastAsia"/>
          <w:sz w:val="24"/>
          <w:szCs w:val="24"/>
        </w:rPr>
        <w:t xml:space="preserve">三、评标方法与标准:</w:t>
      </w:r>
    </w:p>
    <w:p>
      <w:pPr>
        <w:pStyle w:val="NormalIndent"/>
        <w:tabs>
          <w:tab w:val="left" w:pos="735"/>
        </w:tabs>
        <w:snapToGrid w:val="0"/>
        <w:spacing w:line="440" w:lineRule="exact"/>
        <w:ind w:firstLine="480" w:firstLineChars="200"/>
        <w:outlineLvl w:val="0"/>
        <w:rPr>
          <w:rFonts w:ascii="宋体" w:hAnsi="宋体" w:cs="宋体"/>
          <w:sz w:val="24"/>
          <w:szCs w:val="24"/>
        </w:rPr>
      </w:pPr>
      <w:r>
        <w:rPr>
          <w:rFonts w:ascii="宋体" w:hAnsi="宋体" w:cs="宋体" w:hint="eastAsia"/>
          <w:sz w:val="24"/>
          <w:szCs w:val="24"/>
        </w:rPr>
        <w:t xml:space="preserve">评标时，将先按投标人须知规定对各投标人进行资格审查和响应性审查，对通过审查的投标人采用综合评估法进行评标。</w:t>
      </w:r>
    </w:p>
    <w:p>
      <w:pPr>
        <w:spacing w:line="390" w:lineRule="exact"/>
        <w:ind w:firstLine="480" w:firstLineChars="200"/>
        <w:rPr>
          <w:rFonts w:ascii="宋体" w:hAnsi="宋体" w:cs="宋体" w:hint="eastAsia"/>
          <w:sz w:val="24"/>
        </w:rPr>
      </w:pPr>
      <w:r>
        <w:rPr>
          <w:rFonts w:ascii="宋体" w:hAnsi="宋体" w:cs="宋体" w:hint="eastAsia"/>
          <w:sz w:val="24"/>
        </w:rPr>
        <w:t xml:space="preserve">评标方法:本次招标采用综合评估法评标，按以下评分原则对合格有效投标文件进行综合评分（满分1</w:t>
      </w:r>
      <w:r>
        <w:rPr>
          <w:rFonts w:ascii="宋体" w:hAnsi="宋体" w:cs="宋体"/>
          <w:sz w:val="24"/>
        </w:rPr>
        <w:t xml:space="preserve">00</w:t>
      </w:r>
      <w:r>
        <w:rPr>
          <w:rFonts w:ascii="宋体" w:hAnsi="宋体" w:cs="宋体" w:hint="eastAsia"/>
          <w:sz w:val="24"/>
        </w:rPr>
        <w:t xml:space="preserve">分）:</w:t>
      </w:r>
    </w:p>
    <w:tbl>
      <w:tblPr>
        <w:tblStyle w:val="NormalTable"/>
        <w:tblW w:w="9701"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108" w:type="dxa"/>
          <w:bottom w:w="0" w:type="dxa"/>
          <w:right w:w="108" w:type="dxa"/>
        </w:tblCellMar>
        <w:tblLook w:firstRow="0" w:lastRow="0" w:firstColumn="0" w:lastColumn="0" w:noHBand="1" w:noVBand="1"/>
      </w:tblPr>
      <w:tblGrid>
        <w:gridCol w:w="701"/>
        <w:gridCol w:w="1276"/>
        <w:gridCol w:w="1465"/>
        <w:gridCol w:w="6259"/>
      </w:tblGrid>
      <w:tr>
        <w:tblPrEx>
          <w:tblW w:w="970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108" w:type="dxa"/>
            <w:bottom w:w="0" w:type="dxa"/>
            <w:right w:w="108" w:type="dxa"/>
          </w:tblCellMar>
        </w:tblPrEx>
        <w:trPr>
          <w:trHeight w:val="386"/>
          <w:jc w:val="center"/>
        </w:trPr>
        <w:tc>
          <w:tcPr>
            <w:tcW w:w="701" w:type="dxa"/>
            <w:tcBorders>
              <w:tl2br w:val="nil"/>
              <w:tr2bl w:val="nil"/>
            </w:tcBorders>
            <w:shd w:val="clear" w:color="auto" w:fill="D8D8D8"/>
            <w:vAlign w:val="center"/>
          </w:tcPr>
          <w:p>
            <w:pPr>
              <w:keepNext w:val="0"/>
              <w:keepLines w:val="0"/>
              <w:pageBreakBefore w:val="0"/>
              <w:kinsoku/>
              <w:wordWrap/>
              <w:overflowPunct/>
              <w:topLinePunct w:val="0"/>
              <w:bidi w:val="0"/>
              <w:adjustRightInd/>
              <w:snapToGrid/>
              <w:spacing w:line="240" w:lineRule="auto"/>
              <w:jc w:val="center"/>
              <w:rPr>
                <w:rFonts w:ascii="宋体" w:eastAsia="宋体" w:hAnsi="宋体" w:asciiTheme="minorEastAsia" w:eastAsiaTheme="minorEastAsia" w:hAnsiTheme="minorEastAsia" w:cs="Arial" w:cstheme="minorEastAsia" w:hint="eastAsia"/>
                <w:b/>
                <w:sz w:val="24"/>
                <w:szCs w:val="24"/>
              </w:rPr>
            </w:pPr>
            <w:r>
              <w:rPr>
                <w:rFonts w:ascii="宋体" w:eastAsia="宋体" w:hAnsi="宋体" w:asciiTheme="minorEastAsia" w:eastAsiaTheme="minorEastAsia" w:hAnsiTheme="minorEastAsia" w:cs="Arial" w:cstheme="minorEastAsia" w:hint="eastAsia"/>
                <w:b/>
                <w:sz w:val="24"/>
                <w:szCs w:val="24"/>
              </w:rPr>
              <w:t xml:space="preserve">序号</w:t>
            </w:r>
          </w:p>
        </w:tc>
        <w:tc>
          <w:tcPr>
            <w:tcW w:w="1276" w:type="dxa"/>
            <w:tcBorders>
              <w:tl2br w:val="nil"/>
              <w:tr2bl w:val="nil"/>
            </w:tcBorders>
            <w:shd w:val="clear" w:color="auto" w:fill="D8D8D8"/>
            <w:vAlign w:val="center"/>
          </w:tcPr>
          <w:p>
            <w:pPr>
              <w:keepNext w:val="0"/>
              <w:keepLines w:val="0"/>
              <w:pageBreakBefore w:val="0"/>
              <w:kinsoku/>
              <w:wordWrap/>
              <w:overflowPunct/>
              <w:topLinePunct w:val="0"/>
              <w:bidi w:val="0"/>
              <w:adjustRightInd/>
              <w:snapToGrid/>
              <w:spacing w:line="240" w:lineRule="auto"/>
              <w:jc w:val="center"/>
              <w:rPr>
                <w:rFonts w:ascii="宋体" w:eastAsia="宋体" w:hAnsi="宋体" w:asciiTheme="minorEastAsia" w:eastAsiaTheme="minorEastAsia" w:hAnsiTheme="minorEastAsia" w:cs="Arial" w:cstheme="minorEastAsia" w:hint="eastAsia"/>
                <w:b/>
                <w:sz w:val="24"/>
                <w:szCs w:val="24"/>
              </w:rPr>
            </w:pPr>
            <w:r>
              <w:rPr>
                <w:rFonts w:ascii="宋体" w:eastAsia="宋体" w:hAnsi="宋体" w:asciiTheme="minorEastAsia" w:eastAsiaTheme="minorEastAsia" w:hAnsiTheme="minorEastAsia" w:cs="Arial" w:cstheme="minorEastAsia" w:hint="eastAsia"/>
                <w:b/>
                <w:sz w:val="24"/>
                <w:szCs w:val="24"/>
              </w:rPr>
              <w:t xml:space="preserve">评审条款</w:t>
            </w:r>
          </w:p>
        </w:tc>
        <w:tc>
          <w:tcPr>
            <w:tcW w:w="1465" w:type="dxa"/>
            <w:tcBorders>
              <w:tl2br w:val="nil"/>
              <w:tr2bl w:val="nil"/>
            </w:tcBorders>
            <w:shd w:val="clear" w:color="auto" w:fill="D8D8D8"/>
            <w:vAlign w:val="center"/>
          </w:tcPr>
          <w:p>
            <w:pPr>
              <w:keepNext w:val="0"/>
              <w:keepLines w:val="0"/>
              <w:pageBreakBefore w:val="0"/>
              <w:kinsoku/>
              <w:wordWrap/>
              <w:overflowPunct/>
              <w:topLinePunct w:val="0"/>
              <w:bidi w:val="0"/>
              <w:adjustRightInd/>
              <w:snapToGrid/>
              <w:spacing w:line="240" w:lineRule="auto"/>
              <w:jc w:val="center"/>
              <w:rPr>
                <w:rFonts w:ascii="宋体" w:eastAsia="宋体" w:hAnsi="宋体" w:asciiTheme="minorEastAsia" w:eastAsiaTheme="minorEastAsia" w:hAnsiTheme="minorEastAsia" w:cs="Arial" w:cstheme="minorEastAsia" w:hint="eastAsia"/>
                <w:b/>
                <w:sz w:val="24"/>
                <w:szCs w:val="24"/>
              </w:rPr>
            </w:pPr>
            <w:r>
              <w:rPr>
                <w:rFonts w:ascii="宋体" w:eastAsia="宋体" w:hAnsi="宋体" w:asciiTheme="minorEastAsia" w:eastAsiaTheme="minorEastAsia" w:hAnsiTheme="minorEastAsia" w:cs="Arial" w:cstheme="minorEastAsia" w:hint="eastAsia"/>
                <w:b/>
                <w:sz w:val="24"/>
                <w:szCs w:val="24"/>
              </w:rPr>
              <w:t xml:space="preserve">评审项</w:t>
            </w:r>
          </w:p>
        </w:tc>
        <w:tc>
          <w:tcPr>
            <w:tcW w:w="6259" w:type="dxa"/>
            <w:tcBorders>
              <w:tl2br w:val="nil"/>
              <w:tr2bl w:val="nil"/>
            </w:tcBorders>
            <w:shd w:val="clear" w:color="auto" w:fill="D8D8D8"/>
            <w:vAlign w:val="center"/>
          </w:tcPr>
          <w:p>
            <w:pPr>
              <w:keepNext w:val="0"/>
              <w:keepLines w:val="0"/>
              <w:pageBreakBefore w:val="0"/>
              <w:kinsoku/>
              <w:wordWrap/>
              <w:overflowPunct/>
              <w:topLinePunct w:val="0"/>
              <w:bidi w:val="0"/>
              <w:adjustRightInd/>
              <w:snapToGrid/>
              <w:spacing w:line="240" w:lineRule="auto"/>
              <w:jc w:val="center"/>
              <w:rPr>
                <w:rFonts w:ascii="宋体" w:eastAsia="宋体" w:hAnsi="宋体" w:asciiTheme="minorEastAsia" w:eastAsiaTheme="minorEastAsia" w:hAnsiTheme="minorEastAsia" w:cs="Arial" w:cstheme="minorEastAsia" w:hint="eastAsia"/>
                <w:b/>
                <w:sz w:val="24"/>
                <w:szCs w:val="24"/>
              </w:rPr>
            </w:pPr>
            <w:r>
              <w:rPr>
                <w:rFonts w:ascii="宋体" w:eastAsia="宋体" w:hAnsi="宋体" w:asciiTheme="minorEastAsia" w:eastAsiaTheme="minorEastAsia" w:hAnsiTheme="minorEastAsia" w:cs="Arial" w:cstheme="minorEastAsia" w:hint="eastAsia"/>
                <w:b/>
                <w:sz w:val="24"/>
                <w:szCs w:val="24"/>
              </w:rPr>
              <w:t xml:space="preserve">评审细则</w:t>
            </w:r>
          </w:p>
        </w:tc>
      </w:tr>
      <w:tr>
        <w:tblPrEx>
          <w:tblW w:w="970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108" w:type="dxa"/>
            <w:bottom w:w="0" w:type="dxa"/>
            <w:right w:w="108" w:type="dxa"/>
          </w:tblCellMar>
        </w:tblPrEx>
        <w:trPr>
          <w:trHeight w:val="1709"/>
          <w:jc w:val="center"/>
        </w:trPr>
        <w:tc>
          <w:tcPr>
            <w:tcW w:w="701" w:type="dxa"/>
            <w:tcBorders>
              <w:tl2br w:val="nil"/>
              <w:tr2bl w:val="nil"/>
            </w:tcBorders>
            <w:vAlign w:val="center"/>
          </w:tcPr>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rPr>
            </w:pPr>
            <w:r>
              <w:rPr>
                <w:rFonts w:ascii="宋体" w:eastAsia="宋体" w:hAnsi="宋体" w:asciiTheme="minorEastAsia" w:eastAsiaTheme="minorEastAsia" w:hAnsiTheme="minorEastAsia" w:cs="Arial" w:cstheme="minorEastAsia" w:hint="eastAsia"/>
                <w:sz w:val="24"/>
                <w:szCs w:val="24"/>
              </w:rPr>
              <w:t xml:space="preserve">1</w:t>
            </w:r>
          </w:p>
        </w:tc>
        <w:tc>
          <w:tcPr>
            <w:tcW w:w="1276" w:type="dxa"/>
            <w:tcBorders>
              <w:tl2br w:val="nil"/>
              <w:tr2bl w:val="nil"/>
            </w:tcBorders>
            <w:vAlign w:val="center"/>
          </w:tcPr>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rPr>
            </w:pPr>
            <w:r>
              <w:rPr>
                <w:rFonts w:ascii="宋体" w:eastAsia="宋体" w:hAnsi="宋体" w:asciiTheme="minorEastAsia" w:eastAsiaTheme="minorEastAsia" w:hAnsiTheme="minorEastAsia" w:cs="Arial" w:cstheme="minorEastAsia" w:hint="eastAsia"/>
                <w:sz w:val="24"/>
                <w:szCs w:val="24"/>
              </w:rPr>
              <w:t xml:space="preserve">报价部分</w:t>
            </w:r>
          </w:p>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rPr>
            </w:pPr>
            <w:r>
              <w:rPr>
                <w:rFonts w:ascii="宋体" w:eastAsia="宋体" w:hAnsi="宋体" w:asciiTheme="minorEastAsia" w:eastAsiaTheme="minorEastAsia" w:hAnsiTheme="minorEastAsia" w:cs="Arial" w:cstheme="minorEastAsia" w:hint="eastAsia"/>
                <w:sz w:val="24"/>
                <w:szCs w:val="24"/>
              </w:rPr>
              <w:t xml:space="preserve">（30分）</w:t>
            </w:r>
          </w:p>
        </w:tc>
        <w:tc>
          <w:tcPr>
            <w:tcW w:w="1465" w:type="dxa"/>
            <w:tcBorders>
              <w:tl2br w:val="nil"/>
              <w:tr2bl w:val="nil"/>
            </w:tcBorders>
            <w:vAlign w:val="center"/>
          </w:tcPr>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rPr>
            </w:pPr>
            <w:r>
              <w:rPr>
                <w:rFonts w:ascii="宋体" w:eastAsia="宋体" w:hAnsi="宋体" w:asciiTheme="minorEastAsia" w:eastAsiaTheme="minorEastAsia" w:hAnsiTheme="minorEastAsia" w:cs="Arial" w:cstheme="minorEastAsia" w:hint="eastAsia"/>
                <w:sz w:val="24"/>
                <w:szCs w:val="24"/>
              </w:rPr>
              <w:t xml:space="preserve">价格</w:t>
            </w:r>
          </w:p>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rPr>
            </w:pPr>
            <w:r>
              <w:rPr>
                <w:rFonts w:ascii="宋体" w:eastAsia="宋体" w:hAnsi="宋体" w:asciiTheme="minorEastAsia" w:eastAsiaTheme="minorEastAsia" w:hAnsiTheme="minorEastAsia" w:cs="Arial" w:cstheme="minorEastAsia" w:hint="eastAsia"/>
                <w:sz w:val="24"/>
                <w:szCs w:val="24"/>
              </w:rPr>
              <w:t xml:space="preserve">（30分）</w:t>
            </w:r>
          </w:p>
        </w:tc>
        <w:tc>
          <w:tcPr>
            <w:tcW w:w="6259" w:type="dxa"/>
            <w:tcBorders>
              <w:tl2br w:val="nil"/>
              <w:tr2bl w:val="nil"/>
            </w:tcBorders>
            <w:vAlign w:val="center"/>
          </w:tcPr>
          <w:p>
            <w:pPr>
              <w:keepNext w:val="0"/>
              <w:keepLines w:val="0"/>
              <w:pageBreakBefore w:val="0"/>
              <w:kinsoku/>
              <w:wordWrap/>
              <w:overflowPunct/>
              <w:topLinePunct w:val="0"/>
              <w:autoSpaceDE w:val="0"/>
              <w:autoSpaceDN w:val="0"/>
              <w:bidi w:val="0"/>
              <w:adjustRightInd/>
              <w:snapToGrid/>
              <w:spacing w:line="240" w:lineRule="auto"/>
              <w:jc w:val="left"/>
              <w:textAlignment w:val="center"/>
              <w:rPr>
                <w:rFonts w:ascii="宋体" w:eastAsia="宋体" w:hAnsi="宋体" w:asciiTheme="minorEastAsia" w:eastAsiaTheme="minorEastAsia" w:hAnsiTheme="minorEastAsia" w:cs="Arial" w:cstheme="minorEastAsia" w:hint="eastAsia"/>
                <w:sz w:val="24"/>
                <w:szCs w:val="24"/>
                <w:u w:val="none"/>
              </w:rPr>
            </w:pPr>
            <w:r>
              <w:rPr>
                <w:rFonts w:ascii="宋体" w:eastAsia="宋体" w:hAnsi="宋体" w:asciiTheme="minorEastAsia" w:eastAsiaTheme="minorEastAsia" w:hAnsiTheme="minorEastAsia" w:cs="Arial" w:cstheme="minorEastAsia" w:hint="eastAsia"/>
                <w:sz w:val="24"/>
                <w:szCs w:val="24"/>
                <w:u w:val="none"/>
              </w:rPr>
              <w:t xml:space="preserve">采用低价优先法计算，即满足招标文件要求且投标价格最低的投标报价为评标基准价，其价格分为满分。 其他投标人的价格分统一按照下列公式计算:投标报价得分=(评标基准价/投标报价)×30 </w:t>
            </w:r>
          </w:p>
        </w:tc>
      </w:tr>
      <w:tr>
        <w:tblPrEx>
          <w:tblW w:w="970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108" w:type="dxa"/>
            <w:bottom w:w="0" w:type="dxa"/>
            <w:right w:w="108" w:type="dxa"/>
          </w:tblCellMar>
        </w:tblPrEx>
        <w:trPr>
          <w:trHeight w:val="2282"/>
          <w:jc w:val="center"/>
        </w:trPr>
        <w:tc>
          <w:tcPr>
            <w:tcW w:w="701" w:type="dxa"/>
            <w:vMerge w:val="restart"/>
            <w:tcBorders>
              <w:tl2br w:val="nil"/>
              <w:tr2bl w:val="nil"/>
            </w:tcBorders>
            <w:vAlign w:val="center"/>
          </w:tcPr>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rPr>
            </w:pPr>
          </w:p>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rPr>
            </w:pPr>
          </w:p>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rPr>
            </w:pPr>
            <w:r>
              <w:rPr>
                <w:rFonts w:ascii="宋体" w:eastAsia="宋体" w:hAnsi="宋体" w:asciiTheme="minorEastAsia" w:eastAsiaTheme="minorEastAsia" w:hAnsiTheme="minorEastAsia" w:cs="Arial" w:cstheme="minorEastAsia" w:hint="eastAsia"/>
                <w:sz w:val="24"/>
                <w:szCs w:val="24"/>
              </w:rPr>
              <w:t xml:space="preserve">2</w:t>
            </w:r>
          </w:p>
        </w:tc>
        <w:tc>
          <w:tcPr>
            <w:tcW w:w="1276" w:type="dxa"/>
            <w:vMerge w:val="restart"/>
            <w:tcBorders>
              <w:tl2br w:val="nil"/>
              <w:tr2bl w:val="nil"/>
            </w:tcBorders>
            <w:vAlign w:val="center"/>
          </w:tcPr>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lang w:val="en-US" w:eastAsia="zh-CN"/>
              </w:rPr>
            </w:pPr>
            <w:r>
              <w:rPr>
                <w:rFonts w:ascii="宋体" w:eastAsia="宋体" w:hAnsi="宋体" w:asciiTheme="minorEastAsia" w:eastAsiaTheme="minorEastAsia" w:hAnsiTheme="minorEastAsia" w:cs="Arial" w:cstheme="minorEastAsia" w:hint="eastAsia"/>
                <w:sz w:val="24"/>
                <w:szCs w:val="24"/>
                <w:lang w:val="en-US" w:eastAsia="zh-CN"/>
              </w:rPr>
              <w:t xml:space="preserve">商务部分（16分）</w:t>
            </w:r>
          </w:p>
        </w:tc>
        <w:tc>
          <w:tcPr>
            <w:tcW w:w="1465" w:type="dxa"/>
            <w:tcBorders>
              <w:tl2br w:val="nil"/>
              <w:tr2bl w:val="nil"/>
            </w:tcBorders>
            <w:vAlign w:val="center"/>
          </w:tcPr>
          <w:p>
            <w:pPr>
              <w:pStyle w:val="BodyTextFirstIndent2"/>
              <w:keepNext w:val="0"/>
              <w:keepLines w:val="0"/>
              <w:pageBreakBefore w:val="0"/>
              <w:kinsoku/>
              <w:wordWrap/>
              <w:overflowPunct/>
              <w:topLinePunct w:val="0"/>
              <w:bidi w:val="0"/>
              <w:adjustRightInd/>
              <w:snapToGrid/>
              <w:spacing w:line="240" w:lineRule="auto"/>
              <w:ind w:left="0" w:firstLine="0" w:leftChars="0" w:firstLineChars="0"/>
              <w:rPr>
                <w:rFonts w:ascii="宋体" w:eastAsia="宋体" w:hAnsi="宋体" w:asciiTheme="minorEastAsia" w:eastAsiaTheme="minorEastAsia" w:hAnsiTheme="minorEastAsia" w:cs="Arial" w:cstheme="minorEastAsia" w:hint="eastAsia"/>
                <w:kern w:val="2"/>
                <w:sz w:val="24"/>
                <w:szCs w:val="24"/>
                <w:lang w:val="en-US" w:eastAsia="zh-CN" w:bidi="ar-SA"/>
              </w:rPr>
            </w:pPr>
            <w:r>
              <w:rPr>
                <w:rFonts w:ascii="宋体" w:eastAsia="宋体" w:hAnsi="宋体" w:asciiTheme="minorEastAsia" w:eastAsiaTheme="minorEastAsia" w:hAnsiTheme="minorEastAsia" w:cs="Arial" w:cstheme="minorEastAsia" w:hint="eastAsia"/>
                <w:color w:val="auto"/>
                <w:sz w:val="24"/>
                <w:szCs w:val="24"/>
                <w:u w:val="none"/>
                <w:lang w:val="zh-CN"/>
              </w:rPr>
              <w:t xml:space="preserve">综合实力</w:t>
            </w:r>
            <w:r>
              <w:rPr>
                <w:rFonts w:ascii="宋体" w:eastAsia="宋体" w:hAnsi="宋体" w:asciiTheme="minorEastAsia" w:eastAsiaTheme="minorEastAsia" w:hAnsiTheme="minorEastAsia" w:cs="Arial" w:cstheme="minorEastAsia" w:hint="eastAsia"/>
                <w:color w:val="auto"/>
                <w:kern w:val="2"/>
                <w:sz w:val="24"/>
                <w:szCs w:val="24"/>
                <w:u w:val="none"/>
                <w:lang w:val="en-US" w:eastAsia="zh-CN" w:bidi="ar-SA"/>
              </w:rPr>
              <w:t xml:space="preserve">（10分）</w:t>
            </w:r>
          </w:p>
        </w:tc>
        <w:tc>
          <w:tcPr>
            <w:tcW w:w="6259" w:type="dxa"/>
            <w:tcBorders>
              <w:tl2br w:val="nil"/>
              <w:tr2bl w:val="nil"/>
            </w:tcBorders>
            <w:vAlign w:val="center"/>
          </w:tcPr>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kern w:val="0"/>
                <w:sz w:val="24"/>
                <w:szCs w:val="24"/>
              </w:rPr>
            </w:pPr>
            <w:r>
              <w:rPr>
                <w:rFonts w:ascii="宋体" w:eastAsia="宋体" w:hAnsi="宋体" w:asciiTheme="minorEastAsia" w:eastAsiaTheme="minorEastAsia" w:hAnsiTheme="minorEastAsia" w:cs="Arial" w:cstheme="minorEastAsia" w:hint="eastAsia"/>
                <w:sz w:val="24"/>
                <w:szCs w:val="24"/>
                <w:lang w:val="en-US" w:eastAsia="zh-CN"/>
              </w:rPr>
              <w:t xml:space="preserve">1、投标人</w:t>
            </w:r>
            <w:r>
              <w:rPr>
                <w:rFonts w:ascii="宋体" w:eastAsia="宋体" w:hAnsi="宋体" w:asciiTheme="minorEastAsia" w:eastAsiaTheme="minorEastAsia" w:hAnsiTheme="minorEastAsia" w:cs="Arial" w:cstheme="minorEastAsia" w:hint="eastAsia"/>
                <w:bCs/>
                <w:sz w:val="24"/>
                <w:szCs w:val="24"/>
              </w:rPr>
              <w:t xml:space="preserve">具有经中国国家认证认可监督管理委员会认证机构颁发的有效期内的</w:t>
            </w:r>
            <w:r>
              <w:rPr>
                <w:rFonts w:ascii="宋体" w:eastAsia="宋体" w:hAnsi="宋体" w:asciiTheme="minorEastAsia" w:eastAsiaTheme="minorEastAsia" w:hAnsiTheme="minorEastAsia" w:cs="Arial" w:cstheme="minorEastAsia" w:hint="eastAsia"/>
                <w:kern w:val="0"/>
                <w:sz w:val="24"/>
                <w:szCs w:val="24"/>
              </w:rPr>
              <w:t xml:space="preserve">质量管理体系认证、环境管理体系认证、职业健康安全管理体系认证、</w:t>
            </w:r>
            <w:r>
              <w:rPr>
                <w:rFonts w:ascii="宋体" w:eastAsia="宋体" w:hAnsi="宋体" w:asciiTheme="minorEastAsia" w:eastAsiaTheme="minorEastAsia" w:hAnsiTheme="minorEastAsia" w:cs="Arial" w:cstheme="minorEastAsia" w:hint="eastAsia"/>
                <w:bCs/>
                <w:sz w:val="24"/>
                <w:szCs w:val="24"/>
              </w:rPr>
              <w:t xml:space="preserve">五星级设备维护保养服务认证，</w:t>
            </w:r>
            <w:r>
              <w:rPr>
                <w:rFonts w:ascii="宋体" w:eastAsia="宋体" w:hAnsi="宋体" w:asciiTheme="minorEastAsia" w:eastAsiaTheme="minorEastAsia" w:hAnsiTheme="minorEastAsia" w:cs="Arial" w:cstheme="minorEastAsia" w:hint="eastAsia"/>
                <w:kern w:val="0"/>
                <w:sz w:val="24"/>
                <w:szCs w:val="24"/>
              </w:rPr>
              <w:t xml:space="preserve">每提供1个认证得1.5分，满分6分。</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000000"/>
                <w:sz w:val="24"/>
                <w:szCs w:val="24"/>
              </w:rPr>
            </w:pPr>
            <w:r>
              <w:rPr>
                <w:rFonts w:ascii="宋体" w:eastAsia="宋体" w:hAnsi="宋体" w:asciiTheme="minorEastAsia" w:eastAsiaTheme="minorEastAsia" w:hAnsiTheme="minorEastAsia" w:cs="Arial" w:cstheme="minorEastAsia" w:hint="eastAsia"/>
                <w:kern w:val="0"/>
                <w:sz w:val="24"/>
                <w:szCs w:val="24"/>
              </w:rPr>
              <w:t xml:space="preserve">注：投标文件中同时提供证书扫描件及全国认证认可信息公共服务平台网站证书信息查询截图。</w:t>
            </w:r>
            <w:r>
              <w:rPr>
                <w:rFonts w:ascii="宋体" w:eastAsia="宋体" w:hAnsi="宋体" w:asciiTheme="minorEastAsia" w:eastAsiaTheme="minorEastAsia" w:hAnsiTheme="minorEastAsia" w:cs="Arial" w:cstheme="minorEastAsia" w:hint="eastAsia"/>
                <w:color w:val="000000"/>
                <w:sz w:val="24"/>
                <w:szCs w:val="24"/>
              </w:rPr>
              <w:t xml:space="preserve">证书原件彩色扫描</w:t>
            </w:r>
            <w:r>
              <w:rPr>
                <w:rFonts w:ascii="宋体" w:eastAsia="宋体" w:hAnsi="宋体" w:asciiTheme="minorEastAsia" w:eastAsiaTheme="minorEastAsia" w:hAnsiTheme="minorEastAsia" w:cs="Arial" w:cstheme="minorEastAsia" w:hint="eastAsia"/>
                <w:color w:val="000000"/>
                <w:sz w:val="24"/>
                <w:szCs w:val="24"/>
                <w:lang w:eastAsia="zh-CN"/>
              </w:rPr>
              <w:t xml:space="preserve">件</w:t>
            </w:r>
            <w:r>
              <w:rPr>
                <w:rFonts w:ascii="宋体" w:eastAsia="宋体" w:hAnsi="宋体" w:asciiTheme="minorEastAsia" w:eastAsiaTheme="minorEastAsia" w:hAnsiTheme="minorEastAsia" w:cs="Arial" w:cstheme="minorEastAsia" w:hint="eastAsia"/>
                <w:color w:val="000000"/>
                <w:sz w:val="24"/>
                <w:szCs w:val="24"/>
              </w:rPr>
              <w:t xml:space="preserve">。</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default"/>
                <w:kern w:val="0"/>
                <w:sz w:val="24"/>
                <w:szCs w:val="24"/>
                <w:highlight w:val="none"/>
                <w:lang w:val="en-US" w:eastAsia="zh-CN"/>
              </w:rPr>
            </w:pPr>
            <w:r>
              <w:rPr>
                <w:rFonts w:ascii="宋体" w:eastAsia="宋体" w:hAnsi="宋体" w:asciiTheme="minorEastAsia" w:eastAsiaTheme="minorEastAsia" w:hAnsiTheme="minorEastAsia" w:cs="Arial" w:cstheme="minorEastAsia" w:hint="eastAsia"/>
                <w:kern w:val="0"/>
                <w:sz w:val="24"/>
                <w:szCs w:val="24"/>
                <w:highlight w:val="none"/>
                <w:lang w:val="en-US" w:eastAsia="zh-CN"/>
              </w:rPr>
              <w:t xml:space="preserve">2、投标人提供所投测量软件的软件著作权证书扫描件的，得2分；</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kern w:val="2"/>
                <w:sz w:val="24"/>
                <w:szCs w:val="24"/>
                <w:u w:val="none"/>
                <w:lang w:val="en-US" w:eastAsia="zh-CN" w:bidi="ar-SA"/>
              </w:rPr>
            </w:pPr>
            <w:r>
              <w:rPr>
                <w:rFonts w:ascii="宋体" w:eastAsia="宋体" w:hAnsi="宋体" w:asciiTheme="minorEastAsia" w:eastAsiaTheme="minorEastAsia" w:hAnsiTheme="minorEastAsia" w:cs="Arial" w:cstheme="minorEastAsia" w:hint="eastAsia"/>
                <w:kern w:val="0"/>
                <w:sz w:val="24"/>
                <w:szCs w:val="24"/>
                <w:highlight w:val="none"/>
                <w:lang w:val="en-US" w:eastAsia="zh-CN"/>
              </w:rPr>
              <w:t xml:space="preserve">3、投标人提供所投实训室智慧安全用电系统的软件著作权证书扫描件，得2分；</w:t>
            </w:r>
          </w:p>
        </w:tc>
      </w:tr>
      <w:tr>
        <w:tblPrEx>
          <w:tblW w:w="970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108" w:type="dxa"/>
            <w:bottom w:w="0" w:type="dxa"/>
            <w:right w:w="108" w:type="dxa"/>
          </w:tblCellMar>
        </w:tblPrEx>
        <w:trPr>
          <w:trHeight w:val="1042"/>
          <w:jc w:val="center"/>
        </w:trPr>
        <w:tc>
          <w:tcPr>
            <w:tcW w:w="701" w:type="dxa"/>
            <w:vMerge/>
            <w:tcBorders>
              <w:tl2br w:val="nil"/>
              <w:tr2bl w:val="nil"/>
            </w:tcBorders>
            <w:vAlign w:val="center"/>
          </w:tcPr>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u w:val="none"/>
              </w:rPr>
            </w:pPr>
          </w:p>
        </w:tc>
        <w:tc>
          <w:tcPr>
            <w:tcW w:w="1276" w:type="dxa"/>
            <w:vMerge/>
            <w:tcBorders>
              <w:tl2br w:val="nil"/>
              <w:tr2bl w:val="nil"/>
            </w:tcBorders>
            <w:vAlign w:val="center"/>
          </w:tcPr>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u w:val="none"/>
              </w:rPr>
            </w:pPr>
          </w:p>
        </w:tc>
        <w:tc>
          <w:tcPr>
            <w:tcW w:w="1465" w:type="dxa"/>
            <w:tcBorders>
              <w:tl2br w:val="nil"/>
              <w:tr2bl w:val="nil"/>
            </w:tcBorders>
            <w:vAlign w:val="center"/>
          </w:tcPr>
          <w:p>
            <w:pPr>
              <w:pStyle w:val="BodyTextFirstIndent2"/>
              <w:keepNext w:val="0"/>
              <w:keepLines w:val="0"/>
              <w:pageBreakBefore w:val="0"/>
              <w:kinsoku/>
              <w:wordWrap/>
              <w:overflowPunct/>
              <w:topLinePunct w:val="0"/>
              <w:bidi w:val="0"/>
              <w:adjustRightInd/>
              <w:snapToGrid/>
              <w:spacing w:line="240" w:lineRule="auto"/>
              <w:ind w:left="0" w:firstLine="0" w:leftChars="0" w:firstLineChars="0"/>
              <w:rPr>
                <w:rFonts w:ascii="宋体" w:eastAsia="宋体" w:hAnsi="宋体" w:asciiTheme="minorEastAsia" w:eastAsiaTheme="minorEastAsia" w:hAnsiTheme="minorEastAsia" w:cs="Arial" w:cstheme="minorEastAsia" w:hint="eastAsia"/>
                <w:kern w:val="2"/>
                <w:sz w:val="24"/>
                <w:szCs w:val="24"/>
                <w:u w:val="none"/>
                <w:lang w:val="en-US" w:eastAsia="zh-CN" w:bidi="ar-SA"/>
              </w:rPr>
            </w:pPr>
            <w:r>
              <w:rPr>
                <w:rFonts w:ascii="宋体" w:eastAsia="宋体" w:hAnsi="宋体" w:asciiTheme="minorEastAsia" w:eastAsiaTheme="minorEastAsia" w:hAnsiTheme="minorEastAsia" w:cs="Arial" w:cstheme="minorEastAsia" w:hint="eastAsia"/>
                <w:color w:val="auto"/>
                <w:kern w:val="2"/>
                <w:sz w:val="24"/>
                <w:szCs w:val="24"/>
                <w:u w:val="none"/>
                <w:lang w:val="en-US" w:eastAsia="zh-CN" w:bidi="ar-SA"/>
              </w:rPr>
              <w:t xml:space="preserve">业绩（6分）</w:t>
            </w:r>
          </w:p>
        </w:tc>
        <w:tc>
          <w:tcPr>
            <w:tcW w:w="6259" w:type="dxa"/>
            <w:tcBorders>
              <w:tl2br w:val="nil"/>
              <w:tr2bl w:val="nil"/>
            </w:tcBorders>
            <w:vAlign w:val="center"/>
          </w:tcPr>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FF0000"/>
                <w:kern w:val="0"/>
                <w:sz w:val="24"/>
                <w:szCs w:val="24"/>
                <w:highlight w:val="none"/>
              </w:rPr>
            </w:pPr>
            <w:r>
              <w:rPr>
                <w:rFonts w:ascii="宋体" w:eastAsia="宋体" w:hAnsi="宋体" w:asciiTheme="minorEastAsia" w:eastAsiaTheme="minorEastAsia" w:hAnsiTheme="minorEastAsia" w:cs="Arial" w:cstheme="minorEastAsia" w:hint="eastAsia"/>
                <w:kern w:val="0"/>
                <w:sz w:val="24"/>
                <w:szCs w:val="24"/>
                <w:highlight w:val="none"/>
              </w:rPr>
              <w:t xml:space="preserve">自 2020 年1月1日以来（以合同签订时间为准），投标人具有</w:t>
            </w:r>
            <w:r>
              <w:rPr>
                <w:rFonts w:ascii="宋体" w:eastAsia="宋体" w:hAnsi="宋体" w:asciiTheme="minorEastAsia" w:eastAsiaTheme="minorEastAsia" w:hAnsiTheme="minorEastAsia" w:cs="Arial" w:cstheme="minorEastAsia" w:hint="eastAsia"/>
                <w:kern w:val="0"/>
                <w:sz w:val="24"/>
                <w:szCs w:val="24"/>
                <w:highlight w:val="none"/>
                <w:lang w:eastAsia="zh-CN"/>
              </w:rPr>
              <w:t xml:space="preserve">包含测量或零部件测绘类货物供货安装</w:t>
            </w:r>
            <w:r>
              <w:rPr>
                <w:rFonts w:ascii="宋体" w:eastAsia="宋体" w:hAnsi="宋体" w:asciiTheme="minorEastAsia" w:eastAsiaTheme="minorEastAsia" w:hAnsiTheme="minorEastAsia" w:cs="Arial" w:cstheme="minorEastAsia" w:hint="eastAsia"/>
                <w:kern w:val="0"/>
                <w:sz w:val="24"/>
                <w:szCs w:val="24"/>
                <w:highlight w:val="none"/>
              </w:rPr>
              <w:t xml:space="preserve">业绩，提供</w:t>
            </w:r>
            <w:r>
              <w:rPr>
                <w:rFonts w:ascii="宋体" w:eastAsia="宋体" w:hAnsi="宋体" w:asciiTheme="minorEastAsia" w:eastAsiaTheme="minorEastAsia" w:hAnsiTheme="minorEastAsia" w:cs="Arial" w:cstheme="minorEastAsia" w:hint="eastAsia"/>
                <w:kern w:val="0"/>
                <w:sz w:val="24"/>
                <w:szCs w:val="24"/>
                <w:highlight w:val="none"/>
                <w:lang w:val="en-US" w:eastAsia="zh-CN"/>
              </w:rPr>
              <w:t xml:space="preserve">1</w:t>
            </w:r>
            <w:r>
              <w:rPr>
                <w:rFonts w:ascii="宋体" w:eastAsia="宋体" w:hAnsi="宋体" w:asciiTheme="minorEastAsia" w:eastAsiaTheme="minorEastAsia" w:hAnsiTheme="minorEastAsia" w:cs="Arial" w:cstheme="minorEastAsia" w:hint="eastAsia"/>
                <w:kern w:val="0"/>
                <w:sz w:val="24"/>
                <w:szCs w:val="24"/>
                <w:highlight w:val="none"/>
              </w:rPr>
              <w:t xml:space="preserve">个业绩得</w:t>
            </w:r>
            <w:r>
              <w:rPr>
                <w:rFonts w:ascii="宋体" w:eastAsia="宋体" w:hAnsi="宋体" w:asciiTheme="minorEastAsia" w:eastAsiaTheme="minorEastAsia" w:hAnsiTheme="minorEastAsia" w:cs="Arial" w:cstheme="minorEastAsia" w:hint="eastAsia"/>
                <w:kern w:val="0"/>
                <w:sz w:val="24"/>
                <w:szCs w:val="24"/>
                <w:highlight w:val="none"/>
                <w:lang w:val="en-US" w:eastAsia="zh-CN"/>
              </w:rPr>
              <w:t xml:space="preserve">2</w:t>
            </w:r>
            <w:r>
              <w:rPr>
                <w:rFonts w:ascii="宋体" w:eastAsia="宋体" w:hAnsi="宋体" w:asciiTheme="minorEastAsia" w:eastAsiaTheme="minorEastAsia" w:hAnsiTheme="minorEastAsia" w:cs="Arial" w:cstheme="minorEastAsia" w:hint="eastAsia"/>
                <w:kern w:val="0"/>
                <w:sz w:val="24"/>
                <w:szCs w:val="24"/>
                <w:highlight w:val="none"/>
              </w:rPr>
              <w:t xml:space="preserve">分，满分6分。</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0000FF"/>
                <w:kern w:val="2"/>
                <w:sz w:val="24"/>
                <w:szCs w:val="24"/>
                <w:u w:val="none"/>
                <w:lang w:val="en-US" w:eastAsia="zh-CN" w:bidi="ar-SA"/>
              </w:rPr>
            </w:pPr>
            <w:r>
              <w:rPr>
                <w:rFonts w:ascii="宋体" w:eastAsia="宋体" w:hAnsi="宋体" w:asciiTheme="minorEastAsia" w:eastAsiaTheme="minorEastAsia" w:hAnsiTheme="minorEastAsia" w:cs="Arial" w:cstheme="minorEastAsia" w:hint="eastAsia"/>
                <w:kern w:val="0"/>
                <w:sz w:val="24"/>
                <w:szCs w:val="24"/>
              </w:rPr>
              <w:t xml:space="preserve">注：投标文件中提供合同，如合同中无法体现合同签订时间、项目内容等，须另附业主单位证明材料，未提供不得分</w:t>
            </w:r>
            <w:r>
              <w:rPr>
                <w:rFonts w:ascii="宋体" w:eastAsia="宋体" w:hAnsi="宋体" w:asciiTheme="minorEastAsia" w:eastAsiaTheme="minorEastAsia" w:hAnsiTheme="minorEastAsia" w:cs="Arial" w:cstheme="minorEastAsia" w:hint="eastAsia"/>
                <w:color w:val="000000"/>
                <w:sz w:val="24"/>
                <w:szCs w:val="24"/>
              </w:rPr>
              <w:t xml:space="preserve">。【须同时提供：①采购合同（采购合同中需反映出上述业绩项目内容明细清单）②验收报告。业绩金额以合同金额为准，业绩有效时间以合同签订时间为准。证书原件彩色扫描】。</w:t>
            </w:r>
          </w:p>
        </w:tc>
      </w:tr>
      <w:tr>
        <w:tblPrEx>
          <w:tblW w:w="970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108" w:type="dxa"/>
            <w:bottom w:w="0" w:type="dxa"/>
            <w:right w:w="108" w:type="dxa"/>
          </w:tblCellMar>
        </w:tblPrEx>
        <w:trPr>
          <w:trHeight w:val="1031"/>
          <w:jc w:val="center"/>
        </w:trPr>
        <w:tc>
          <w:tcPr>
            <w:tcW w:w="701" w:type="dxa"/>
            <w:tcBorders>
              <w:tl2br w:val="nil"/>
              <w:tr2bl w:val="nil"/>
            </w:tcBorders>
            <w:vAlign w:val="center"/>
          </w:tcPr>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u w:val="none"/>
              </w:rPr>
            </w:pPr>
            <w:r>
              <w:rPr>
                <w:rFonts w:ascii="宋体" w:eastAsia="宋体" w:hAnsi="宋体" w:asciiTheme="minorEastAsia" w:eastAsiaTheme="minorEastAsia" w:hAnsiTheme="minorEastAsia" w:cs="Arial" w:cstheme="minorEastAsia" w:hint="eastAsia"/>
                <w:sz w:val="24"/>
                <w:szCs w:val="24"/>
                <w:u w:val="none"/>
              </w:rPr>
              <w:t xml:space="preserve">3</w:t>
            </w:r>
          </w:p>
        </w:tc>
        <w:tc>
          <w:tcPr>
            <w:tcW w:w="1276" w:type="dxa"/>
            <w:tcBorders>
              <w:tl2br w:val="nil"/>
              <w:tr2bl w:val="nil"/>
            </w:tcBorders>
            <w:vAlign w:val="center"/>
          </w:tcPr>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u w:val="none"/>
              </w:rPr>
            </w:pPr>
            <w:r>
              <w:rPr>
                <w:rFonts w:ascii="宋体" w:eastAsia="宋体" w:hAnsi="宋体" w:asciiTheme="minorEastAsia" w:eastAsiaTheme="minorEastAsia" w:hAnsiTheme="minorEastAsia" w:cs="Arial" w:cstheme="minorEastAsia" w:hint="eastAsia"/>
                <w:sz w:val="24"/>
                <w:szCs w:val="24"/>
                <w:u w:val="none"/>
              </w:rPr>
              <w:t xml:space="preserve">技术部分</w:t>
            </w:r>
          </w:p>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u w:val="none"/>
                <w:lang w:eastAsia="zh-CN"/>
              </w:rPr>
            </w:pPr>
            <w:r>
              <w:rPr>
                <w:rFonts w:ascii="宋体" w:eastAsia="宋体" w:hAnsi="宋体" w:asciiTheme="minorEastAsia" w:eastAsiaTheme="minorEastAsia" w:hAnsiTheme="minorEastAsia" w:cs="Arial" w:cstheme="minorEastAsia" w:hint="eastAsia"/>
                <w:sz w:val="24"/>
                <w:szCs w:val="24"/>
                <w:u w:val="none"/>
                <w:lang w:eastAsia="zh-CN"/>
              </w:rPr>
              <w:t xml:space="preserve">（</w:t>
            </w:r>
            <w:r>
              <w:rPr>
                <w:rFonts w:ascii="宋体" w:eastAsia="宋体" w:hAnsi="宋体" w:asciiTheme="minorEastAsia" w:eastAsiaTheme="minorEastAsia" w:hAnsiTheme="minorEastAsia" w:cs="Arial" w:cstheme="minorEastAsia" w:hint="eastAsia"/>
                <w:sz w:val="24"/>
                <w:szCs w:val="24"/>
                <w:u w:val="none"/>
                <w:lang w:val="en-US" w:eastAsia="zh-CN"/>
              </w:rPr>
              <w:t xml:space="preserve">45分</w:t>
            </w:r>
            <w:r>
              <w:rPr>
                <w:rFonts w:ascii="宋体" w:eastAsia="宋体" w:hAnsi="宋体" w:asciiTheme="minorEastAsia" w:eastAsiaTheme="minorEastAsia" w:hAnsiTheme="minorEastAsia" w:cs="Arial" w:cstheme="minorEastAsia" w:hint="eastAsia"/>
                <w:sz w:val="24"/>
                <w:szCs w:val="24"/>
                <w:u w:val="none"/>
                <w:lang w:eastAsia="zh-CN"/>
              </w:rPr>
              <w:t xml:space="preserve">）</w:t>
            </w:r>
          </w:p>
        </w:tc>
        <w:tc>
          <w:tcPr>
            <w:tcW w:w="1465" w:type="dxa"/>
            <w:tcBorders>
              <w:tl2br w:val="nil"/>
              <w:tr2bl w:val="nil"/>
            </w:tcBorders>
            <w:vAlign w:val="center"/>
          </w:tcPr>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u w:val="none"/>
              </w:rPr>
            </w:pPr>
            <w:r>
              <w:rPr>
                <w:rFonts w:ascii="宋体" w:eastAsia="宋体" w:hAnsi="宋体" w:asciiTheme="minorEastAsia" w:eastAsiaTheme="minorEastAsia" w:hAnsiTheme="minorEastAsia" w:cs="Arial" w:cstheme="minorEastAsia" w:hint="eastAsia"/>
                <w:sz w:val="24"/>
                <w:szCs w:val="24"/>
                <w:u w:val="none"/>
              </w:rPr>
              <w:t xml:space="preserve">参数响应情况</w:t>
            </w:r>
            <w:r>
              <w:rPr>
                <w:rFonts w:ascii="宋体" w:eastAsia="宋体" w:hAnsi="宋体" w:asciiTheme="minorEastAsia" w:eastAsiaTheme="minorEastAsia" w:hAnsiTheme="minorEastAsia" w:cs="Arial" w:cstheme="minorEastAsia" w:hint="eastAsia"/>
                <w:color w:val="auto"/>
                <w:kern w:val="2"/>
                <w:sz w:val="24"/>
                <w:szCs w:val="24"/>
                <w:u w:val="none"/>
                <w:lang w:val="en-US" w:eastAsia="zh-CN" w:bidi="ar-SA"/>
              </w:rPr>
              <w:t xml:space="preserve">（45分）</w:t>
            </w:r>
          </w:p>
        </w:tc>
        <w:tc>
          <w:tcPr>
            <w:tcW w:w="6259" w:type="dxa"/>
            <w:tcBorders>
              <w:tl2br w:val="nil"/>
              <w:tr2bl w:val="nil"/>
            </w:tcBorders>
            <w:vAlign w:val="center"/>
          </w:tcPr>
          <w:p>
            <w:pPr>
              <w:keepNext w:val="0"/>
              <w:keepLines w:val="0"/>
              <w:pageBreakBefore w:val="0"/>
              <w:widowControl/>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000000" w:themeColor="text1"/>
                <w:kern w:val="0"/>
                <w:sz w:val="24"/>
                <w:szCs w:val="24"/>
                <w:lang w:val="en-US" w:eastAsia="zh-CN"/>
                <w14:textFill>
                  <w14:solidFill>
                    <w14:schemeClr w14:val="tx1"/>
                  </w14:solidFill>
                </w14:textFill>
              </w:rPr>
            </w:pPr>
            <w:r>
              <w:rPr>
                <w:rFonts w:ascii="宋体" w:eastAsia="宋体" w:hAnsi="宋体" w:asciiTheme="minorEastAsia" w:eastAsiaTheme="minorEastAsia" w:hAnsiTheme="minorEastAsia" w:cs="Arial" w:cstheme="minorEastAsia" w:hint="eastAsia"/>
                <w:color w:val="000000" w:themeColor="text1"/>
                <w:kern w:val="0"/>
                <w:sz w:val="24"/>
                <w:szCs w:val="24"/>
                <w:lang w:val="en-US" w:eastAsia="zh-CN"/>
                <w14:textFill>
                  <w14:solidFill>
                    <w14:schemeClr w14:val="tx1"/>
                  </w14:solidFill>
                </w14:textFill>
              </w:rPr>
              <w:t xml:space="preserve">1．完全满足或优于技术参数和要求条款的得满分45分；</w:t>
            </w:r>
          </w:p>
          <w:p>
            <w:pPr>
              <w:keepNext w:val="0"/>
              <w:keepLines w:val="0"/>
              <w:pageBreakBefore w:val="0"/>
              <w:widowControl/>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000000" w:themeColor="text1"/>
                <w:kern w:val="0"/>
                <w:sz w:val="24"/>
                <w:szCs w:val="24"/>
                <w:lang w:val="en-US" w:eastAsia="zh-CN"/>
                <w14:textFill>
                  <w14:solidFill>
                    <w14:schemeClr w14:val="tx1"/>
                  </w14:solidFill>
                </w14:textFill>
              </w:rPr>
            </w:pPr>
            <w:r>
              <w:rPr>
                <w:rFonts w:ascii="宋体" w:eastAsia="宋体" w:hAnsi="宋体" w:asciiTheme="minorEastAsia" w:eastAsiaTheme="minorEastAsia" w:hAnsiTheme="minorEastAsia" w:cs="Arial" w:cstheme="minorEastAsia" w:hint="eastAsia"/>
                <w:color w:val="000000" w:themeColor="text1"/>
                <w:kern w:val="0"/>
                <w:sz w:val="24"/>
                <w:szCs w:val="24"/>
                <w:lang w:val="en-US" w:eastAsia="zh-CN"/>
                <w14:textFill>
                  <w14:solidFill>
                    <w14:schemeClr w14:val="tx1"/>
                  </w14:solidFill>
                </w14:textFill>
              </w:rPr>
              <w:t xml:space="preserve">2．技术参数中标▲号技术要求条款，每一条不满足（负偏离）扣2分。</w:t>
            </w:r>
          </w:p>
          <w:p>
            <w:pPr>
              <w:keepNext w:val="0"/>
              <w:keepLines w:val="0"/>
              <w:pageBreakBefore w:val="0"/>
              <w:widowControl/>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000000" w:themeColor="text1"/>
                <w:kern w:val="0"/>
                <w:sz w:val="24"/>
                <w:szCs w:val="24"/>
                <w:lang w:val="en-US" w:eastAsia="zh-CN"/>
                <w14:textFill>
                  <w14:solidFill>
                    <w14:schemeClr w14:val="tx1"/>
                  </w14:solidFill>
                </w14:textFill>
              </w:rPr>
            </w:pPr>
            <w:r>
              <w:rPr>
                <w:rFonts w:ascii="宋体" w:eastAsia="宋体" w:hAnsi="宋体" w:asciiTheme="minorEastAsia" w:eastAsiaTheme="minorEastAsia" w:hAnsiTheme="minorEastAsia" w:cs="Arial" w:cstheme="minorEastAsia" w:hint="eastAsia"/>
                <w:color w:val="000000" w:themeColor="text1"/>
                <w:kern w:val="0"/>
                <w:sz w:val="24"/>
                <w:szCs w:val="24"/>
                <w:lang w:val="en-US" w:eastAsia="zh-CN"/>
                <w14:textFill>
                  <w14:solidFill>
                    <w14:schemeClr w14:val="tx1"/>
                  </w14:solidFill>
                </w14:textFill>
              </w:rPr>
              <w:t xml:space="preserve">3．技术参数中未标▲号技术要求条款，每一条不满足（负偏离）扣1分，扣完为止。</w:t>
            </w:r>
          </w:p>
          <w:p>
            <w:pPr>
              <w:keepNext w:val="0"/>
              <w:keepLines w:val="0"/>
              <w:pageBreakBefore w:val="0"/>
              <w:widowControl/>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000000" w:themeColor="text1"/>
                <w:sz w:val="24"/>
                <w:szCs w:val="24"/>
                <w:u w:val="none"/>
                <w14:textFill>
                  <w14:solidFill>
                    <w14:schemeClr w14:val="tx1"/>
                  </w14:solidFill>
                </w14:textFill>
              </w:rPr>
            </w:pPr>
            <w:r>
              <w:rPr>
                <w:rFonts w:ascii="宋体" w:eastAsia="宋体" w:hAnsi="宋体" w:asciiTheme="minorEastAsia" w:eastAsiaTheme="minorEastAsia" w:hAnsiTheme="minorEastAsia" w:cs="Arial" w:cstheme="minorEastAsia" w:hint="eastAsia"/>
                <w:color w:val="000000" w:themeColor="text1"/>
                <w:kern w:val="0"/>
                <w:sz w:val="24"/>
                <w:szCs w:val="24"/>
                <w:lang w:val="en-US" w:eastAsia="zh-CN"/>
                <w14:textFill>
                  <w14:solidFill>
                    <w14:schemeClr w14:val="tx1"/>
                  </w14:solidFill>
                </w14:textFill>
              </w:rPr>
              <w:t xml:space="preserve">4．正偏离不加分；</w:t>
            </w:r>
          </w:p>
        </w:tc>
      </w:tr>
      <w:tr>
        <w:tblPrEx>
          <w:tblW w:w="970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108" w:type="dxa"/>
            <w:bottom w:w="0" w:type="dxa"/>
            <w:right w:w="108" w:type="dxa"/>
          </w:tblCellMar>
        </w:tblPrEx>
        <w:trPr>
          <w:trHeight w:val="90"/>
          <w:jc w:val="center"/>
        </w:trPr>
        <w:tc>
          <w:tcPr>
            <w:tcW w:w="701" w:type="dxa"/>
            <w:tcBorders>
              <w:tl2br w:val="nil"/>
              <w:tr2bl w:val="nil"/>
            </w:tcBorders>
            <w:vAlign w:val="center"/>
          </w:tcPr>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u w:val="none"/>
                <w:lang w:val="en-US" w:eastAsia="zh-CN"/>
              </w:rPr>
            </w:pPr>
            <w:r>
              <w:rPr>
                <w:rFonts w:ascii="宋体" w:eastAsia="宋体" w:hAnsi="宋体" w:asciiTheme="minorEastAsia" w:eastAsiaTheme="minorEastAsia" w:hAnsiTheme="minorEastAsia" w:cs="Arial" w:cstheme="minorEastAsia" w:hint="eastAsia"/>
                <w:sz w:val="24"/>
                <w:szCs w:val="24"/>
                <w:u w:val="none"/>
                <w:lang w:val="en-US" w:eastAsia="zh-CN"/>
              </w:rPr>
              <w:t xml:space="preserve">4</w:t>
            </w:r>
          </w:p>
        </w:tc>
        <w:tc>
          <w:tcPr>
            <w:tcW w:w="1276" w:type="dxa"/>
            <w:tcBorders>
              <w:tl2br w:val="nil"/>
              <w:tr2bl w:val="nil"/>
            </w:tcBorders>
            <w:vAlign w:val="center"/>
          </w:tcPr>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u w:val="none"/>
              </w:rPr>
            </w:pPr>
            <w:r>
              <w:rPr>
                <w:rFonts w:ascii="宋体" w:eastAsia="宋体" w:hAnsi="宋体" w:asciiTheme="minorEastAsia" w:eastAsiaTheme="minorEastAsia" w:hAnsiTheme="minorEastAsia" w:cs="Arial" w:cstheme="minorEastAsia" w:hint="eastAsia"/>
                <w:sz w:val="24"/>
                <w:szCs w:val="24"/>
                <w:u w:val="none"/>
                <w:lang w:eastAsia="zh-CN"/>
              </w:rPr>
              <w:t xml:space="preserve">项目实施方案（</w:t>
            </w:r>
            <w:r>
              <w:rPr>
                <w:rFonts w:ascii="宋体" w:eastAsia="宋体" w:hAnsi="宋体" w:asciiTheme="minorEastAsia" w:eastAsiaTheme="minorEastAsia" w:hAnsiTheme="minorEastAsia" w:cs="Arial" w:cstheme="minorEastAsia" w:hint="eastAsia"/>
                <w:sz w:val="24"/>
                <w:szCs w:val="24"/>
                <w:u w:val="none"/>
                <w:lang w:val="en-US" w:eastAsia="zh-CN"/>
              </w:rPr>
              <w:t xml:space="preserve">6分</w:t>
            </w:r>
            <w:r>
              <w:rPr>
                <w:rFonts w:ascii="宋体" w:eastAsia="宋体" w:hAnsi="宋体" w:asciiTheme="minorEastAsia" w:eastAsiaTheme="minorEastAsia" w:hAnsiTheme="minorEastAsia" w:cs="Arial" w:cstheme="minorEastAsia" w:hint="eastAsia"/>
                <w:sz w:val="24"/>
                <w:szCs w:val="24"/>
                <w:u w:val="none"/>
                <w:lang w:eastAsia="zh-CN"/>
              </w:rPr>
              <w:t xml:space="preserve">）</w:t>
            </w:r>
          </w:p>
        </w:tc>
        <w:tc>
          <w:tcPr>
            <w:tcW w:w="1465" w:type="dxa"/>
            <w:tcBorders>
              <w:tl2br w:val="nil"/>
              <w:tr2bl w:val="nil"/>
            </w:tcBorders>
            <w:vAlign w:val="center"/>
          </w:tcPr>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kern w:val="2"/>
                <w:sz w:val="24"/>
                <w:szCs w:val="24"/>
                <w:u w:val="none"/>
                <w:lang w:val="en-US" w:eastAsia="zh-CN" w:bidi="ar-SA"/>
              </w:rPr>
            </w:pPr>
            <w:r>
              <w:rPr>
                <w:rFonts w:ascii="宋体" w:eastAsia="宋体" w:hAnsi="宋体" w:asciiTheme="minorEastAsia" w:eastAsiaTheme="minorEastAsia" w:hAnsiTheme="minorEastAsia" w:cs="Arial" w:cstheme="minorEastAsia" w:hint="eastAsia"/>
                <w:sz w:val="24"/>
                <w:szCs w:val="24"/>
                <w:u w:val="none"/>
                <w:lang w:eastAsia="zh-CN"/>
              </w:rPr>
              <w:t xml:space="preserve">项目实施方案（</w:t>
            </w:r>
            <w:r>
              <w:rPr>
                <w:rFonts w:ascii="宋体" w:eastAsia="宋体" w:hAnsi="宋体" w:asciiTheme="minorEastAsia" w:eastAsiaTheme="minorEastAsia" w:hAnsiTheme="minorEastAsia" w:cs="Arial" w:cstheme="minorEastAsia" w:hint="eastAsia"/>
                <w:sz w:val="24"/>
                <w:szCs w:val="24"/>
                <w:u w:val="none"/>
                <w:lang w:val="en-US" w:eastAsia="zh-CN"/>
              </w:rPr>
              <w:t xml:space="preserve">6分</w:t>
            </w:r>
            <w:r>
              <w:rPr>
                <w:rFonts w:ascii="宋体" w:eastAsia="宋体" w:hAnsi="宋体" w:asciiTheme="minorEastAsia" w:eastAsiaTheme="minorEastAsia" w:hAnsiTheme="minorEastAsia" w:cs="Arial" w:cstheme="minorEastAsia" w:hint="eastAsia"/>
                <w:sz w:val="24"/>
                <w:szCs w:val="24"/>
                <w:u w:val="none"/>
                <w:lang w:eastAsia="zh-CN"/>
              </w:rPr>
              <w:t xml:space="preserve">）</w:t>
            </w:r>
          </w:p>
        </w:tc>
        <w:tc>
          <w:tcPr>
            <w:tcW w:w="6259" w:type="dxa"/>
            <w:tcBorders>
              <w:tl2br w:val="nil"/>
              <w:tr2bl w:val="nil"/>
            </w:tcBorders>
            <w:vAlign w:val="center"/>
          </w:tcPr>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sz w:val="24"/>
                <w:szCs w:val="24"/>
                <w:u w:val="none"/>
                <w:lang w:val="en-US" w:eastAsia="zh-CN"/>
              </w:rPr>
            </w:pPr>
            <w:r>
              <w:rPr>
                <w:rFonts w:ascii="宋体" w:eastAsia="宋体" w:hAnsi="宋体" w:asciiTheme="minorEastAsia" w:eastAsiaTheme="minorEastAsia" w:hAnsiTheme="minorEastAsia" w:cs="Arial" w:cstheme="minorEastAsia" w:hint="eastAsia"/>
                <w:sz w:val="24"/>
                <w:szCs w:val="24"/>
                <w:u w:val="none"/>
                <w:lang w:val="en-US" w:eastAsia="zh-CN"/>
              </w:rPr>
              <w:t xml:space="preserve">投标人能够结合项目的实际建设需求，充分理解采购内容，根据投标人所提供的产品技术及实施方案合理、进度安排、保障措施有力等内容进行综合评分，具体内容要包括①车间整体布局效果图，需具有合理性、细致性等（包含设备分布情况及整体规划方案）；②设备安装调试方案；③项目开展计划、进度计划；④管理制度及进度保障措施；⑤质量控制；⑥应急预案；⑦项目团队人员配置等。</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sz w:val="24"/>
                <w:szCs w:val="24"/>
                <w:u w:val="none"/>
                <w:lang w:val="en-US" w:eastAsia="zh-CN"/>
              </w:rPr>
            </w:pPr>
            <w:r>
              <w:rPr>
                <w:rFonts w:ascii="宋体" w:eastAsia="宋体" w:hAnsi="宋体" w:asciiTheme="minorEastAsia" w:eastAsiaTheme="minorEastAsia" w:hAnsiTheme="minorEastAsia" w:cs="Arial" w:cstheme="minorEastAsia" w:hint="eastAsia"/>
                <w:sz w:val="24"/>
                <w:szCs w:val="24"/>
                <w:u w:val="none"/>
                <w:lang w:val="en-US" w:eastAsia="zh-CN"/>
              </w:rPr>
              <w:t xml:space="preserve">（1）方案内容完整、详实、针对性强、科学合理、操作性强，得6分；</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sz w:val="24"/>
                <w:szCs w:val="24"/>
                <w:u w:val="none"/>
                <w:lang w:val="en-US" w:eastAsia="zh-CN"/>
              </w:rPr>
            </w:pPr>
            <w:r>
              <w:rPr>
                <w:rFonts w:ascii="宋体" w:eastAsia="宋体" w:hAnsi="宋体" w:asciiTheme="minorEastAsia" w:eastAsiaTheme="minorEastAsia" w:hAnsiTheme="minorEastAsia" w:cs="Arial" w:cstheme="minorEastAsia" w:hint="eastAsia"/>
                <w:sz w:val="24"/>
                <w:szCs w:val="24"/>
                <w:u w:val="none"/>
                <w:lang w:val="en-US" w:eastAsia="zh-CN"/>
              </w:rPr>
              <w:t xml:space="preserve">（2）方案内容基本完整、有针对性、合理、操作可行，得4分；</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sz w:val="24"/>
                <w:szCs w:val="24"/>
                <w:u w:val="none"/>
                <w:lang w:val="en-US" w:eastAsia="zh-CN"/>
              </w:rPr>
            </w:pPr>
            <w:r>
              <w:rPr>
                <w:rFonts w:ascii="宋体" w:eastAsia="宋体" w:hAnsi="宋体" w:asciiTheme="minorEastAsia" w:eastAsiaTheme="minorEastAsia" w:hAnsiTheme="minorEastAsia" w:cs="Arial" w:cstheme="minorEastAsia" w:hint="eastAsia"/>
                <w:sz w:val="24"/>
                <w:szCs w:val="24"/>
                <w:u w:val="none"/>
                <w:lang w:val="en-US" w:eastAsia="zh-CN"/>
              </w:rPr>
              <w:t xml:space="preserve">（3）方案内容在完整性、针对性、合理性、操作性方面一般，有待完善的，得2分；</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kern w:val="2"/>
                <w:sz w:val="24"/>
                <w:szCs w:val="24"/>
                <w:u w:val="none"/>
                <w:lang w:val="en-US" w:eastAsia="zh-CN" w:bidi="ar-SA"/>
              </w:rPr>
            </w:pPr>
            <w:r>
              <w:rPr>
                <w:rFonts w:ascii="宋体" w:eastAsia="宋体" w:hAnsi="宋体" w:asciiTheme="minorEastAsia" w:eastAsiaTheme="minorEastAsia" w:hAnsiTheme="minorEastAsia" w:cs="Arial" w:cstheme="minorEastAsia" w:hint="eastAsia"/>
                <w:sz w:val="24"/>
                <w:szCs w:val="24"/>
                <w:u w:val="none"/>
                <w:lang w:val="en-US" w:eastAsia="zh-CN"/>
              </w:rPr>
              <w:t xml:space="preserve">（4）未提供不得分。</w:t>
            </w:r>
          </w:p>
        </w:tc>
      </w:tr>
      <w:tr>
        <w:tblPrEx>
          <w:tblW w:w="9701"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0" w:type="dxa"/>
            <w:left w:w="108" w:type="dxa"/>
            <w:bottom w:w="0" w:type="dxa"/>
            <w:right w:w="108" w:type="dxa"/>
          </w:tblCellMar>
        </w:tblPrEx>
        <w:trPr>
          <w:trHeight w:val="1365"/>
          <w:jc w:val="center"/>
        </w:trPr>
        <w:tc>
          <w:tcPr>
            <w:tcW w:w="701" w:type="dxa"/>
            <w:tcBorders>
              <w:tl2br w:val="nil"/>
              <w:tr2bl w:val="nil"/>
            </w:tcBorders>
            <w:vAlign w:val="center"/>
          </w:tcPr>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u w:val="none"/>
                <w:lang w:val="en-US" w:eastAsia="zh-CN"/>
              </w:rPr>
            </w:pPr>
            <w:r>
              <w:rPr>
                <w:rFonts w:ascii="宋体" w:eastAsia="宋体" w:hAnsi="宋体" w:asciiTheme="minorEastAsia" w:eastAsiaTheme="minorEastAsia" w:hAnsiTheme="minorEastAsia" w:cs="Arial" w:cstheme="minorEastAsia" w:hint="eastAsia"/>
                <w:sz w:val="24"/>
                <w:szCs w:val="24"/>
                <w:u w:val="none"/>
                <w:lang w:val="en-US" w:eastAsia="zh-CN"/>
              </w:rPr>
              <w:t xml:space="preserve">5</w:t>
            </w:r>
          </w:p>
        </w:tc>
        <w:tc>
          <w:tcPr>
            <w:tcW w:w="1276" w:type="dxa"/>
            <w:tcBorders>
              <w:tl2br w:val="nil"/>
              <w:tr2bl w:val="nil"/>
            </w:tcBorders>
            <w:vAlign w:val="center"/>
          </w:tcPr>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sz w:val="24"/>
                <w:szCs w:val="24"/>
                <w:u w:val="none"/>
              </w:rPr>
            </w:pPr>
            <w:r>
              <w:rPr>
                <w:rFonts w:ascii="宋体" w:eastAsia="宋体" w:hAnsi="宋体" w:asciiTheme="minorEastAsia" w:eastAsiaTheme="minorEastAsia" w:hAnsiTheme="minorEastAsia" w:cs="Arial" w:cstheme="minorEastAsia" w:hint="eastAsia"/>
                <w:sz w:val="24"/>
                <w:szCs w:val="24"/>
                <w:u w:val="none"/>
                <w:lang w:eastAsia="zh-CN"/>
              </w:rPr>
              <w:t xml:space="preserve">售后服务（</w:t>
            </w:r>
            <w:r>
              <w:rPr>
                <w:rFonts w:ascii="宋体" w:eastAsia="宋体" w:hAnsi="宋体" w:asciiTheme="minorEastAsia" w:eastAsiaTheme="minorEastAsia" w:hAnsiTheme="minorEastAsia" w:cs="Arial" w:cstheme="minorEastAsia" w:hint="eastAsia"/>
                <w:sz w:val="24"/>
                <w:szCs w:val="24"/>
                <w:u w:val="none"/>
                <w:lang w:val="en-US" w:eastAsia="zh-CN"/>
              </w:rPr>
              <w:t xml:space="preserve">3分</w:t>
            </w:r>
            <w:r>
              <w:rPr>
                <w:rFonts w:ascii="宋体" w:eastAsia="宋体" w:hAnsi="宋体" w:asciiTheme="minorEastAsia" w:eastAsiaTheme="minorEastAsia" w:hAnsiTheme="minorEastAsia" w:cs="Arial" w:cstheme="minorEastAsia" w:hint="eastAsia"/>
                <w:sz w:val="24"/>
                <w:szCs w:val="24"/>
                <w:u w:val="none"/>
                <w:lang w:eastAsia="zh-CN"/>
              </w:rPr>
              <w:t xml:space="preserve">）</w:t>
            </w:r>
          </w:p>
        </w:tc>
        <w:tc>
          <w:tcPr>
            <w:tcW w:w="1465" w:type="dxa"/>
            <w:tcBorders>
              <w:tl2br w:val="nil"/>
              <w:tr2bl w:val="nil"/>
            </w:tcBorders>
            <w:vAlign w:val="center"/>
          </w:tcPr>
          <w:p>
            <w:pPr>
              <w:keepNext w:val="0"/>
              <w:keepLines w:val="0"/>
              <w:pageBreakBefore w:val="0"/>
              <w:kinsoku/>
              <w:wordWrap/>
              <w:overflowPunct/>
              <w:topLinePunct w:val="0"/>
              <w:autoSpaceDE w:val="0"/>
              <w:autoSpaceDN w:val="0"/>
              <w:bidi w:val="0"/>
              <w:adjustRightInd/>
              <w:snapToGrid/>
              <w:spacing w:line="240" w:lineRule="auto"/>
              <w:jc w:val="center"/>
              <w:textAlignment w:val="center"/>
              <w:rPr>
                <w:rFonts w:ascii="宋体" w:eastAsia="宋体" w:hAnsi="宋体" w:asciiTheme="minorEastAsia" w:eastAsiaTheme="minorEastAsia" w:hAnsiTheme="minorEastAsia" w:cs="Arial" w:cstheme="minorEastAsia" w:hint="eastAsia"/>
                <w:kern w:val="2"/>
                <w:sz w:val="24"/>
                <w:szCs w:val="24"/>
                <w:u w:val="none"/>
                <w:lang w:val="en-US" w:eastAsia="zh-CN" w:bidi="ar-SA"/>
              </w:rPr>
            </w:pPr>
            <w:r>
              <w:rPr>
                <w:rFonts w:ascii="宋体" w:eastAsia="宋体" w:hAnsi="宋体" w:asciiTheme="minorEastAsia" w:eastAsiaTheme="minorEastAsia" w:hAnsiTheme="minorEastAsia" w:cs="Arial" w:cstheme="minorEastAsia" w:hint="eastAsia"/>
                <w:sz w:val="24"/>
                <w:szCs w:val="24"/>
                <w:u w:val="none"/>
                <w:lang w:eastAsia="zh-CN"/>
              </w:rPr>
              <w:t xml:space="preserve">售后服务（</w:t>
            </w:r>
            <w:r>
              <w:rPr>
                <w:rFonts w:ascii="宋体" w:eastAsia="宋体" w:hAnsi="宋体" w:asciiTheme="minorEastAsia" w:eastAsiaTheme="minorEastAsia" w:hAnsiTheme="minorEastAsia" w:cs="Arial" w:cstheme="minorEastAsia" w:hint="eastAsia"/>
                <w:sz w:val="24"/>
                <w:szCs w:val="24"/>
                <w:u w:val="none"/>
                <w:lang w:val="en-US" w:eastAsia="zh-CN"/>
              </w:rPr>
              <w:t xml:space="preserve">3分</w:t>
            </w:r>
            <w:r>
              <w:rPr>
                <w:rFonts w:ascii="宋体" w:eastAsia="宋体" w:hAnsi="宋体" w:asciiTheme="minorEastAsia" w:eastAsiaTheme="minorEastAsia" w:hAnsiTheme="minorEastAsia" w:cs="Arial" w:cstheme="minorEastAsia" w:hint="eastAsia"/>
                <w:sz w:val="24"/>
                <w:szCs w:val="24"/>
                <w:u w:val="none"/>
                <w:lang w:eastAsia="zh-CN"/>
              </w:rPr>
              <w:t xml:space="preserve">）</w:t>
            </w:r>
          </w:p>
        </w:tc>
        <w:tc>
          <w:tcPr>
            <w:tcW w:w="6259" w:type="dxa"/>
            <w:tcBorders>
              <w:tl2br w:val="nil"/>
              <w:tr2bl w:val="nil"/>
            </w:tcBorders>
            <w:vAlign w:val="center"/>
          </w:tcPr>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sz w:val="24"/>
                <w:szCs w:val="24"/>
                <w:u w:val="none"/>
                <w:lang w:val="en-US" w:eastAsia="zh-CN"/>
              </w:rPr>
            </w:pPr>
            <w:r>
              <w:rPr>
                <w:rFonts w:ascii="宋体" w:eastAsia="宋体" w:hAnsi="宋体" w:asciiTheme="minorEastAsia" w:eastAsiaTheme="minorEastAsia" w:hAnsiTheme="minorEastAsia" w:cs="Arial" w:cstheme="minorEastAsia" w:hint="eastAsia"/>
                <w:sz w:val="24"/>
                <w:szCs w:val="24"/>
                <w:u w:val="none"/>
                <w:lang w:val="en-US" w:eastAsia="zh-CN"/>
              </w:rPr>
              <w:t xml:space="preserve">有明确的售后服务方案，方案中包括售后服务内容、免费维护期、报修后响应及上门时间、备品备件情况等要素；</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sz w:val="24"/>
                <w:szCs w:val="24"/>
                <w:u w:val="none"/>
                <w:lang w:val="en-US" w:eastAsia="zh-CN"/>
              </w:rPr>
            </w:pPr>
            <w:r>
              <w:rPr>
                <w:rFonts w:ascii="宋体" w:eastAsia="宋体" w:hAnsi="宋体" w:asciiTheme="minorEastAsia" w:eastAsiaTheme="minorEastAsia" w:hAnsiTheme="minorEastAsia" w:cs="Arial" w:cstheme="minorEastAsia" w:hint="eastAsia"/>
                <w:sz w:val="24"/>
                <w:szCs w:val="24"/>
                <w:u w:val="none"/>
                <w:lang w:val="en-US" w:eastAsia="zh-CN"/>
              </w:rPr>
              <w:t xml:space="preserve">（1）方案周密、科学、详尽、合理、可实施性强、响应及处理时间快，保障措施充分的得3分；</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sz w:val="24"/>
                <w:szCs w:val="24"/>
                <w:u w:val="none"/>
                <w:lang w:val="en-US" w:eastAsia="zh-CN"/>
              </w:rPr>
            </w:pPr>
            <w:r>
              <w:rPr>
                <w:rFonts w:ascii="宋体" w:eastAsia="宋体" w:hAnsi="宋体" w:asciiTheme="minorEastAsia" w:eastAsiaTheme="minorEastAsia" w:hAnsiTheme="minorEastAsia" w:cs="Arial" w:cstheme="minorEastAsia" w:hint="eastAsia"/>
                <w:sz w:val="24"/>
                <w:szCs w:val="24"/>
                <w:u w:val="none"/>
                <w:lang w:val="en-US" w:eastAsia="zh-CN"/>
              </w:rPr>
              <w:t xml:space="preserve">（2）方案较周密、较科学、较合理、可实施性较强、响应及处理时间及时，保障措施基本满足项目要求的得2分；</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sz w:val="24"/>
                <w:szCs w:val="24"/>
                <w:u w:val="none"/>
                <w:lang w:val="en-US" w:eastAsia="zh-CN"/>
              </w:rPr>
            </w:pPr>
            <w:r>
              <w:rPr>
                <w:rFonts w:ascii="宋体" w:eastAsia="宋体" w:hAnsi="宋体" w:asciiTheme="minorEastAsia" w:eastAsiaTheme="minorEastAsia" w:hAnsiTheme="minorEastAsia" w:cs="Arial" w:cstheme="minorEastAsia" w:hint="eastAsia"/>
                <w:sz w:val="24"/>
                <w:szCs w:val="24"/>
                <w:u w:val="none"/>
                <w:lang w:val="en-US" w:eastAsia="zh-CN"/>
              </w:rPr>
              <w:t xml:space="preserve">（3）方案基本可行，部分存在不足的得1分；</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kern w:val="2"/>
                <w:sz w:val="24"/>
                <w:szCs w:val="24"/>
                <w:u w:val="none"/>
                <w:lang w:val="en-US" w:eastAsia="zh-CN" w:bidi="ar-SA"/>
              </w:rPr>
            </w:pPr>
            <w:r>
              <w:rPr>
                <w:rFonts w:ascii="宋体" w:eastAsia="宋体" w:hAnsi="宋体" w:asciiTheme="minorEastAsia" w:eastAsiaTheme="minorEastAsia" w:hAnsiTheme="minorEastAsia" w:cs="Arial" w:cstheme="minorEastAsia" w:hint="eastAsia"/>
                <w:sz w:val="24"/>
                <w:szCs w:val="24"/>
                <w:u w:val="none"/>
                <w:lang w:val="en-US" w:eastAsia="zh-CN"/>
              </w:rPr>
              <w:t xml:space="preserve">（4）未提供的此项不得分。</w:t>
            </w:r>
          </w:p>
        </w:tc>
      </w:tr>
    </w:tbl>
    <w:p>
      <w:pPr>
        <w:spacing w:line="390" w:lineRule="exact"/>
        <w:ind w:firstLine="480" w:firstLineChars="200"/>
        <w:rPr>
          <w:rFonts w:ascii="宋体" w:hAnsi="宋体" w:cs="宋体" w:hint="eastAsia"/>
          <w:sz w:val="24"/>
        </w:rPr>
      </w:pPr>
    </w:p>
    <w:p>
      <w:pPr>
        <w:spacing w:line="390" w:lineRule="exact"/>
        <w:ind w:firstLine="480" w:firstLineChars="200"/>
        <w:rPr>
          <w:rFonts w:ascii="宋体" w:hAnsi="宋体" w:cs="宋体"/>
          <w:sz w:val="24"/>
        </w:rPr>
      </w:pPr>
      <w:r>
        <w:rPr>
          <w:rFonts w:ascii="宋体" w:hAnsi="宋体" w:cs="宋体" w:hint="eastAsia"/>
          <w:sz w:val="24"/>
        </w:rPr>
        <w:t xml:space="preserve">评审后得分由高到低顺序排列，投标文件满足招标文件全部实质性要求，且按照评审因素的量化指标评审得分最高的投标人为排名第一的中标候选人。得分相同的，按投标报价由低到高顺序排列。得分且投标报价相同的并列, 由评标委员会通过随机抽取的方式确定一个中标候选人。</w:t>
      </w:r>
    </w:p>
    <w:p>
      <w:pPr>
        <w:autoSpaceDE w:val="0"/>
        <w:autoSpaceDN w:val="0"/>
        <w:adjustRightInd w:val="0"/>
        <w:spacing w:line="400" w:lineRule="exact"/>
        <w:ind w:firstLine="480" w:firstLineChars="200"/>
        <w:rPr>
          <w:rFonts w:ascii="宋体" w:hAnsi="宋体" w:cs="宋体"/>
          <w:b/>
          <w:bCs/>
          <w:sz w:val="24"/>
          <w:lang w:val="zh-CN"/>
        </w:rPr>
      </w:pPr>
      <w:r>
        <w:rPr>
          <w:rFonts w:ascii="宋体" w:hAnsi="宋体" w:cs="宋体" w:hint="eastAsia"/>
          <w:b/>
          <w:bCs/>
          <w:sz w:val="24"/>
          <w:lang w:val="zh-CN"/>
        </w:rPr>
        <w:t xml:space="preserve">六、授予合同</w:t>
      </w:r>
    </w:p>
    <w:p>
      <w:pPr>
        <w:autoSpaceDE w:val="0"/>
        <w:autoSpaceDN w:val="0"/>
        <w:adjustRightInd w:val="0"/>
        <w:spacing w:line="400" w:lineRule="exact"/>
        <w:ind w:firstLine="480" w:firstLineChars="200"/>
        <w:rPr>
          <w:rFonts w:ascii="宋体" w:hAnsi="宋体" w:cs="宋体"/>
          <w:sz w:val="24"/>
          <w:lang w:val="zh-CN"/>
        </w:rPr>
      </w:pPr>
      <w:r>
        <w:rPr>
          <w:rFonts w:ascii="宋体" w:hAnsi="宋体" w:cs="宋体" w:hint="eastAsia"/>
          <w:sz w:val="24"/>
          <w:lang w:val="zh-CN"/>
        </w:rPr>
        <w:t xml:space="preserve">31.合同授予标准</w:t>
      </w:r>
    </w:p>
    <w:p>
      <w:pPr>
        <w:autoSpaceDE w:val="0"/>
        <w:autoSpaceDN w:val="0"/>
        <w:adjustRightInd w:val="0"/>
        <w:spacing w:line="380" w:lineRule="exact"/>
        <w:ind w:firstLine="480" w:firstLineChars="200"/>
        <w:rPr>
          <w:rFonts w:ascii="宋体" w:hAnsi="宋体" w:cs="宋体"/>
          <w:sz w:val="24"/>
          <w:lang w:val="zh-CN"/>
        </w:rPr>
      </w:pPr>
      <w:r>
        <w:rPr>
          <w:rFonts w:ascii="宋体" w:hAnsi="宋体" w:cs="宋体" w:hint="eastAsia"/>
          <w:sz w:val="24"/>
        </w:rPr>
        <w:t xml:space="preserve">3</w:t>
      </w:r>
      <w:r>
        <w:rPr>
          <w:rFonts w:ascii="宋体" w:hAnsi="宋体" w:cs="宋体" w:hint="eastAsia"/>
          <w:sz w:val="24"/>
          <w:lang w:val="en-US" w:eastAsia="zh-CN"/>
        </w:rPr>
        <w:t xml:space="preserve">1</w:t>
      </w:r>
      <w:r>
        <w:rPr>
          <w:rFonts w:ascii="宋体" w:hAnsi="宋体" w:cs="宋体" w:hint="eastAsia"/>
          <w:sz w:val="24"/>
        </w:rPr>
        <w:t xml:space="preserve">.1</w:t>
      </w:r>
      <w:r>
        <w:rPr>
          <w:rFonts w:ascii="宋体" w:hAnsi="宋体" w:cs="宋体" w:hint="eastAsia"/>
          <w:sz w:val="24"/>
          <w:lang w:val="zh-CN"/>
        </w:rPr>
        <w:t xml:space="preserve">评委会按第26条规定对实质上响应招标文件要求的供应商进行综合评审，最终推荐出中标候选人。中标候选人将在淮安市政府采购网及淮安市公共资源交易网盱眙板块上公示，公告期为一个工作日。</w:t>
      </w:r>
    </w:p>
    <w:p>
      <w:pPr>
        <w:spacing w:line="380" w:lineRule="exact"/>
        <w:ind w:firstLine="480" w:firstLineChars="200"/>
        <w:rPr>
          <w:rFonts w:ascii="宋体" w:hAnsi="宋体" w:cs="宋体"/>
          <w:sz w:val="24"/>
        </w:rPr>
      </w:pPr>
      <w:r>
        <w:rPr>
          <w:rFonts w:ascii="宋体" w:hAnsi="宋体" w:cs="宋体" w:hint="eastAsia"/>
          <w:sz w:val="24"/>
        </w:rPr>
        <w:t xml:space="preserve">3</w:t>
      </w:r>
      <w:r>
        <w:rPr>
          <w:rFonts w:ascii="宋体" w:hAnsi="宋体" w:cs="宋体" w:hint="eastAsia"/>
          <w:sz w:val="24"/>
          <w:lang w:val="en-US" w:eastAsia="zh-CN"/>
        </w:rPr>
        <w:t xml:space="preserve">1</w:t>
      </w:r>
      <w:r>
        <w:rPr>
          <w:rFonts w:ascii="宋体" w:hAnsi="宋体" w:cs="宋体" w:hint="eastAsia"/>
          <w:sz w:val="24"/>
        </w:rPr>
        <w:t xml:space="preserve">.2接受最终审查的中标候选人，必须如实回答询问或接受考察，并提供所需的相关资料。</w:t>
      </w:r>
    </w:p>
    <w:p>
      <w:pPr>
        <w:spacing w:line="380" w:lineRule="exact"/>
        <w:ind w:firstLine="480" w:firstLineChars="200"/>
        <w:rPr>
          <w:rFonts w:ascii="宋体" w:hAnsi="宋体" w:cs="宋体"/>
          <w:sz w:val="24"/>
        </w:rPr>
      </w:pPr>
      <w:r>
        <w:rPr>
          <w:rFonts w:ascii="宋体" w:hAnsi="宋体" w:cs="宋体" w:hint="eastAsia"/>
          <w:sz w:val="24"/>
        </w:rPr>
        <w:t xml:space="preserve">3</w:t>
      </w:r>
      <w:r>
        <w:rPr>
          <w:rFonts w:ascii="宋体" w:hAnsi="宋体" w:cs="宋体" w:hint="eastAsia"/>
          <w:sz w:val="24"/>
          <w:lang w:val="en-US" w:eastAsia="zh-CN"/>
        </w:rPr>
        <w:t xml:space="preserve">1</w:t>
      </w:r>
      <w:r>
        <w:rPr>
          <w:rFonts w:ascii="宋体" w:hAnsi="宋体" w:cs="宋体" w:hint="eastAsia"/>
          <w:sz w:val="24"/>
        </w:rPr>
        <w:t xml:space="preserve">.3采购人授标时不得对招标文件做实质性更改，采购人不得对招标文件中确定的数量、单价和其他条款和条件作出任何实质性改变。</w:t>
      </w:r>
    </w:p>
    <w:p>
      <w:pPr>
        <w:spacing w:line="380" w:lineRule="exact"/>
        <w:ind w:firstLine="480" w:firstLineChars="200"/>
        <w:rPr>
          <w:rFonts w:ascii="宋体" w:hAnsi="宋体" w:cs="宋体"/>
          <w:sz w:val="24"/>
        </w:rPr>
      </w:pPr>
      <w:r>
        <w:rPr>
          <w:rFonts w:ascii="宋体" w:hAnsi="宋体" w:cs="宋体" w:hint="eastAsia"/>
          <w:b/>
          <w:sz w:val="24"/>
        </w:rPr>
        <w:t xml:space="preserve">3</w:t>
      </w:r>
      <w:r>
        <w:rPr>
          <w:rFonts w:ascii="宋体" w:hAnsi="宋体" w:cs="宋体" w:hint="eastAsia"/>
          <w:b/>
          <w:sz w:val="24"/>
          <w:lang w:val="en-US" w:eastAsia="zh-CN"/>
        </w:rPr>
        <w:t xml:space="preserve">2</w:t>
      </w:r>
      <w:r>
        <w:rPr>
          <w:rFonts w:ascii="宋体" w:hAnsi="宋体" w:cs="宋体" w:hint="eastAsia"/>
          <w:b/>
          <w:sz w:val="24"/>
        </w:rPr>
        <w:t xml:space="preserve">.货物和服务的减少</w:t>
      </w:r>
    </w:p>
    <w:p>
      <w:pPr>
        <w:spacing w:line="400" w:lineRule="exact"/>
        <w:ind w:firstLine="480" w:firstLineChars="200"/>
        <w:rPr>
          <w:rFonts w:ascii="宋体" w:hAnsi="宋体" w:cs="宋体" w:hint="eastAsia"/>
          <w:sz w:val="24"/>
        </w:rPr>
      </w:pPr>
      <w:r>
        <w:rPr>
          <w:rFonts w:ascii="宋体" w:hAnsi="宋体" w:cs="宋体" w:hint="eastAsia"/>
          <w:sz w:val="24"/>
        </w:rPr>
        <w:t xml:space="preserve">3</w:t>
      </w:r>
      <w:r>
        <w:rPr>
          <w:rFonts w:ascii="宋体" w:hAnsi="宋体" w:cs="宋体" w:hint="eastAsia"/>
          <w:sz w:val="24"/>
          <w:lang w:val="en-US" w:eastAsia="zh-CN"/>
        </w:rPr>
        <w:t xml:space="preserve">2</w:t>
      </w:r>
      <w:r>
        <w:rPr>
          <w:rFonts w:ascii="宋体" w:hAnsi="宋体" w:cs="宋体" w:hint="eastAsia"/>
          <w:sz w:val="24"/>
        </w:rPr>
        <w:t xml:space="preserve">.1采购结束后，采购人若由于各种客观原因，必须对采购项目所牵涉的货物和服务进行适当的减少时，在双方协商一致的前提下，可以按照招标采购时的价格水平做相应的调减，并据此签订补充合同</w:t>
      </w:r>
    </w:p>
    <w:p>
      <w:pPr>
        <w:spacing w:line="400" w:lineRule="exact"/>
        <w:ind w:firstLine="480" w:firstLineChars="200"/>
        <w:rPr>
          <w:rFonts w:ascii="宋体" w:hAnsi="宋体" w:cs="宋体"/>
          <w:b/>
          <w:sz w:val="24"/>
        </w:rPr>
      </w:pPr>
      <w:r>
        <w:rPr>
          <w:rFonts w:ascii="宋体" w:hAnsi="宋体" w:cs="宋体" w:hint="eastAsia"/>
          <w:b/>
          <w:sz w:val="24"/>
        </w:rPr>
        <w:t xml:space="preserve">3</w:t>
      </w:r>
      <w:r>
        <w:rPr>
          <w:rFonts w:ascii="宋体" w:hAnsi="宋体" w:cs="宋体" w:hint="eastAsia"/>
          <w:b/>
          <w:sz w:val="24"/>
          <w:lang w:val="en-US" w:eastAsia="zh-CN"/>
        </w:rPr>
        <w:t xml:space="preserve">3</w:t>
      </w:r>
      <w:r>
        <w:rPr>
          <w:rFonts w:ascii="宋体" w:hAnsi="宋体" w:cs="宋体" w:hint="eastAsia"/>
          <w:b/>
          <w:sz w:val="24"/>
        </w:rPr>
        <w:t xml:space="preserve">.中标通知书</w:t>
      </w:r>
    </w:p>
    <w:p>
      <w:pPr>
        <w:snapToGrid w:val="0"/>
        <w:spacing w:line="400" w:lineRule="exact"/>
        <w:ind w:firstLine="480" w:firstLineChars="200"/>
        <w:rPr>
          <w:rFonts w:ascii="宋体" w:hAnsi="宋体" w:cs="宋体"/>
          <w:sz w:val="24"/>
        </w:rPr>
      </w:pPr>
      <w:r>
        <w:rPr>
          <w:rFonts w:ascii="宋体" w:hAnsi="宋体" w:cs="宋体" w:hint="eastAsia"/>
          <w:sz w:val="24"/>
        </w:rPr>
        <w:t xml:space="preserve">3</w:t>
      </w:r>
      <w:r>
        <w:rPr>
          <w:rFonts w:ascii="宋体" w:hAnsi="宋体" w:cs="宋体" w:hint="eastAsia"/>
          <w:sz w:val="24"/>
          <w:lang w:val="en-US" w:eastAsia="zh-CN"/>
        </w:rPr>
        <w:t xml:space="preserve">3</w:t>
      </w:r>
      <w:r>
        <w:rPr>
          <w:rFonts w:ascii="宋体" w:hAnsi="宋体" w:cs="宋体" w:hint="eastAsia"/>
          <w:sz w:val="24"/>
        </w:rPr>
        <w:t xml:space="preserve">.1采购人在投标有效期期满之前，将以书面形式通知中标人，并确认其投标已被接受。</w:t>
      </w:r>
    </w:p>
    <w:p>
      <w:pPr>
        <w:snapToGrid w:val="0"/>
        <w:spacing w:line="400" w:lineRule="exact"/>
        <w:ind w:firstLine="480" w:firstLineChars="200"/>
        <w:rPr>
          <w:rFonts w:ascii="宋体" w:hAnsi="宋体" w:cs="宋体"/>
          <w:sz w:val="24"/>
        </w:rPr>
      </w:pPr>
      <w:r>
        <w:rPr>
          <w:rFonts w:ascii="宋体" w:hAnsi="宋体" w:cs="宋体" w:hint="eastAsia"/>
          <w:sz w:val="24"/>
        </w:rPr>
        <w:t xml:space="preserve">3</w:t>
      </w:r>
      <w:r>
        <w:rPr>
          <w:rFonts w:ascii="宋体" w:hAnsi="宋体" w:cs="宋体" w:hint="eastAsia"/>
          <w:sz w:val="24"/>
          <w:lang w:val="en-US" w:eastAsia="zh-CN"/>
        </w:rPr>
        <w:t xml:space="preserve">3</w:t>
      </w:r>
      <w:r>
        <w:rPr>
          <w:rFonts w:ascii="宋体" w:hAnsi="宋体" w:cs="宋体" w:hint="eastAsia"/>
          <w:sz w:val="24"/>
        </w:rPr>
        <w:t xml:space="preserve">.2中标人在中标结果公布后五个工作日内必须到招标代理处领取中标通知书，逾期未办理作自动放弃处理。</w:t>
      </w:r>
    </w:p>
    <w:p>
      <w:pPr>
        <w:snapToGrid w:val="0"/>
        <w:spacing w:line="400" w:lineRule="exact"/>
        <w:ind w:firstLine="480" w:firstLineChars="200"/>
        <w:rPr>
          <w:rFonts w:ascii="宋体" w:hAnsi="宋体" w:cs="宋体"/>
          <w:sz w:val="24"/>
        </w:rPr>
      </w:pPr>
      <w:r>
        <w:rPr>
          <w:rFonts w:ascii="宋体" w:hAnsi="宋体" w:cs="宋体" w:hint="eastAsia"/>
          <w:sz w:val="24"/>
        </w:rPr>
        <w:t xml:space="preserve">3</w:t>
      </w:r>
      <w:r>
        <w:rPr>
          <w:rFonts w:ascii="宋体" w:hAnsi="宋体" w:cs="宋体" w:hint="eastAsia"/>
          <w:sz w:val="24"/>
          <w:lang w:val="en-US" w:eastAsia="zh-CN"/>
        </w:rPr>
        <w:t xml:space="preserve">3</w:t>
      </w:r>
      <w:r>
        <w:rPr>
          <w:rFonts w:ascii="宋体" w:hAnsi="宋体" w:cs="宋体" w:hint="eastAsia"/>
          <w:sz w:val="24"/>
        </w:rPr>
        <w:t xml:space="preserve">.3中标通知书将是合同的组成部分。</w:t>
      </w:r>
    </w:p>
    <w:p>
      <w:pPr>
        <w:snapToGrid w:val="0"/>
        <w:spacing w:line="400" w:lineRule="exact"/>
        <w:ind w:firstLine="480" w:firstLineChars="200"/>
        <w:rPr>
          <w:rFonts w:ascii="宋体" w:hAnsi="宋体" w:cs="宋体"/>
          <w:sz w:val="24"/>
        </w:rPr>
      </w:pPr>
      <w:r>
        <w:rPr>
          <w:rFonts w:ascii="宋体" w:hAnsi="宋体" w:cs="宋体" w:hint="eastAsia"/>
          <w:sz w:val="24"/>
        </w:rPr>
        <w:t xml:space="preserve">3</w:t>
      </w:r>
      <w:r>
        <w:rPr>
          <w:rFonts w:ascii="宋体" w:hAnsi="宋体" w:cs="宋体" w:hint="eastAsia"/>
          <w:sz w:val="24"/>
          <w:lang w:val="en-US" w:eastAsia="zh-CN"/>
        </w:rPr>
        <w:t xml:space="preserve">3</w:t>
      </w:r>
      <w:r>
        <w:rPr>
          <w:rFonts w:ascii="宋体" w:hAnsi="宋体" w:cs="宋体" w:hint="eastAsia"/>
          <w:sz w:val="24"/>
        </w:rPr>
        <w:t xml:space="preserve">.4在中标人按照规定向采购人提交履约保证金后，采购人将及时通知其他未中标的投标人。</w:t>
      </w:r>
    </w:p>
    <w:p>
      <w:pPr>
        <w:snapToGrid w:val="0"/>
        <w:spacing w:line="400" w:lineRule="exact"/>
        <w:ind w:firstLine="480" w:firstLineChars="200"/>
        <w:rPr>
          <w:rFonts w:ascii="宋体" w:hAnsi="宋体" w:cs="宋体"/>
          <w:sz w:val="24"/>
        </w:rPr>
      </w:pPr>
      <w:r>
        <w:rPr>
          <w:rFonts w:ascii="宋体" w:hAnsi="宋体" w:cs="宋体" w:hint="eastAsia"/>
          <w:sz w:val="24"/>
        </w:rPr>
        <w:t xml:space="preserve">3</w:t>
      </w:r>
      <w:r>
        <w:rPr>
          <w:rFonts w:ascii="宋体" w:hAnsi="宋体" w:cs="宋体" w:hint="eastAsia"/>
          <w:sz w:val="24"/>
          <w:lang w:val="en-US" w:eastAsia="zh-CN"/>
        </w:rPr>
        <w:t xml:space="preserve">4</w:t>
      </w:r>
      <w:r>
        <w:rPr>
          <w:rFonts w:ascii="宋体" w:hAnsi="宋体" w:cs="宋体" w:hint="eastAsia"/>
          <w:sz w:val="24"/>
        </w:rPr>
        <w:t xml:space="preserve">.签订合同</w:t>
      </w:r>
    </w:p>
    <w:p>
      <w:pPr>
        <w:snapToGrid w:val="0"/>
        <w:spacing w:line="400" w:lineRule="exact"/>
        <w:ind w:firstLine="480" w:firstLineChars="200"/>
        <w:rPr>
          <w:rFonts w:ascii="宋体" w:hAnsi="宋体" w:cs="宋体"/>
          <w:sz w:val="24"/>
        </w:rPr>
      </w:pPr>
      <w:r>
        <w:rPr>
          <w:rFonts w:ascii="宋体" w:hAnsi="宋体" w:cs="宋体" w:hint="eastAsia"/>
          <w:sz w:val="24"/>
        </w:rPr>
        <w:t xml:space="preserve">3</w:t>
      </w:r>
      <w:r>
        <w:rPr>
          <w:rFonts w:ascii="宋体" w:hAnsi="宋体" w:cs="宋体" w:hint="eastAsia"/>
          <w:sz w:val="24"/>
          <w:lang w:val="en-US" w:eastAsia="zh-CN"/>
        </w:rPr>
        <w:t xml:space="preserve">4</w:t>
      </w:r>
      <w:r>
        <w:rPr>
          <w:rFonts w:ascii="宋体" w:hAnsi="宋体" w:cs="宋体" w:hint="eastAsia"/>
          <w:sz w:val="24"/>
        </w:rPr>
        <w:t xml:space="preserve">.1中标人应按中标通知书指定的时间、地点与采购人签订合同。招标文件、中标人的投标文件及澄清文件等，均为签订合同的依据。</w:t>
      </w:r>
    </w:p>
    <w:p>
      <w:pPr>
        <w:snapToGrid w:val="0"/>
        <w:spacing w:line="400" w:lineRule="exact"/>
        <w:ind w:firstLine="480" w:firstLineChars="200"/>
        <w:rPr>
          <w:rFonts w:ascii="宋体" w:hAnsi="宋体" w:cs="宋体"/>
          <w:sz w:val="24"/>
        </w:rPr>
      </w:pPr>
      <w:r>
        <w:rPr>
          <w:rFonts w:ascii="宋体" w:hAnsi="宋体" w:cs="宋体" w:hint="eastAsia"/>
          <w:sz w:val="24"/>
        </w:rPr>
        <w:t xml:space="preserve">3</w:t>
      </w:r>
      <w:r>
        <w:rPr>
          <w:rFonts w:ascii="宋体" w:hAnsi="宋体" w:cs="宋体" w:hint="eastAsia"/>
          <w:sz w:val="24"/>
          <w:lang w:val="en-US" w:eastAsia="zh-CN"/>
        </w:rPr>
        <w:t xml:space="preserve">4</w:t>
      </w:r>
      <w:r>
        <w:rPr>
          <w:rFonts w:ascii="宋体" w:hAnsi="宋体" w:cs="宋体" w:hint="eastAsia"/>
          <w:sz w:val="24"/>
        </w:rPr>
        <w:t xml:space="preserve">.2领取中标通知书后</w:t>
      </w:r>
      <w:r>
        <w:rPr>
          <w:rFonts w:ascii="宋体" w:hAnsi="宋体" w:cs="宋体"/>
          <w:sz w:val="24"/>
        </w:rPr>
        <w:t xml:space="preserve">12</w:t>
      </w:r>
      <w:r>
        <w:rPr>
          <w:rFonts w:ascii="宋体" w:hAnsi="宋体" w:cs="宋体" w:hint="eastAsia"/>
          <w:sz w:val="24"/>
        </w:rPr>
        <w:t xml:space="preserve">日内，必须与采购人签订合同。若中标通知书发出之日起</w:t>
      </w:r>
      <w:r>
        <w:rPr>
          <w:rFonts w:ascii="宋体" w:hAnsi="宋体" w:cs="宋体"/>
          <w:sz w:val="24"/>
        </w:rPr>
        <w:t xml:space="preserve">12</w:t>
      </w:r>
      <w:r>
        <w:rPr>
          <w:rFonts w:ascii="宋体" w:hAnsi="宋体" w:cs="宋体" w:hint="eastAsia"/>
          <w:sz w:val="24"/>
        </w:rPr>
        <w:t xml:space="preserve">日内，中标人无正当理由拒绝签订合同的，视为自动放弃中标；给采购人造成的损失的，中标人还应当予以赔偿。</w:t>
      </w:r>
    </w:p>
    <w:p>
      <w:pPr>
        <w:spacing w:line="400" w:lineRule="exact"/>
        <w:ind w:firstLine="480" w:firstLineChars="200"/>
        <w:rPr>
          <w:rFonts w:ascii="宋体" w:hAnsi="宋体" w:cs="宋体"/>
          <w:b/>
          <w:sz w:val="24"/>
        </w:rPr>
      </w:pPr>
      <w:r>
        <w:rPr>
          <w:rFonts w:ascii="宋体" w:hAnsi="宋体" w:cs="宋体" w:hint="eastAsia"/>
          <w:b/>
          <w:sz w:val="24"/>
        </w:rPr>
        <w:t xml:space="preserve">3</w:t>
      </w:r>
      <w:r>
        <w:rPr>
          <w:rFonts w:ascii="宋体" w:hAnsi="宋体" w:cs="宋体" w:hint="eastAsia"/>
          <w:b/>
          <w:sz w:val="24"/>
          <w:lang w:val="en-US" w:eastAsia="zh-CN"/>
        </w:rPr>
        <w:t xml:space="preserve">5</w:t>
      </w:r>
      <w:r>
        <w:rPr>
          <w:rFonts w:ascii="宋体" w:hAnsi="宋体" w:cs="宋体" w:hint="eastAsia"/>
          <w:b/>
          <w:sz w:val="24"/>
        </w:rPr>
        <w:t xml:space="preserve">.履约保证金</w:t>
      </w:r>
    </w:p>
    <w:p>
      <w:pPr>
        <w:adjustRightInd w:val="0"/>
        <w:snapToGrid w:val="0"/>
        <w:spacing w:line="440" w:lineRule="exact"/>
        <w:rPr>
          <w:rFonts w:ascii="宋体" w:eastAsia="宋体" w:hAnsi="宋体" w:cs="宋体" w:hint="eastAsia"/>
          <w:color w:val="000000" w:themeColor="text1"/>
          <w:sz w:val="28"/>
          <w:szCs w:val="28"/>
          <w14:textFill>
            <w14:solidFill>
              <w14:schemeClr w14:val="tx1"/>
            </w14:solidFill>
          </w14:textFill>
        </w:rPr>
      </w:pPr>
      <w:r>
        <w:rPr>
          <w:rFonts w:ascii="宋体" w:eastAsia="宋体" w:hAnsi="宋体" w:cs="宋体" w:hint="eastAsia"/>
          <w:color w:val="000000" w:themeColor="text1"/>
          <w:sz w:val="28"/>
          <w:szCs w:val="28"/>
          <w:lang w:val="en-US" w:eastAsia="zh-CN"/>
          <w14:textFill>
            <w14:solidFill>
              <w14:schemeClr w14:val="tx1"/>
            </w14:solidFill>
          </w14:textFill>
        </w:rPr>
        <w:t xml:space="preserve">3</w:t>
      </w:r>
      <w:r>
        <w:rPr>
          <w:rFonts w:ascii="宋体" w:hAnsi="宋体" w:cs="宋体" w:hint="eastAsia"/>
          <w:color w:val="000000" w:themeColor="text1"/>
          <w:sz w:val="28"/>
          <w:szCs w:val="28"/>
          <w:lang w:val="en-US" w:eastAsia="zh-CN"/>
          <w14:textFill>
            <w14:solidFill>
              <w14:schemeClr w14:val="tx1"/>
            </w14:solidFill>
          </w14:textFill>
        </w:rPr>
        <w:t xml:space="preserve">5</w:t>
      </w:r>
      <w:r>
        <w:rPr>
          <w:rFonts w:ascii="宋体" w:eastAsia="宋体" w:hAnsi="宋体" w:cs="宋体" w:hint="eastAsia"/>
          <w:color w:val="000000" w:themeColor="text1"/>
          <w:sz w:val="28"/>
          <w:szCs w:val="28"/>
          <w14:textFill>
            <w14:solidFill>
              <w14:schemeClr w14:val="tx1"/>
            </w14:solidFill>
          </w14:textFill>
        </w:rPr>
        <w:t xml:space="preserve">.1为保证合同的顺利执行，成交供应商应在中标通知书发出之前，须提供相当于中标总价1%的履约保证金</w:t>
      </w:r>
      <w:r>
        <w:rPr>
          <w:rFonts w:ascii="宋体" w:eastAsia="宋体" w:hAnsi="宋体" w:cs="宋体" w:hint="eastAsia"/>
          <w:color w:val="000000" w:themeColor="text1"/>
          <w:sz w:val="28"/>
          <w:szCs w:val="28"/>
          <w:lang w:eastAsia="zh-CN"/>
          <w14:textFill>
            <w14:solidFill>
              <w14:schemeClr w14:val="tx1"/>
            </w14:solidFill>
          </w14:textFill>
        </w:rPr>
        <w:t xml:space="preserve">。</w:t>
      </w:r>
      <w:r>
        <w:rPr>
          <w:rFonts w:ascii="宋体" w:eastAsia="宋体" w:hAnsi="宋体" w:cs="宋体" w:hint="eastAsia"/>
          <w:color w:val="000000" w:themeColor="text1"/>
          <w:sz w:val="28"/>
          <w:szCs w:val="28"/>
          <w14:textFill>
            <w14:solidFill>
              <w14:schemeClr w14:val="tx1"/>
            </w14:solidFill>
          </w14:textFill>
        </w:rPr>
        <w:t xml:space="preserve">乙方提供的履约保证金可以是人民币形式（银行本票、汇票、支票、电汇），或银行保函、担保公司的保证担保或保险公司的保证保险等多种形式。</w:t>
      </w:r>
    </w:p>
    <w:p>
      <w:pPr>
        <w:adjustRightInd w:val="0"/>
        <w:snapToGrid w:val="0"/>
        <w:spacing w:line="440" w:lineRule="exact"/>
        <w:rPr>
          <w:rFonts w:ascii="宋体" w:eastAsia="宋体" w:hAnsi="宋体" w:cs="宋体" w:hint="eastAsia"/>
          <w:color w:val="000000" w:themeColor="text1"/>
          <w:sz w:val="28"/>
          <w:szCs w:val="28"/>
          <w:lang w:val="en-US" w:eastAsia="zh-CN"/>
          <w14:textFill>
            <w14:solidFill>
              <w14:schemeClr w14:val="tx1"/>
            </w14:solidFill>
          </w14:textFill>
        </w:rPr>
      </w:pPr>
      <w:r>
        <w:rPr>
          <w:rFonts w:ascii="宋体" w:eastAsia="宋体" w:hAnsi="宋体" w:cs="宋体" w:hint="eastAsia"/>
          <w:color w:val="000000" w:themeColor="text1"/>
          <w:sz w:val="28"/>
          <w:szCs w:val="28"/>
          <w:lang w:val="en-US" w:eastAsia="zh-CN"/>
          <w14:textFill>
            <w14:solidFill>
              <w14:schemeClr w14:val="tx1"/>
            </w14:solidFill>
          </w14:textFill>
        </w:rPr>
        <w:t xml:space="preserve"> 3</w:t>
      </w:r>
      <w:r>
        <w:rPr>
          <w:rFonts w:ascii="宋体" w:hAnsi="宋体" w:cs="宋体" w:hint="eastAsia"/>
          <w:color w:val="000000" w:themeColor="text1"/>
          <w:sz w:val="28"/>
          <w:szCs w:val="28"/>
          <w:lang w:val="en-US" w:eastAsia="zh-CN"/>
          <w14:textFill>
            <w14:solidFill>
              <w14:schemeClr w14:val="tx1"/>
            </w14:solidFill>
          </w14:textFill>
        </w:rPr>
        <w:t xml:space="preserve">5</w:t>
      </w:r>
      <w:r>
        <w:rPr>
          <w:rFonts w:ascii="宋体" w:eastAsia="宋体" w:hAnsi="宋体" w:cs="宋体" w:hint="eastAsia"/>
          <w:color w:val="000000" w:themeColor="text1"/>
          <w:sz w:val="28"/>
          <w:szCs w:val="28"/>
          <w:lang w:val="en-US" w:eastAsia="zh-CN"/>
          <w14:textFill>
            <w14:solidFill>
              <w14:schemeClr w14:val="tx1"/>
            </w14:solidFill>
          </w14:textFill>
        </w:rPr>
        <w:t xml:space="preserve">.2乙方选取人民币形式缴纳履约保证金的，交纳信息如下:</w:t>
      </w:r>
    </w:p>
    <w:p>
      <w:pPr>
        <w:adjustRightInd w:val="0"/>
        <w:snapToGrid w:val="0"/>
        <w:spacing w:line="440" w:lineRule="exact"/>
        <w:rPr>
          <w:rFonts w:ascii="宋体" w:eastAsia="宋体" w:hAnsi="宋体" w:cs="宋体" w:hint="eastAsia"/>
          <w:color w:val="000000" w:themeColor="text1"/>
          <w:sz w:val="28"/>
          <w:szCs w:val="28"/>
          <w:lang w:val="en-US" w:eastAsia="zh-CN"/>
          <w14:textFill>
            <w14:solidFill>
              <w14:schemeClr w14:val="tx1"/>
            </w14:solidFill>
          </w14:textFill>
        </w:rPr>
      </w:pPr>
      <w:r>
        <w:rPr>
          <w:rFonts w:ascii="宋体" w:eastAsia="宋体" w:hAnsi="宋体" w:cs="宋体" w:hint="eastAsia"/>
          <w:color w:val="000000" w:themeColor="text1"/>
          <w:sz w:val="28"/>
          <w:szCs w:val="28"/>
          <w:lang w:val="en-US" w:eastAsia="zh-CN"/>
          <w14:textFill>
            <w14:solidFill>
              <w14:schemeClr w14:val="tx1"/>
            </w14:solidFill>
          </w14:textFill>
        </w:rPr>
        <w:t xml:space="preserve">开户名称: </w:t>
      </w:r>
    </w:p>
    <w:p>
      <w:pPr>
        <w:adjustRightInd w:val="0"/>
        <w:snapToGrid w:val="0"/>
        <w:spacing w:line="440" w:lineRule="exact"/>
        <w:rPr>
          <w:rFonts w:ascii="宋体" w:eastAsia="宋体" w:hAnsi="宋体" w:cs="宋体" w:hint="eastAsia"/>
          <w:color w:val="000000" w:themeColor="text1"/>
          <w:sz w:val="28"/>
          <w:szCs w:val="28"/>
          <w:lang w:val="en-US" w:eastAsia="zh-CN"/>
          <w14:textFill>
            <w14:solidFill>
              <w14:schemeClr w14:val="tx1"/>
            </w14:solidFill>
          </w14:textFill>
        </w:rPr>
      </w:pPr>
      <w:r>
        <w:rPr>
          <w:rFonts w:ascii="宋体" w:eastAsia="宋体" w:hAnsi="宋体" w:cs="宋体" w:hint="eastAsia"/>
          <w:color w:val="000000" w:themeColor="text1"/>
          <w:sz w:val="28"/>
          <w:szCs w:val="28"/>
          <w:lang w:val="en-US" w:eastAsia="zh-CN"/>
          <w14:textFill>
            <w14:solidFill>
              <w14:schemeClr w14:val="tx1"/>
            </w14:solidFill>
          </w14:textFill>
        </w:rPr>
        <w:t xml:space="preserve">开户行: </w:t>
      </w:r>
    </w:p>
    <w:p>
      <w:pPr>
        <w:adjustRightInd w:val="0"/>
        <w:snapToGrid w:val="0"/>
        <w:spacing w:line="440" w:lineRule="exact"/>
        <w:rPr>
          <w:rFonts w:ascii="宋体" w:eastAsia="宋体" w:hAnsi="宋体" w:cs="宋体" w:hint="eastAsia"/>
          <w:color w:val="000000" w:themeColor="text1"/>
          <w:sz w:val="28"/>
          <w:szCs w:val="28"/>
          <w:lang w:val="en-US" w:eastAsia="zh-CN"/>
          <w14:textFill>
            <w14:solidFill>
              <w14:schemeClr w14:val="tx1"/>
            </w14:solidFill>
          </w14:textFill>
        </w:rPr>
      </w:pPr>
      <w:r>
        <w:rPr>
          <w:rFonts w:ascii="宋体" w:eastAsia="宋体" w:hAnsi="宋体" w:cs="宋体" w:hint="eastAsia"/>
          <w:color w:val="000000" w:themeColor="text1"/>
          <w:sz w:val="28"/>
          <w:szCs w:val="28"/>
          <w:lang w:val="en-US" w:eastAsia="zh-CN"/>
          <w14:textFill>
            <w14:solidFill>
              <w14:schemeClr w14:val="tx1"/>
            </w14:solidFill>
          </w14:textFill>
        </w:rPr>
        <w:t xml:space="preserve">帐号:</w:t>
      </w:r>
    </w:p>
    <w:p>
      <w:pPr>
        <w:adjustRightInd w:val="0"/>
        <w:snapToGrid w:val="0"/>
        <w:spacing w:line="440" w:lineRule="exact"/>
        <w:rPr>
          <w:rFonts w:ascii="宋体" w:eastAsia="宋体" w:hAnsi="宋体" w:cs="宋体" w:hint="eastAsia"/>
          <w:color w:val="000000" w:themeColor="text1"/>
          <w:sz w:val="28"/>
          <w:szCs w:val="28"/>
          <w:lang w:val="en-US" w:eastAsia="zh-CN"/>
          <w14:textFill>
            <w14:solidFill>
              <w14:schemeClr w14:val="tx1"/>
            </w14:solidFill>
          </w14:textFill>
        </w:rPr>
      </w:pPr>
      <w:r>
        <w:rPr>
          <w:rFonts w:ascii="宋体" w:eastAsia="宋体" w:hAnsi="宋体" w:cs="宋体" w:hint="eastAsia"/>
          <w:color w:val="000000" w:themeColor="text1"/>
          <w:sz w:val="28"/>
          <w:szCs w:val="28"/>
          <w:lang w:val="en-US" w:eastAsia="zh-CN"/>
          <w14:textFill>
            <w14:solidFill>
              <w14:schemeClr w14:val="tx1"/>
            </w14:solidFill>
          </w14:textFill>
        </w:rPr>
        <w:t xml:space="preserve">3</w:t>
      </w:r>
      <w:r>
        <w:rPr>
          <w:rFonts w:ascii="宋体" w:hAnsi="宋体" w:cs="宋体" w:hint="eastAsia"/>
          <w:color w:val="000000" w:themeColor="text1"/>
          <w:sz w:val="28"/>
          <w:szCs w:val="28"/>
          <w:lang w:val="en-US" w:eastAsia="zh-CN"/>
          <w14:textFill>
            <w14:solidFill>
              <w14:schemeClr w14:val="tx1"/>
            </w14:solidFill>
          </w14:textFill>
        </w:rPr>
        <w:t xml:space="preserve">5</w:t>
      </w:r>
      <w:r>
        <w:rPr>
          <w:rFonts w:ascii="宋体" w:eastAsia="宋体" w:hAnsi="宋体" w:cs="宋体" w:hint="eastAsia"/>
          <w:color w:val="000000" w:themeColor="text1"/>
          <w:sz w:val="28"/>
          <w:szCs w:val="28"/>
          <w:lang w:val="en-US" w:eastAsia="zh-CN"/>
          <w14:textFill>
            <w14:solidFill>
              <w14:schemeClr w14:val="tx1"/>
            </w14:solidFill>
          </w14:textFill>
        </w:rPr>
        <w:t xml:space="preserve">.3乙方选取银行保函、担保公司的保证担保或保险公司的保证保险等形式的向采购人缴纳，如保函（担保、保险等）的约定期到期但乙方履约仍未结束的，乙方须进行续保。</w:t>
      </w:r>
    </w:p>
    <w:p>
      <w:pPr>
        <w:adjustRightInd w:val="0"/>
        <w:snapToGrid w:val="0"/>
        <w:spacing w:line="440" w:lineRule="exact"/>
        <w:rPr>
          <w:rFonts w:ascii="宋体" w:eastAsia="宋体" w:hAnsi="宋体" w:cs="宋体" w:hint="eastAsia"/>
          <w:color w:val="000000" w:themeColor="text1"/>
          <w:sz w:val="28"/>
          <w:szCs w:val="28"/>
          <w:lang w:val="en-US" w:eastAsia="zh-CN"/>
          <w14:textFill>
            <w14:solidFill>
              <w14:schemeClr w14:val="tx1"/>
            </w14:solidFill>
          </w14:textFill>
        </w:rPr>
      </w:pPr>
      <w:r>
        <w:rPr>
          <w:rFonts w:ascii="宋体" w:eastAsia="宋体" w:hAnsi="宋体" w:cs="宋体" w:hint="eastAsia"/>
          <w:color w:val="000000" w:themeColor="text1"/>
          <w:sz w:val="28"/>
          <w:szCs w:val="28"/>
          <w:lang w:val="en-US" w:eastAsia="zh-CN"/>
          <w14:textFill>
            <w14:solidFill>
              <w14:schemeClr w14:val="tx1"/>
            </w14:solidFill>
          </w14:textFill>
        </w:rPr>
        <w:t xml:space="preserve">3</w:t>
      </w:r>
      <w:r>
        <w:rPr>
          <w:rFonts w:ascii="宋体" w:hAnsi="宋体" w:cs="宋体" w:hint="eastAsia"/>
          <w:color w:val="000000" w:themeColor="text1"/>
          <w:sz w:val="28"/>
          <w:szCs w:val="28"/>
          <w:lang w:val="en-US" w:eastAsia="zh-CN"/>
          <w14:textFill>
            <w14:solidFill>
              <w14:schemeClr w14:val="tx1"/>
            </w14:solidFill>
          </w14:textFill>
        </w:rPr>
        <w:t xml:space="preserve">5</w:t>
      </w:r>
      <w:r>
        <w:rPr>
          <w:rFonts w:ascii="宋体" w:eastAsia="宋体" w:hAnsi="宋体" w:cs="宋体" w:hint="eastAsia"/>
          <w:color w:val="000000" w:themeColor="text1"/>
          <w:sz w:val="28"/>
          <w:szCs w:val="28"/>
          <w:lang w:val="en-US" w:eastAsia="zh-CN"/>
          <w14:textFill>
            <w14:solidFill>
              <w14:schemeClr w14:val="tx1"/>
            </w14:solidFill>
          </w14:textFill>
        </w:rPr>
        <w:t xml:space="preserve">.4如乙方未能履行合同规定的义务，甲方有权从履约保证金中取得补偿。</w:t>
      </w:r>
    </w:p>
    <w:p>
      <w:pPr>
        <w:adjustRightInd w:val="0"/>
        <w:snapToGrid w:val="0"/>
        <w:spacing w:line="440" w:lineRule="exact"/>
        <w:rPr>
          <w:rFonts w:ascii="宋体" w:eastAsia="宋体" w:hAnsi="宋体" w:cs="宋体" w:hint="default"/>
          <w:color w:val="000000" w:themeColor="text1"/>
          <w:sz w:val="28"/>
          <w:szCs w:val="28"/>
          <w:lang w:val="en-US" w:eastAsia="zh-CN"/>
          <w14:textFill>
            <w14:solidFill>
              <w14:schemeClr w14:val="tx1"/>
            </w14:solidFill>
          </w14:textFill>
        </w:rPr>
      </w:pPr>
      <w:r>
        <w:rPr>
          <w:rFonts w:ascii="宋体" w:eastAsia="宋体" w:hAnsi="宋体" w:cs="宋体" w:hint="eastAsia"/>
          <w:color w:val="000000" w:themeColor="text1"/>
          <w:sz w:val="28"/>
          <w:szCs w:val="28"/>
          <w:lang w:val="en-US" w:eastAsia="zh-CN"/>
          <w14:textFill>
            <w14:solidFill>
              <w14:schemeClr w14:val="tx1"/>
            </w14:solidFill>
          </w14:textFill>
        </w:rPr>
        <w:t xml:space="preserve">3</w:t>
      </w:r>
      <w:r>
        <w:rPr>
          <w:rFonts w:ascii="宋体" w:hAnsi="宋体" w:cs="宋体" w:hint="eastAsia"/>
          <w:color w:val="000000" w:themeColor="text1"/>
          <w:sz w:val="28"/>
          <w:szCs w:val="28"/>
          <w:lang w:val="en-US" w:eastAsia="zh-CN"/>
          <w14:textFill>
            <w14:solidFill>
              <w14:schemeClr w14:val="tx1"/>
            </w14:solidFill>
          </w14:textFill>
        </w:rPr>
        <w:t xml:space="preserve">5</w:t>
      </w:r>
      <w:r>
        <w:rPr>
          <w:rFonts w:ascii="宋体" w:eastAsia="宋体" w:hAnsi="宋体" w:cs="宋体" w:hint="eastAsia"/>
          <w:color w:val="000000" w:themeColor="text1"/>
          <w:sz w:val="28"/>
          <w:szCs w:val="28"/>
          <w:lang w:val="en-US" w:eastAsia="zh-CN"/>
          <w14:textFill>
            <w14:solidFill>
              <w14:schemeClr w14:val="tx1"/>
            </w14:solidFill>
          </w14:textFill>
        </w:rPr>
        <w:t xml:space="preserve">.5履约保证金在合同约定期间内应完全有效，约定期届满之日起5个工作日内，甲方应将人民币形式的履约保证金退还乙方，逾期退还的，按中国人民银行同期贷款基利率上浮20%后的利率支付超期资金占用费，但因乙方自身原因导致无法及时退还的除外。</w:t>
      </w:r>
    </w:p>
    <w:p>
      <w:pPr>
        <w:adjustRightInd w:val="0"/>
        <w:snapToGrid w:val="0"/>
        <w:spacing w:line="440" w:lineRule="exact"/>
        <w:rPr>
          <w:rFonts w:ascii="宋体" w:eastAsia="宋体" w:hAnsi="宋体" w:cs="宋体" w:hint="eastAsia"/>
          <w:color w:val="000000" w:themeColor="text1"/>
          <w:sz w:val="28"/>
          <w:szCs w:val="28"/>
          <w:lang w:val="en-US" w:eastAsia="zh-CN"/>
          <w14:textFill>
            <w14:solidFill>
              <w14:schemeClr w14:val="tx1"/>
            </w14:solidFill>
          </w14:textFill>
        </w:rPr>
      </w:pPr>
      <w:r>
        <w:rPr>
          <w:rFonts w:ascii="宋体" w:eastAsia="宋体" w:hAnsi="宋体" w:cs="宋体" w:hint="eastAsia"/>
          <w:color w:val="000000" w:themeColor="text1"/>
          <w:sz w:val="28"/>
          <w:szCs w:val="28"/>
          <w:lang w:val="en-US" w:eastAsia="zh-CN"/>
          <w14:textFill>
            <w14:solidFill>
              <w14:schemeClr w14:val="tx1"/>
            </w14:solidFill>
          </w14:textFill>
        </w:rPr>
        <w:t xml:space="preserve">3</w:t>
      </w:r>
      <w:r>
        <w:rPr>
          <w:rFonts w:ascii="宋体" w:hAnsi="宋体" w:cs="宋体" w:hint="eastAsia"/>
          <w:color w:val="000000" w:themeColor="text1"/>
          <w:sz w:val="28"/>
          <w:szCs w:val="28"/>
          <w:lang w:val="en-US" w:eastAsia="zh-CN"/>
          <w14:textFill>
            <w14:solidFill>
              <w14:schemeClr w14:val="tx1"/>
            </w14:solidFill>
          </w14:textFill>
        </w:rPr>
        <w:t xml:space="preserve">5</w:t>
      </w:r>
      <w:r>
        <w:rPr>
          <w:rFonts w:ascii="宋体" w:eastAsia="宋体" w:hAnsi="宋体" w:cs="宋体" w:hint="eastAsia"/>
          <w:color w:val="000000" w:themeColor="text1"/>
          <w:sz w:val="28"/>
          <w:szCs w:val="28"/>
          <w:lang w:val="en-US" w:eastAsia="zh-CN"/>
          <w14:textFill>
            <w14:solidFill>
              <w14:schemeClr w14:val="tx1"/>
            </w14:solidFill>
          </w14:textFill>
        </w:rPr>
        <w:t xml:space="preserve">.6履约保证金在项目成果验收合格后退还。成交供应商凭采购人签署的同意退还履约保证金的证明，办理履约保证金退还手续。</w:t>
      </w:r>
    </w:p>
    <w:p>
      <w:pPr>
        <w:adjustRightInd w:val="0"/>
        <w:snapToGrid w:val="0"/>
        <w:spacing w:line="440" w:lineRule="exact"/>
        <w:rPr>
          <w:rFonts w:ascii="宋体" w:eastAsia="宋体" w:hAnsi="宋体" w:cs="宋体" w:hint="eastAsia"/>
          <w:color w:val="000000" w:themeColor="text1"/>
          <w:sz w:val="28"/>
          <w:szCs w:val="28"/>
          <w14:textFill>
            <w14:solidFill>
              <w14:schemeClr w14:val="tx1"/>
            </w14:solidFill>
          </w14:textFill>
        </w:rPr>
      </w:pPr>
      <w:r>
        <w:rPr>
          <w:rFonts w:ascii="宋体" w:eastAsia="宋体" w:hAnsi="宋体" w:cs="宋体" w:hint="eastAsia"/>
          <w:color w:val="000000" w:themeColor="text1"/>
          <w:sz w:val="28"/>
          <w:szCs w:val="28"/>
          <w:lang w:val="en-US" w:eastAsia="zh-CN"/>
          <w14:textFill>
            <w14:solidFill>
              <w14:schemeClr w14:val="tx1"/>
            </w14:solidFill>
          </w14:textFill>
        </w:rPr>
        <w:t xml:space="preserve">3</w:t>
      </w:r>
      <w:r>
        <w:rPr>
          <w:rFonts w:ascii="宋体" w:hAnsi="宋体" w:cs="宋体" w:hint="eastAsia"/>
          <w:color w:val="000000" w:themeColor="text1"/>
          <w:sz w:val="28"/>
          <w:szCs w:val="28"/>
          <w:lang w:val="en-US" w:eastAsia="zh-CN"/>
          <w14:textFill>
            <w14:solidFill>
              <w14:schemeClr w14:val="tx1"/>
            </w14:solidFill>
          </w14:textFill>
        </w:rPr>
        <w:t xml:space="preserve">5</w:t>
      </w:r>
      <w:r>
        <w:rPr>
          <w:rFonts w:ascii="宋体" w:eastAsia="宋体" w:hAnsi="宋体" w:cs="宋体" w:hint="eastAsia"/>
          <w:color w:val="000000" w:themeColor="text1"/>
          <w:sz w:val="28"/>
          <w:szCs w:val="28"/>
          <w14:textFill>
            <w14:solidFill>
              <w14:schemeClr w14:val="tx1"/>
            </w14:solidFill>
          </w14:textFill>
        </w:rPr>
        <w:t xml:space="preserve">.</w:t>
      </w:r>
      <w:r>
        <w:rPr>
          <w:rFonts w:ascii="宋体" w:eastAsia="宋体" w:hAnsi="宋体" w:cs="宋体" w:hint="eastAsia"/>
          <w:color w:val="000000" w:themeColor="text1"/>
          <w:sz w:val="28"/>
          <w:szCs w:val="28"/>
          <w:lang w:val="en-US" w:eastAsia="zh-CN"/>
          <w14:textFill>
            <w14:solidFill>
              <w14:schemeClr w14:val="tx1"/>
            </w14:solidFill>
          </w14:textFill>
        </w:rPr>
        <w:t xml:space="preserve">7</w:t>
      </w:r>
      <w:r>
        <w:rPr>
          <w:rFonts w:ascii="宋体" w:eastAsia="宋体" w:hAnsi="宋体" w:cs="宋体" w:hint="eastAsia"/>
          <w:color w:val="000000" w:themeColor="text1"/>
          <w:sz w:val="28"/>
          <w:szCs w:val="28"/>
          <w14:textFill>
            <w14:solidFill>
              <w14:schemeClr w14:val="tx1"/>
            </w14:solidFill>
          </w14:textFill>
        </w:rPr>
        <w:t xml:space="preserve">如果成交供应商没有按照25条或26条的规定去做，</w:t>
      </w:r>
      <w:r>
        <w:rPr>
          <w:rFonts w:ascii="宋体" w:eastAsia="宋体" w:hAnsi="宋体" w:cs="宋体" w:hint="eastAsia"/>
          <w:color w:val="000000" w:themeColor="text1"/>
          <w:sz w:val="28"/>
          <w:szCs w:val="28"/>
          <w:lang w:eastAsia="zh-CN"/>
          <w14:textFill>
            <w14:solidFill>
              <w14:schemeClr w14:val="tx1"/>
            </w14:solidFill>
          </w14:textFill>
        </w:rPr>
        <w:t xml:space="preserve">或可按照规定，</w:t>
      </w:r>
      <w:r>
        <w:rPr>
          <w:rFonts w:ascii="宋体" w:eastAsia="宋体" w:hAnsi="宋体" w:cs="宋体" w:hint="eastAsia"/>
          <w:color w:val="000000" w:themeColor="text1"/>
          <w:sz w:val="28"/>
          <w:szCs w:val="28"/>
          <w14:textFill>
            <w14:solidFill>
              <w14:schemeClr w14:val="tx1"/>
            </w14:solidFill>
          </w14:textFill>
        </w:rPr>
        <w:t xml:space="preserve">取消其成交资格，在此情况下采购人可将标授予下一个成交候选供应商，或重新采购。</w:t>
      </w:r>
    </w:p>
    <w:p>
      <w:pPr>
        <w:spacing w:line="400" w:lineRule="exact"/>
        <w:ind w:firstLine="480" w:firstLineChars="200"/>
        <w:rPr>
          <w:rFonts w:ascii="宋体" w:hAnsi="宋体" w:cs="宋体"/>
          <w:b/>
          <w:sz w:val="24"/>
        </w:rPr>
      </w:pPr>
      <w:r>
        <w:rPr>
          <w:rFonts w:ascii="宋体" w:hAnsi="宋体" w:cs="宋体" w:hint="eastAsia"/>
          <w:b/>
          <w:sz w:val="24"/>
        </w:rPr>
        <w:t xml:space="preserve">3</w:t>
      </w:r>
      <w:r>
        <w:rPr>
          <w:rFonts w:ascii="宋体" w:hAnsi="宋体" w:cs="宋体" w:hint="eastAsia"/>
          <w:b/>
          <w:sz w:val="24"/>
          <w:lang w:val="en-US" w:eastAsia="zh-CN"/>
        </w:rPr>
        <w:t xml:space="preserve">6</w:t>
      </w:r>
      <w:r>
        <w:rPr>
          <w:rFonts w:ascii="宋体" w:hAnsi="宋体" w:cs="宋体" w:hint="eastAsia"/>
          <w:b/>
          <w:sz w:val="24"/>
        </w:rPr>
        <w:t xml:space="preserve">、质疑处理</w:t>
      </w:r>
    </w:p>
    <w:p>
      <w:pPr>
        <w:spacing w:line="400" w:lineRule="exact"/>
        <w:ind w:firstLine="480" w:firstLineChars="200"/>
        <w:rPr>
          <w:rFonts w:ascii="宋体" w:hAnsi="宋体" w:cs="宋体"/>
          <w:sz w:val="24"/>
        </w:rPr>
      </w:pPr>
      <w:r>
        <w:rPr>
          <w:rFonts w:ascii="宋体" w:hAnsi="宋体" w:cs="宋体" w:hint="eastAsia"/>
          <w:sz w:val="24"/>
        </w:rPr>
        <w:t xml:space="preserve">3</w:t>
      </w:r>
      <w:r>
        <w:rPr>
          <w:rFonts w:ascii="宋体" w:hAnsi="宋体" w:cs="宋体" w:hint="eastAsia"/>
          <w:sz w:val="24"/>
          <w:lang w:val="en-US" w:eastAsia="zh-CN"/>
        </w:rPr>
        <w:t xml:space="preserve">6</w:t>
      </w:r>
      <w:r>
        <w:rPr>
          <w:rFonts w:ascii="宋体" w:hAnsi="宋体" w:cs="宋体" w:hint="eastAsia"/>
          <w:sz w:val="24"/>
        </w:rPr>
        <w:t xml:space="preserve">.1供应商认为采购文件、采购过程和中标结果使自己的权益受到损害的，可以在知道或者应知其权益受到损害之日起七个工作日内，以书面形式向采购人（采购代理机构）提出质疑。非书面形式、七个工作日之外以及匿名的质疑将不予受理。 </w:t>
      </w:r>
    </w:p>
    <w:p>
      <w:pPr>
        <w:spacing w:line="400" w:lineRule="exact"/>
        <w:ind w:firstLine="480" w:firstLineChars="200"/>
        <w:rPr>
          <w:rFonts w:ascii="宋体" w:hAnsi="宋体" w:cs="宋体"/>
          <w:sz w:val="24"/>
        </w:rPr>
      </w:pPr>
      <w:r>
        <w:rPr>
          <w:rFonts w:ascii="宋体" w:hAnsi="宋体" w:cs="宋体" w:hint="eastAsia"/>
          <w:sz w:val="24"/>
        </w:rPr>
        <w:t xml:space="preserve">3</w:t>
      </w:r>
      <w:r>
        <w:rPr>
          <w:rFonts w:ascii="宋体" w:hAnsi="宋体" w:cs="宋体" w:hint="eastAsia"/>
          <w:sz w:val="24"/>
          <w:lang w:val="en-US" w:eastAsia="zh-CN"/>
        </w:rPr>
        <w:t xml:space="preserve">6</w:t>
      </w:r>
      <w:r>
        <w:rPr>
          <w:rFonts w:ascii="宋体" w:hAnsi="宋体" w:cs="宋体" w:hint="eastAsia"/>
          <w:sz w:val="24"/>
        </w:rPr>
        <w:t xml:space="preserve">.2</w:t>
      </w:r>
      <w:r>
        <w:rPr>
          <w:rFonts w:ascii="宋体" w:hAnsi="宋体" w:cs="宋体" w:hint="eastAsia"/>
          <w:sz w:val="24"/>
          <w:lang w:val="zh-CN"/>
        </w:rPr>
        <w:t xml:space="preserve">质疑</w:t>
      </w:r>
      <w:r>
        <w:rPr>
          <w:rFonts w:ascii="宋体" w:hAnsi="宋体" w:cs="宋体" w:hint="eastAsia"/>
          <w:sz w:val="24"/>
        </w:rPr>
        <w:t xml:space="preserve">供应商是指直接参加本项目采购活动的供应商；对采购文件提出质疑的，应自采购文件公告期满之日起计算，且应当在投标截止之日前提出；对采购过程提出质疑的，自采购程序环节结束之日起计算；对中标结果提出质疑的，自中标结果公告之日起计算。</w:t>
      </w:r>
    </w:p>
    <w:p>
      <w:pPr>
        <w:spacing w:line="400" w:lineRule="exact"/>
        <w:ind w:firstLine="480" w:firstLineChars="200"/>
        <w:rPr>
          <w:rFonts w:ascii="宋体" w:hAnsi="宋体" w:cs="宋体"/>
          <w:sz w:val="24"/>
        </w:rPr>
      </w:pPr>
      <w:r>
        <w:rPr>
          <w:rFonts w:ascii="宋体" w:hAnsi="宋体" w:cs="宋体" w:hint="eastAsia"/>
          <w:sz w:val="24"/>
        </w:rPr>
        <w:t xml:space="preserve">3</w:t>
      </w:r>
      <w:r>
        <w:rPr>
          <w:rFonts w:ascii="宋体" w:hAnsi="宋体" w:cs="宋体" w:hint="eastAsia"/>
          <w:sz w:val="24"/>
          <w:lang w:val="en-US" w:eastAsia="zh-CN"/>
        </w:rPr>
        <w:t xml:space="preserve">6</w:t>
      </w:r>
      <w:r>
        <w:rPr>
          <w:rFonts w:ascii="宋体" w:hAnsi="宋体" w:cs="宋体" w:hint="eastAsia"/>
          <w:sz w:val="24"/>
        </w:rPr>
        <w:t xml:space="preserve">.3供应商提出书面质疑必须有理、有据，不得恶意质疑或提交虚假质疑。否则，一经查实，采购人（采购代理机构）有权依据政府采购的有关规定，报请政府采购监管部门对该投标人列入失信行为或不良行为记录名单，进行相应的行政处罚。 </w:t>
      </w:r>
    </w:p>
    <w:p>
      <w:pPr>
        <w:spacing w:line="400" w:lineRule="exact"/>
        <w:ind w:firstLine="480" w:firstLineChars="200"/>
        <w:rPr>
          <w:rFonts w:ascii="宋体" w:hAnsi="宋体" w:cs="宋体"/>
          <w:sz w:val="24"/>
        </w:rPr>
      </w:pPr>
      <w:r>
        <w:rPr>
          <w:rFonts w:ascii="宋体" w:hAnsi="宋体" w:cs="宋体" w:hint="eastAsia"/>
          <w:sz w:val="24"/>
        </w:rPr>
        <w:t xml:space="preserve">3</w:t>
      </w:r>
      <w:r>
        <w:rPr>
          <w:rFonts w:ascii="宋体" w:hAnsi="宋体" w:cs="宋体" w:hint="eastAsia"/>
          <w:sz w:val="24"/>
          <w:lang w:val="en-US" w:eastAsia="zh-CN"/>
        </w:rPr>
        <w:t xml:space="preserve">6</w:t>
      </w:r>
      <w:r>
        <w:rPr>
          <w:rFonts w:ascii="宋体" w:hAnsi="宋体" w:cs="宋体" w:hint="eastAsia"/>
          <w:sz w:val="24"/>
        </w:rPr>
        <w:t xml:space="preserve">.4质疑必须由供应商的法定代表人或授权代表[投标文件中所确定的，如递交质疑者不是投标文件中确定的授权代表，须由供应商另行出具授权（授权中必须载明具体权限和事项）]以送达或邮寄的方式提交，未按上述要求提交的质疑函（含传真、电子邮件等）采购人（采购代理机构）有权不予受理。 </w:t>
      </w:r>
    </w:p>
    <w:p>
      <w:pPr>
        <w:spacing w:line="400" w:lineRule="exact"/>
        <w:ind w:firstLine="480" w:firstLineChars="200"/>
        <w:rPr>
          <w:rFonts w:ascii="宋体" w:hAnsi="宋体" w:cs="宋体"/>
          <w:sz w:val="24"/>
        </w:rPr>
      </w:pPr>
      <w:r>
        <w:rPr>
          <w:rFonts w:ascii="宋体" w:hAnsi="宋体" w:cs="宋体" w:hint="eastAsia"/>
          <w:sz w:val="24"/>
        </w:rPr>
        <w:t xml:space="preserve">3</w:t>
      </w:r>
      <w:r>
        <w:rPr>
          <w:rFonts w:ascii="宋体" w:hAnsi="宋体" w:cs="宋体" w:hint="eastAsia"/>
          <w:sz w:val="24"/>
          <w:lang w:val="en-US" w:eastAsia="zh-CN"/>
        </w:rPr>
        <w:t xml:space="preserve">6</w:t>
      </w:r>
      <w:r>
        <w:rPr>
          <w:rFonts w:ascii="宋体" w:hAnsi="宋体" w:cs="宋体" w:hint="eastAsia"/>
          <w:sz w:val="24"/>
        </w:rPr>
        <w:t xml:space="preserve">.5质疑函应当包括以下主要内容，</w:t>
      </w:r>
      <w:r>
        <w:rPr>
          <w:rFonts w:ascii="宋体" w:hAnsi="宋体" w:cs="宋体" w:hint="eastAsia"/>
          <w:sz w:val="24"/>
          <w:lang w:val="zh-CN"/>
        </w:rPr>
        <w:t xml:space="preserve">并</w:t>
      </w:r>
      <w:r>
        <w:rPr>
          <w:rFonts w:ascii="宋体" w:hAnsi="宋体" w:cs="宋体" w:hint="eastAsia"/>
          <w:sz w:val="24"/>
        </w:rPr>
        <w:t xml:space="preserve">按照“谁主张、谁举证”的原则，附上相关证明材料。否则，采购人（采购代理机构）不予受理。</w:t>
      </w:r>
    </w:p>
    <w:p>
      <w:pPr>
        <w:spacing w:line="400" w:lineRule="exact"/>
        <w:ind w:firstLine="480" w:firstLineChars="200"/>
        <w:rPr>
          <w:rFonts w:ascii="宋体" w:hAnsi="宋体" w:cs="宋体"/>
          <w:sz w:val="24"/>
        </w:rPr>
      </w:pPr>
      <w:r>
        <w:rPr>
          <w:rFonts w:ascii="宋体" w:hAnsi="宋体" w:cs="宋体" w:hint="eastAsia"/>
          <w:sz w:val="24"/>
        </w:rPr>
        <w:t xml:space="preserve">（1）质疑投标人的名称、地址、邮编、联系人、联系电话（包括座机、手机、传真号码等）； </w:t>
      </w:r>
    </w:p>
    <w:p>
      <w:pPr>
        <w:spacing w:line="400" w:lineRule="exact"/>
        <w:ind w:firstLine="480" w:firstLineChars="200"/>
        <w:rPr>
          <w:rFonts w:ascii="宋体" w:hAnsi="宋体" w:cs="宋体"/>
          <w:sz w:val="24"/>
        </w:rPr>
      </w:pPr>
      <w:r>
        <w:rPr>
          <w:rFonts w:ascii="宋体" w:hAnsi="宋体" w:cs="宋体" w:hint="eastAsia"/>
          <w:sz w:val="24"/>
        </w:rPr>
        <w:t xml:space="preserve">（2）具体的质疑事项及事实根据（具体条款）； </w:t>
      </w:r>
    </w:p>
    <w:p>
      <w:pPr>
        <w:spacing w:line="400" w:lineRule="exact"/>
        <w:ind w:firstLine="480" w:firstLineChars="200"/>
        <w:rPr>
          <w:rFonts w:ascii="宋体" w:hAnsi="宋体" w:cs="宋体"/>
          <w:sz w:val="24"/>
        </w:rPr>
      </w:pPr>
      <w:r>
        <w:rPr>
          <w:rFonts w:ascii="宋体" w:hAnsi="宋体" w:cs="宋体" w:hint="eastAsia"/>
          <w:sz w:val="24"/>
        </w:rPr>
        <w:t xml:space="preserve">（3）认为自己合法权益受到损害或可能受到损害的相关证据材料。质疑相关证明材料中如涉及到产品功能或技术指标的，应出具相关制造商的证明文件（友情提示:供应商全部产品线中没有满足技术需求要求的产品才可以对招标产品提出质疑，并提出修改理由和修改建议）； </w:t>
      </w:r>
    </w:p>
    <w:p>
      <w:pPr>
        <w:spacing w:line="400" w:lineRule="exact"/>
        <w:ind w:firstLine="480" w:firstLineChars="200"/>
        <w:rPr>
          <w:rFonts w:ascii="宋体" w:hAnsi="宋体" w:cs="宋体"/>
          <w:sz w:val="24"/>
        </w:rPr>
      </w:pPr>
      <w:r>
        <w:rPr>
          <w:rFonts w:ascii="宋体" w:hAnsi="宋体" w:cs="宋体" w:hint="eastAsia"/>
          <w:sz w:val="24"/>
        </w:rPr>
        <w:t xml:space="preserve">（4）提起质疑的日期； </w:t>
      </w:r>
    </w:p>
    <w:p>
      <w:pPr>
        <w:spacing w:line="400" w:lineRule="exact"/>
        <w:ind w:firstLine="480" w:firstLineChars="200"/>
        <w:rPr>
          <w:rFonts w:ascii="宋体" w:hAnsi="宋体" w:cs="宋体"/>
          <w:sz w:val="24"/>
        </w:rPr>
      </w:pPr>
      <w:r>
        <w:rPr>
          <w:rFonts w:ascii="宋体" w:hAnsi="宋体" w:cs="宋体" w:hint="eastAsia"/>
          <w:sz w:val="24"/>
        </w:rPr>
        <w:t xml:space="preserve">（5）质疑函应当署名:应当由法定代表人签字并加盖单位公章。 </w:t>
      </w:r>
    </w:p>
    <w:p>
      <w:pPr>
        <w:spacing w:line="400" w:lineRule="exact"/>
        <w:ind w:firstLine="480" w:firstLineChars="200"/>
        <w:rPr>
          <w:rFonts w:ascii="宋体" w:hAnsi="宋体" w:cs="宋体"/>
          <w:sz w:val="24"/>
        </w:rPr>
      </w:pPr>
      <w:r>
        <w:rPr>
          <w:rFonts w:ascii="宋体" w:hAnsi="宋体" w:cs="宋体" w:hint="eastAsia"/>
          <w:sz w:val="24"/>
        </w:rPr>
        <w:t xml:space="preserve">3</w:t>
      </w:r>
      <w:r>
        <w:rPr>
          <w:rFonts w:ascii="宋体" w:hAnsi="宋体" w:cs="宋体" w:hint="eastAsia"/>
          <w:sz w:val="24"/>
          <w:lang w:val="en-US" w:eastAsia="zh-CN"/>
        </w:rPr>
        <w:t xml:space="preserve">6</w:t>
      </w:r>
      <w:r>
        <w:rPr>
          <w:rFonts w:ascii="宋体" w:hAnsi="宋体" w:cs="宋体" w:hint="eastAsia"/>
          <w:sz w:val="24"/>
        </w:rPr>
        <w:t xml:space="preserve">.6采购人（采购代理机构）收到质疑函后，将对质疑的形式和内容进行审查，如质疑函内容、格式不符合规定，采购人（采购代理机构）将告知质疑人进行补正。 </w:t>
      </w:r>
    </w:p>
    <w:p>
      <w:pPr>
        <w:spacing w:line="400" w:lineRule="exact"/>
        <w:ind w:firstLine="480" w:firstLineChars="200"/>
        <w:rPr>
          <w:rFonts w:ascii="宋体" w:hAnsi="宋体" w:cs="宋体"/>
          <w:sz w:val="24"/>
        </w:rPr>
      </w:pPr>
      <w:r>
        <w:rPr>
          <w:rFonts w:ascii="宋体" w:hAnsi="宋体" w:cs="宋体" w:hint="eastAsia"/>
          <w:sz w:val="24"/>
        </w:rPr>
        <w:t xml:space="preserve">质疑人应当在法定质疑期限内进行补正并重新提交质疑函，拒不补正或者超过法定期限后未重新提交质疑函的，为无效质疑，采购人（采购代理机构）有权不予受理。 </w:t>
      </w:r>
    </w:p>
    <w:p>
      <w:pPr>
        <w:spacing w:line="400" w:lineRule="exact"/>
        <w:ind w:firstLine="480" w:firstLineChars="200"/>
        <w:rPr>
          <w:rFonts w:ascii="宋体" w:hAnsi="宋体" w:cs="宋体"/>
        </w:rPr>
      </w:pPr>
      <w:r>
        <w:rPr>
          <w:rFonts w:ascii="宋体" w:hAnsi="宋体" w:cs="宋体" w:hint="eastAsia"/>
          <w:sz w:val="24"/>
        </w:rPr>
        <w:t xml:space="preserve">3</w:t>
      </w:r>
      <w:r>
        <w:rPr>
          <w:rFonts w:ascii="宋体" w:hAnsi="宋体" w:cs="宋体" w:hint="eastAsia"/>
          <w:sz w:val="24"/>
          <w:lang w:val="en-US" w:eastAsia="zh-CN"/>
        </w:rPr>
        <w:t xml:space="preserve">6</w:t>
      </w:r>
      <w:r>
        <w:rPr>
          <w:rFonts w:ascii="宋体" w:hAnsi="宋体" w:cs="宋体" w:hint="eastAsia"/>
          <w:sz w:val="24"/>
        </w:rPr>
        <w:t xml:space="preserve">.7对于内容、格式符合规定的质疑函，采购人（采购代理机构）将在五个工作日内以书面形式作出答复。产生调查论证费用的，遵循“谁过错谁负担”的原则，有过错的一方承担调查论证费用。</w:t>
      </w:r>
    </w:p>
    <w:p>
      <w:pPr>
        <w:ind w:left="239" w:firstLine="240" w:leftChars="114" w:firstLineChars="100"/>
        <w:rPr>
          <w:rFonts w:ascii="宋体" w:hAnsi="宋体" w:cs="宋体"/>
          <w:b/>
          <w:bCs/>
          <w:sz w:val="24"/>
        </w:rPr>
      </w:pPr>
      <w:r>
        <w:rPr>
          <w:rFonts w:ascii="宋体" w:hAnsi="宋体" w:cs="宋体" w:hint="eastAsia"/>
          <w:b/>
          <w:bCs/>
          <w:sz w:val="24"/>
        </w:rPr>
        <w:t xml:space="preserve">3</w:t>
      </w:r>
      <w:r>
        <w:rPr>
          <w:rFonts w:ascii="宋体" w:hAnsi="宋体" w:cs="宋体" w:hint="eastAsia"/>
          <w:b/>
          <w:bCs/>
          <w:sz w:val="24"/>
          <w:lang w:val="en-US" w:eastAsia="zh-CN"/>
        </w:rPr>
        <w:t xml:space="preserve">7</w:t>
      </w:r>
      <w:r>
        <w:rPr>
          <w:rFonts w:ascii="宋体" w:hAnsi="宋体" w:cs="宋体" w:hint="eastAsia"/>
          <w:b/>
          <w:bCs/>
          <w:sz w:val="24"/>
        </w:rPr>
        <w:t xml:space="preserve">.“全流程不见面交易采购”注意事项</w:t>
      </w:r>
    </w:p>
    <w:p>
      <w:pPr>
        <w:spacing w:line="400" w:lineRule="exact"/>
        <w:ind w:firstLine="480" w:firstLineChars="200"/>
        <w:rPr>
          <w:rFonts w:ascii="宋体" w:hAnsi="宋体" w:cs="宋体"/>
          <w:color w:val="FF0000"/>
          <w:sz w:val="24"/>
        </w:rPr>
      </w:pPr>
      <w:r>
        <w:rPr>
          <w:rFonts w:ascii="宋体" w:hAnsi="宋体" w:cs="宋体" w:hint="eastAsia"/>
          <w:color w:val="FF0000"/>
          <w:sz w:val="24"/>
        </w:rPr>
        <w:t xml:space="preserve">本项目采用“全流程不见面交易”模式，通过不见面交易系统及相应的配套硬件设备（摄像头、话筒、麦克风等）完成远程解密、公布报价、澄清等交互环节。相关要求和说明如下:</w:t>
      </w:r>
    </w:p>
    <w:p>
      <w:pPr>
        <w:spacing w:line="400" w:lineRule="exact"/>
        <w:ind w:firstLine="480" w:firstLineChars="200"/>
        <w:rPr>
          <w:rFonts w:ascii="宋体" w:hAnsi="宋体" w:cs="宋体"/>
          <w:color w:val="FF0000"/>
          <w:sz w:val="24"/>
        </w:rPr>
      </w:pPr>
      <w:r>
        <w:rPr>
          <w:rFonts w:ascii="宋体" w:hAnsi="宋体" w:cs="宋体"/>
          <w:color w:val="FF0000"/>
          <w:sz w:val="24"/>
        </w:rPr>
        <w:t xml:space="preserve">特别提醒：开标前未进行签到的投标人，将无法对其投标文件进行解密，系统内其已递交的投标文件将被退回，请各投标人及时进行签到。</w:t>
      </w:r>
    </w:p>
    <w:p>
      <w:pPr>
        <w:spacing w:line="400" w:lineRule="exact"/>
        <w:ind w:firstLine="480" w:firstLineChars="200"/>
        <w:rPr>
          <w:rFonts w:ascii="宋体" w:hAnsi="宋体" w:cs="宋体"/>
          <w:sz w:val="24"/>
        </w:rPr>
      </w:pPr>
      <w:r>
        <w:rPr>
          <w:rFonts w:ascii="宋体" w:hAnsi="宋体" w:cs="宋体"/>
          <w:sz w:val="24"/>
        </w:rPr>
        <w:t xml:space="preserve">3</w:t>
      </w:r>
      <w:r>
        <w:rPr>
          <w:rFonts w:ascii="宋体" w:hAnsi="宋体" w:cs="宋体" w:hint="eastAsia"/>
          <w:sz w:val="24"/>
          <w:lang w:val="en-US" w:eastAsia="zh-CN"/>
        </w:rPr>
        <w:t xml:space="preserve">7</w:t>
      </w:r>
      <w:r>
        <w:rPr>
          <w:rFonts w:ascii="宋体" w:hAnsi="宋体" w:cs="宋体"/>
          <w:sz w:val="24"/>
        </w:rPr>
        <w:t xml:space="preserve">.</w:t>
      </w:r>
      <w:r>
        <w:rPr>
          <w:rFonts w:ascii="宋体" w:hAnsi="宋体" w:cs="宋体" w:hint="eastAsia"/>
          <w:sz w:val="24"/>
        </w:rPr>
        <w:t xml:space="preserve">1由于淮安市政府采购“全流程不见面交易系统”自身原因导致项目不能正常进行的，项目作废标处理。</w:t>
      </w:r>
    </w:p>
    <w:p>
      <w:pPr>
        <w:spacing w:line="400" w:lineRule="exact"/>
        <w:ind w:firstLine="480" w:firstLineChars="200"/>
        <w:rPr>
          <w:rFonts w:ascii="宋体" w:hAnsi="宋体" w:cs="宋体"/>
          <w:sz w:val="24"/>
        </w:rPr>
      </w:pPr>
      <w:r>
        <w:rPr>
          <w:rFonts w:ascii="宋体" w:hAnsi="宋体" w:cs="宋体"/>
          <w:sz w:val="24"/>
        </w:rPr>
        <w:t xml:space="preserve">3</w:t>
      </w:r>
      <w:r>
        <w:rPr>
          <w:rFonts w:ascii="宋体" w:hAnsi="宋体" w:cs="宋体" w:hint="eastAsia"/>
          <w:sz w:val="24"/>
          <w:lang w:val="en-US" w:eastAsia="zh-CN"/>
        </w:rPr>
        <w:t xml:space="preserve">7</w:t>
      </w:r>
      <w:r>
        <w:rPr>
          <w:rFonts w:ascii="宋体" w:hAnsi="宋体" w:cs="宋体"/>
          <w:sz w:val="24"/>
        </w:rPr>
        <w:t xml:space="preserve">.</w:t>
      </w:r>
      <w:r>
        <w:rPr>
          <w:rFonts w:ascii="宋体" w:hAnsi="宋体" w:cs="宋体" w:hint="eastAsia"/>
          <w:sz w:val="24"/>
        </w:rPr>
        <w:t xml:space="preserve">2本项目中的时间均以国家授时中心发布的时间为准。</w:t>
      </w:r>
    </w:p>
    <w:p>
      <w:pPr>
        <w:spacing w:line="400" w:lineRule="exact"/>
        <w:ind w:firstLine="480" w:firstLineChars="200"/>
        <w:rPr>
          <w:rFonts w:ascii="宋体" w:hAnsi="宋体" w:cs="宋体"/>
          <w:sz w:val="24"/>
        </w:rPr>
      </w:pPr>
      <w:r>
        <w:rPr>
          <w:rFonts w:ascii="宋体" w:hAnsi="宋体" w:cs="宋体"/>
          <w:sz w:val="24"/>
        </w:rPr>
        <w:t xml:space="preserve">3</w:t>
      </w:r>
      <w:r>
        <w:rPr>
          <w:rFonts w:ascii="宋体" w:hAnsi="宋体" w:cs="宋体" w:hint="eastAsia"/>
          <w:sz w:val="24"/>
          <w:lang w:val="en-US" w:eastAsia="zh-CN"/>
        </w:rPr>
        <w:t xml:space="preserve">7</w:t>
      </w:r>
      <w:r>
        <w:rPr>
          <w:rFonts w:ascii="宋体" w:hAnsi="宋体" w:cs="宋体"/>
          <w:sz w:val="24"/>
        </w:rPr>
        <w:t xml:space="preserve">.</w:t>
      </w:r>
      <w:r>
        <w:rPr>
          <w:rFonts w:ascii="宋体" w:hAnsi="宋体" w:cs="宋体" w:hint="eastAsia"/>
          <w:sz w:val="24"/>
        </w:rPr>
        <w:t xml:space="preserve">3本项目的下载文件、上传投标文件均通过互联网操作，请投标人充分考虑网络拥堵及平台操作所需时间等因素。因投标人自身原因导致操作失败的，其责任自负。</w:t>
      </w:r>
    </w:p>
    <w:p>
      <w:pPr>
        <w:spacing w:line="400" w:lineRule="exact"/>
        <w:ind w:firstLine="480" w:firstLineChars="200"/>
        <w:rPr>
          <w:rFonts w:ascii="宋体" w:hAnsi="宋体" w:cs="宋体"/>
          <w:sz w:val="24"/>
        </w:rPr>
      </w:pPr>
      <w:r>
        <w:rPr>
          <w:rFonts w:ascii="宋体" w:hAnsi="宋体" w:cs="宋体"/>
          <w:sz w:val="24"/>
        </w:rPr>
        <w:t xml:space="preserve">3</w:t>
      </w:r>
      <w:r>
        <w:rPr>
          <w:rFonts w:ascii="宋体" w:hAnsi="宋体" w:cs="宋体" w:hint="eastAsia"/>
          <w:sz w:val="24"/>
          <w:lang w:val="en-US" w:eastAsia="zh-CN"/>
        </w:rPr>
        <w:t xml:space="preserve">7</w:t>
      </w:r>
      <w:r>
        <w:rPr>
          <w:rFonts w:ascii="宋体" w:hAnsi="宋体" w:cs="宋体"/>
          <w:sz w:val="24"/>
        </w:rPr>
        <w:t xml:space="preserve">.</w:t>
      </w:r>
      <w:r>
        <w:rPr>
          <w:rFonts w:ascii="宋体" w:hAnsi="宋体" w:cs="宋体" w:hint="eastAsia"/>
          <w:sz w:val="24"/>
        </w:rPr>
        <w:t xml:space="preserve">4本项目投标文件的编制使用“新点投标文件制作软件（淮安公共资源版）”。投标人投标文件的编制和上传，应按照招标文件的规定进行。如未按招标文件要求编制、上传电子投标文件，将可能作无效投标文件，其后果由投标人自负。投标人如对正确使用“投标文件制作软件”有疑问的，请与软件公司技术人员联系。</w:t>
      </w:r>
    </w:p>
    <w:p>
      <w:pPr>
        <w:spacing w:line="400" w:lineRule="exact"/>
        <w:ind w:firstLine="480" w:firstLineChars="200"/>
        <w:rPr>
          <w:rFonts w:ascii="宋体" w:hAnsi="宋体" w:cs="宋体"/>
          <w:sz w:val="24"/>
        </w:rPr>
      </w:pPr>
      <w:r>
        <w:rPr>
          <w:rFonts w:ascii="宋体" w:hAnsi="宋体" w:cs="宋体"/>
          <w:sz w:val="24"/>
        </w:rPr>
        <w:t xml:space="preserve">3</w:t>
      </w:r>
      <w:r>
        <w:rPr>
          <w:rFonts w:ascii="宋体" w:hAnsi="宋体" w:cs="宋体" w:hint="eastAsia"/>
          <w:sz w:val="24"/>
          <w:lang w:val="en-US" w:eastAsia="zh-CN"/>
        </w:rPr>
        <w:t xml:space="preserve">7</w:t>
      </w:r>
      <w:r>
        <w:rPr>
          <w:rFonts w:ascii="宋体" w:hAnsi="宋体" w:cs="宋体"/>
          <w:sz w:val="24"/>
        </w:rPr>
        <w:t xml:space="preserve">.</w:t>
      </w:r>
      <w:r>
        <w:rPr>
          <w:rFonts w:ascii="宋体" w:hAnsi="宋体" w:cs="宋体" w:hint="eastAsia"/>
          <w:sz w:val="24"/>
        </w:rPr>
        <w:t xml:space="preserve">5“全流程不见面交易”活动当日，投标人不必抵达现场，仅需在任意地点通过登录淮安市政府采购“全流程不见面交易系统” 开标大厅观看项目的活动组织。具体操作详见操作手册（可在淮安市公共资源交易网、淮安市政府采购网下载）。</w:t>
      </w:r>
    </w:p>
    <w:p>
      <w:pPr>
        <w:spacing w:line="400" w:lineRule="exact"/>
        <w:ind w:firstLine="480" w:firstLineChars="200"/>
        <w:rPr>
          <w:rFonts w:ascii="宋体" w:hAnsi="宋体" w:cs="宋体"/>
          <w:sz w:val="24"/>
        </w:rPr>
      </w:pPr>
      <w:r>
        <w:rPr>
          <w:rFonts w:ascii="宋体" w:hAnsi="宋体" w:cs="宋体"/>
          <w:sz w:val="24"/>
        </w:rPr>
        <w:t xml:space="preserve">3</w:t>
      </w:r>
      <w:r>
        <w:rPr>
          <w:rFonts w:ascii="宋体" w:hAnsi="宋体" w:cs="宋体" w:hint="eastAsia"/>
          <w:sz w:val="24"/>
          <w:lang w:val="en-US" w:eastAsia="zh-CN"/>
        </w:rPr>
        <w:t xml:space="preserve">7</w:t>
      </w:r>
      <w:r>
        <w:rPr>
          <w:rFonts w:ascii="宋体" w:hAnsi="宋体" w:cs="宋体"/>
          <w:sz w:val="24"/>
        </w:rPr>
        <w:t xml:space="preserve">.</w:t>
      </w:r>
      <w:r>
        <w:rPr>
          <w:rFonts w:ascii="宋体" w:hAnsi="宋体" w:cs="宋体" w:hint="eastAsia"/>
          <w:sz w:val="24"/>
        </w:rPr>
        <w:t xml:space="preserve">6电子投标文件上传截止时间前，采购代理机构提前进入淮安市政府采购“全流程不见面交易系统” 开标大厅，播放测试音频，各投标人的授权委托人或法人代表提前进入淮安市政府采购“全流程不见面交易系统” 开标大厅根据操作手册（进入相应项目的虚拟开标大厅）收听观看实时音视频交互效果并及时在讨论组中反馈，未规定时间内进入虚拟开标大厅并完成扫码登录操作的或未能在虚拟开标大厅内全程参与交互的，视为放弃交互和放弃对活动全过程提疑的权利，投标人将无法看到解密指令、废标及澄清、公布报价、评审结果等实时情况，并承担由此导致的一切后果。</w:t>
      </w:r>
    </w:p>
    <w:p>
      <w:pPr>
        <w:spacing w:line="400" w:lineRule="exact"/>
        <w:ind w:firstLine="480" w:firstLineChars="200"/>
        <w:rPr>
          <w:rFonts w:ascii="宋体" w:hAnsi="宋体" w:cs="宋体"/>
          <w:sz w:val="24"/>
        </w:rPr>
      </w:pPr>
      <w:r>
        <w:rPr>
          <w:rFonts w:ascii="宋体" w:hAnsi="宋体" w:cs="宋体"/>
          <w:sz w:val="24"/>
        </w:rPr>
        <w:t xml:space="preserve">3</w:t>
      </w:r>
      <w:r>
        <w:rPr>
          <w:rFonts w:ascii="宋体" w:hAnsi="宋体" w:cs="宋体" w:hint="eastAsia"/>
          <w:sz w:val="24"/>
          <w:lang w:val="en-US" w:eastAsia="zh-CN"/>
        </w:rPr>
        <w:t xml:space="preserve">7</w:t>
      </w:r>
      <w:r>
        <w:rPr>
          <w:rFonts w:ascii="宋体" w:hAnsi="宋体" w:cs="宋体"/>
          <w:sz w:val="24"/>
        </w:rPr>
        <w:t xml:space="preserve">.7</w:t>
      </w:r>
      <w:r>
        <w:rPr>
          <w:rFonts w:ascii="宋体" w:hAnsi="宋体" w:cs="宋体" w:hint="eastAsia"/>
          <w:sz w:val="24"/>
        </w:rPr>
        <w:t xml:space="preserve">电子投标文件上传截止时间后，采购代理机构将在系统内公布投标人名单，系统中供应商承诺签章时间5分钟，未在规定时间内进行供应商承诺签章的，采购人或代理单位拒绝接受其响应文件。然后通过大厅操作区发出投标文件解密的指令，投标人在各自地点按规定时间自行实施远程解密，投标人解密限定在主持人发布解密指令后15分钟内完成。因投标人网络与电源不稳定、未按操作手册要求配置软硬件、解密锁发生故障或用错、故意不在要求时限内完成解密等自身原因，导致投标文件在规定时间内未能解密、解密失败或解密超时，作无效投标处理。因“淮安市政府采购项目全流程不见面交易系统开标大厅”发生故障，导致无法按时完成投标文件解密，可根据实际情况相应延迟解密时间（友情提示:若投标人已领取副锁（含多把副锁），必须使用生成投标文件的锁来解密投标文件）。本项目在限定的解密时间内，只要有任一家投标人解密成功，即视为淮安市政府采购“全流程不见面交易系统”运行无故障。</w:t>
      </w:r>
    </w:p>
    <w:p>
      <w:pPr>
        <w:spacing w:line="400" w:lineRule="exact"/>
        <w:ind w:firstLine="480" w:firstLineChars="200"/>
        <w:rPr>
          <w:rFonts w:ascii="宋体" w:hAnsi="宋体" w:cs="宋体"/>
          <w:sz w:val="24"/>
        </w:rPr>
      </w:pPr>
      <w:r>
        <w:rPr>
          <w:rFonts w:ascii="宋体" w:hAnsi="宋体" w:cs="宋体"/>
          <w:sz w:val="24"/>
        </w:rPr>
        <w:t xml:space="preserve">3</w:t>
      </w:r>
      <w:r>
        <w:rPr>
          <w:rFonts w:ascii="宋体" w:hAnsi="宋体" w:cs="宋体" w:hint="eastAsia"/>
          <w:sz w:val="24"/>
          <w:lang w:val="en-US" w:eastAsia="zh-CN"/>
        </w:rPr>
        <w:t xml:space="preserve">7</w:t>
      </w:r>
      <w:r>
        <w:rPr>
          <w:rFonts w:ascii="宋体" w:hAnsi="宋体" w:cs="宋体"/>
          <w:sz w:val="24"/>
        </w:rPr>
        <w:t xml:space="preserve">.8</w:t>
      </w:r>
      <w:r>
        <w:rPr>
          <w:rFonts w:ascii="宋体" w:hAnsi="宋体" w:cs="宋体" w:hint="eastAsia"/>
          <w:sz w:val="24"/>
        </w:rPr>
        <w:t xml:space="preserve">活动全过程中，各投标人参与澄清、说明、补正、远程交互的授权委托人或法人代表应始终为同一个人，中途不得更换，在澄清、说明、补正、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pPr>
        <w:spacing w:line="400" w:lineRule="exact"/>
        <w:ind w:firstLine="480" w:firstLineChars="200"/>
        <w:rPr>
          <w:rFonts w:ascii="宋体" w:hAnsi="宋体" w:cs="宋体"/>
          <w:sz w:val="24"/>
        </w:rPr>
      </w:pPr>
      <w:r>
        <w:rPr>
          <w:rFonts w:ascii="宋体" w:hAnsi="宋体" w:cs="宋体"/>
          <w:sz w:val="24"/>
        </w:rPr>
        <w:t xml:space="preserve">3</w:t>
      </w:r>
      <w:r>
        <w:rPr>
          <w:rFonts w:ascii="宋体" w:hAnsi="宋体" w:cs="宋体" w:hint="eastAsia"/>
          <w:sz w:val="24"/>
          <w:lang w:val="en-US" w:eastAsia="zh-CN"/>
        </w:rPr>
        <w:t xml:space="preserve">7</w:t>
      </w:r>
      <w:r>
        <w:rPr>
          <w:rFonts w:ascii="宋体" w:hAnsi="宋体" w:cs="宋体"/>
          <w:sz w:val="24"/>
        </w:rPr>
        <w:t xml:space="preserve">.9</w:t>
      </w:r>
      <w:r>
        <w:rPr>
          <w:rFonts w:ascii="宋体" w:hAnsi="宋体" w:cs="宋体" w:hint="eastAsia"/>
          <w:sz w:val="24"/>
        </w:rPr>
        <w:t xml:space="preserve">为顺利实现本项目不见面交易活动组织的远程交互，建议投标人配置相关软硬件设施，具体包括:</w:t>
      </w:r>
    </w:p>
    <w:p>
      <w:pPr>
        <w:spacing w:line="400" w:lineRule="exact"/>
        <w:ind w:firstLine="480" w:firstLineChars="200"/>
        <w:rPr>
          <w:rFonts w:ascii="宋体" w:hAnsi="宋体" w:cs="宋体"/>
          <w:sz w:val="24"/>
        </w:rPr>
      </w:pPr>
      <w:r>
        <w:rPr>
          <w:rFonts w:ascii="宋体" w:hAnsi="宋体" w:cs="宋体" w:hint="eastAsia"/>
          <w:sz w:val="24"/>
        </w:rPr>
        <w:t xml:space="preserve">（1）软件设施:IE浏览器（版本必须为11及11以上），同时必须安装江苏省互联互通的驱动。不得使用360、搜狗等其他浏览器，否则责任自负。（2）硬件设施:高配置电脑（内存4G以上，建议屏幕分辨率用1024*768像素或以上，不要使用上网本）、高速稳定的网络（推荐使用电信网络，独立带宽在10Mbps以上）、电源（不间断电源）、CA锁、音视频设备（话筒、耳麦、高清摄像头（支持分辨率720P及以上）、音响）、扫描仪、打印机、传真机、高清视频监控等。</w:t>
      </w:r>
    </w:p>
    <w:p>
      <w:pPr>
        <w:spacing w:line="400" w:lineRule="exact"/>
        <w:ind w:firstLine="480" w:firstLineChars="200"/>
        <w:rPr>
          <w:rFonts w:ascii="宋体" w:hAnsi="宋体" w:cs="宋体"/>
          <w:sz w:val="24"/>
        </w:rPr>
      </w:pPr>
      <w:r>
        <w:rPr>
          <w:rFonts w:ascii="宋体" w:hAnsi="宋体" w:cs="宋体" w:hint="eastAsia"/>
          <w:sz w:val="24"/>
        </w:rPr>
        <w:t xml:space="preserve">（3）为保证交互效果，要求投标人按上述要求配置相关软硬件并选择封闭安静的地点参与远程交互。因投标人自身软硬件配备不齐全或发生故障等问题而导致在交互过程中出现不稳定或中断等情况的，由投标人自身承担一切后果。</w:t>
      </w:r>
    </w:p>
    <w:p>
      <w:pPr>
        <w:spacing w:line="400" w:lineRule="exact"/>
        <w:ind w:firstLine="480" w:firstLineChars="200"/>
        <w:rPr>
          <w:rFonts w:ascii="宋体" w:hAnsi="宋体" w:cs="宋体"/>
          <w:sz w:val="24"/>
        </w:rPr>
      </w:pPr>
      <w:r>
        <w:rPr>
          <w:rFonts w:ascii="宋体" w:hAnsi="宋体" w:cs="宋体"/>
          <w:sz w:val="24"/>
        </w:rPr>
        <w:t xml:space="preserve">3</w:t>
      </w:r>
      <w:r>
        <w:rPr>
          <w:rFonts w:ascii="宋体" w:hAnsi="宋体" w:cs="宋体" w:hint="eastAsia"/>
          <w:sz w:val="24"/>
          <w:lang w:val="en-US" w:eastAsia="zh-CN"/>
        </w:rPr>
        <w:t xml:space="preserve">7</w:t>
      </w:r>
      <w:r>
        <w:rPr>
          <w:rFonts w:ascii="宋体" w:hAnsi="宋体" w:cs="宋体"/>
          <w:sz w:val="24"/>
        </w:rPr>
        <w:t xml:space="preserve">.</w:t>
      </w:r>
      <w:r>
        <w:rPr>
          <w:rFonts w:ascii="宋体" w:hAnsi="宋体" w:cs="宋体" w:hint="eastAsia"/>
          <w:sz w:val="24"/>
        </w:rPr>
        <w:t xml:space="preserve">10投标人在制作上传电子投标文件、观看活动组织、投标文件解密等技术方面遇到问题时，请与软件公司技术人员咨询，新点软件技术支持：4009980000。网上操作如遇技术问题，电话：0517-80996058、手机:18962289236；QQ：3260927750。</w:t>
      </w:r>
    </w:p>
    <w:p>
      <w:pPr>
        <w:spacing w:line="360" w:lineRule="exact"/>
        <w:ind w:left="239" w:firstLine="240" w:leftChars="114" w:firstLineChars="100"/>
        <w:rPr>
          <w:rFonts w:ascii="宋体" w:hAnsi="宋体" w:cs="宋体"/>
          <w:b/>
          <w:bCs/>
          <w:sz w:val="24"/>
        </w:rPr>
      </w:pPr>
      <w:r>
        <w:rPr>
          <w:rFonts w:ascii="宋体" w:hAnsi="宋体" w:cs="宋体" w:hint="eastAsia"/>
          <w:b/>
          <w:bCs/>
          <w:sz w:val="24"/>
        </w:rPr>
        <w:t xml:space="preserve">3</w:t>
      </w:r>
      <w:r>
        <w:rPr>
          <w:rFonts w:ascii="宋体" w:hAnsi="宋体" w:cs="宋体" w:hint="eastAsia"/>
          <w:b/>
          <w:bCs/>
          <w:sz w:val="24"/>
          <w:lang w:val="en-US" w:eastAsia="zh-CN"/>
        </w:rPr>
        <w:t xml:space="preserve">8</w:t>
      </w:r>
      <w:r>
        <w:rPr>
          <w:rFonts w:ascii="宋体" w:hAnsi="宋体" w:cs="宋体" w:hint="eastAsia"/>
          <w:b/>
          <w:bCs/>
          <w:sz w:val="24"/>
        </w:rPr>
        <w:t xml:space="preserve">.政策功能落实</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3</w:t>
      </w:r>
      <w:r>
        <w:rPr>
          <w:rFonts w:ascii="宋体" w:hAnsi="宋体" w:cs="宋体" w:hint="eastAsia"/>
          <w:bCs/>
          <w:color w:val="000000"/>
          <w:sz w:val="24"/>
          <w:lang w:val="en-US" w:eastAsia="zh-CN"/>
        </w:rPr>
        <w:t xml:space="preserve">8</w:t>
      </w:r>
      <w:r>
        <w:rPr>
          <w:rFonts w:ascii="宋体" w:hAnsi="宋体" w:cs="宋体" w:hint="eastAsia"/>
          <w:bCs/>
          <w:color w:val="000000"/>
          <w:sz w:val="24"/>
        </w:rPr>
        <w:t xml:space="preserve">.1小微型企业价格扣除</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3</w:t>
      </w:r>
      <w:r>
        <w:rPr>
          <w:rFonts w:ascii="宋体" w:hAnsi="宋体" w:cs="宋体" w:hint="eastAsia"/>
          <w:bCs/>
          <w:color w:val="000000"/>
          <w:sz w:val="24"/>
          <w:lang w:val="en-US" w:eastAsia="zh-CN"/>
        </w:rPr>
        <w:t xml:space="preserve">8</w:t>
      </w:r>
      <w:r>
        <w:rPr>
          <w:rFonts w:ascii="宋体" w:hAnsi="宋体" w:cs="宋体" w:hint="eastAsia"/>
          <w:bCs/>
          <w:color w:val="000000"/>
          <w:sz w:val="24"/>
        </w:rPr>
        <w:t xml:space="preserve">.1.1</w:t>
      </w:r>
      <w:r>
        <w:rPr>
          <w:rFonts w:ascii="宋体" w:hAnsi="宋体" w:cs="宋体" w:hint="eastAsia"/>
          <w:bCs/>
          <w:color w:val="000000"/>
          <w:sz w:val="24"/>
          <w:lang w:val="zh-CN"/>
        </w:rPr>
        <w:t xml:space="preserve">对于未预留份额专门面向中小企业采购的采购项目，供应商提供的货物或者服务</w:t>
      </w:r>
      <w:r>
        <w:rPr>
          <w:rFonts w:ascii="宋体" w:hAnsi="宋体" w:cs="宋体" w:hint="eastAsia"/>
          <w:bCs/>
          <w:color w:val="000000"/>
          <w:sz w:val="24"/>
        </w:rPr>
        <w:t xml:space="preserve">符合下列情形的，享受本办法规定的中小企业扶持政策给予小微企业报价</w:t>
      </w:r>
      <w:r>
        <w:rPr>
          <w:rFonts w:ascii="宋体" w:hAnsi="宋体" w:cs="宋体" w:hint="eastAsia"/>
          <w:bCs/>
          <w:color w:val="000000"/>
          <w:sz w:val="24"/>
          <w:lang w:val="en-US" w:eastAsia="zh-CN"/>
        </w:rPr>
        <w:t xml:space="preserve">2</w:t>
      </w:r>
      <w:r>
        <w:rPr>
          <w:rFonts w:ascii="宋体" w:hAnsi="宋体" w:cs="宋体" w:hint="eastAsia"/>
          <w:bCs/>
          <w:color w:val="000000"/>
          <w:sz w:val="24"/>
        </w:rPr>
        <w:t xml:space="preserve">0%的扣除，用扣除后的价格参与评审：</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（1）在货物采购项目中，货物由中小企业制造，即货物由中小企业生产且使用该中小企业商号或者注册商标；</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（2）在服务采购项目中，服务由中小企业承接，即提供服务的人员为中小企业依照《中华人民共和国劳动合同法》订立劳动合同的从业人员。</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3</w:t>
      </w:r>
      <w:r>
        <w:rPr>
          <w:rFonts w:ascii="宋体" w:hAnsi="宋体" w:cs="宋体" w:hint="eastAsia"/>
          <w:bCs/>
          <w:color w:val="000000"/>
          <w:sz w:val="24"/>
          <w:lang w:val="en-US" w:eastAsia="zh-CN"/>
        </w:rPr>
        <w:t xml:space="preserve">8</w:t>
      </w:r>
      <w:r>
        <w:rPr>
          <w:rFonts w:ascii="宋体" w:hAnsi="宋体" w:cs="宋体" w:hint="eastAsia"/>
          <w:bCs/>
          <w:color w:val="000000"/>
          <w:sz w:val="24"/>
        </w:rPr>
        <w:t xml:space="preserve">.1.2在货物采购项目中，供应商提供的货物既有中小企业制造货物，也有大型企业制造货物的，不享受本办法规定的中小企业扶持政策。</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3</w:t>
      </w:r>
      <w:r>
        <w:rPr>
          <w:rFonts w:ascii="宋体" w:hAnsi="宋体" w:cs="宋体" w:hint="eastAsia"/>
          <w:bCs/>
          <w:color w:val="000000"/>
          <w:sz w:val="24"/>
          <w:lang w:val="en-US" w:eastAsia="zh-CN"/>
        </w:rPr>
        <w:t xml:space="preserve">8</w:t>
      </w:r>
      <w:r>
        <w:rPr>
          <w:rFonts w:ascii="宋体" w:hAnsi="宋体" w:cs="宋体" w:hint="eastAsia"/>
          <w:bCs/>
          <w:color w:val="000000"/>
          <w:sz w:val="24"/>
        </w:rPr>
        <w:t xml:space="preserve">.2联合体及分包</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3</w:t>
      </w:r>
      <w:r>
        <w:rPr>
          <w:rFonts w:ascii="宋体" w:hAnsi="宋体" w:cs="宋体" w:hint="eastAsia"/>
          <w:bCs/>
          <w:color w:val="000000"/>
          <w:sz w:val="24"/>
          <w:lang w:val="en-US" w:eastAsia="zh-CN"/>
        </w:rPr>
        <w:t xml:space="preserve">8</w:t>
      </w:r>
      <w:r>
        <w:rPr>
          <w:rFonts w:ascii="宋体" w:hAnsi="宋体" w:cs="宋体" w:hint="eastAsia"/>
          <w:bCs/>
          <w:color w:val="000000"/>
          <w:sz w:val="24"/>
        </w:rPr>
        <w:t xml:space="preserve">.2.1以联合体形式参加政府采购活动，联合体各方均为中小企业的，联合体视同中小企业。其中，联合体各方均为小微企业的，联合体视同小微企业。</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3</w:t>
      </w:r>
      <w:r>
        <w:rPr>
          <w:rFonts w:ascii="宋体" w:hAnsi="宋体" w:cs="宋体" w:hint="eastAsia"/>
          <w:bCs/>
          <w:color w:val="000000"/>
          <w:sz w:val="24"/>
          <w:lang w:val="en-US" w:eastAsia="zh-CN"/>
        </w:rPr>
        <w:t xml:space="preserve">8</w:t>
      </w:r>
      <w:r>
        <w:rPr>
          <w:rFonts w:ascii="宋体" w:hAnsi="宋体" w:cs="宋体" w:hint="eastAsia"/>
          <w:bCs/>
          <w:color w:val="000000"/>
          <w:sz w:val="24"/>
        </w:rPr>
        <w:t xml:space="preserve">.2.2享受扶持政策获得政府采购合同的，小微企业不得将合同分包给大中型企业，中型企业不得将合同分包给大型企业。</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3</w:t>
      </w:r>
      <w:r>
        <w:rPr>
          <w:rFonts w:ascii="宋体" w:hAnsi="宋体" w:cs="宋体" w:hint="eastAsia"/>
          <w:bCs/>
          <w:color w:val="000000"/>
          <w:sz w:val="24"/>
          <w:lang w:val="en-US" w:eastAsia="zh-CN"/>
        </w:rPr>
        <w:t xml:space="preserve">8</w:t>
      </w:r>
      <w:r>
        <w:rPr>
          <w:rFonts w:ascii="宋体" w:hAnsi="宋体" w:cs="宋体" w:hint="eastAsia"/>
          <w:bCs/>
          <w:color w:val="000000"/>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30%以上的，采购人应当对联合体或者大中型企业的报价给予3%的扣除，用扣除后的价格参加评审。</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3</w:t>
      </w:r>
      <w:r>
        <w:rPr>
          <w:rFonts w:ascii="宋体" w:hAnsi="宋体" w:cs="宋体" w:hint="eastAsia"/>
          <w:bCs/>
          <w:color w:val="000000"/>
          <w:sz w:val="24"/>
          <w:lang w:val="en-US" w:eastAsia="zh-CN"/>
        </w:rPr>
        <w:t xml:space="preserve">8</w:t>
      </w:r>
      <w:r>
        <w:rPr>
          <w:rFonts w:ascii="宋体" w:hAnsi="宋体" w:cs="宋体" w:hint="eastAsia"/>
          <w:bCs/>
          <w:color w:val="000000"/>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3</w:t>
      </w:r>
      <w:r>
        <w:rPr>
          <w:rFonts w:ascii="宋体" w:hAnsi="宋体" w:cs="宋体" w:hint="eastAsia"/>
          <w:bCs/>
          <w:color w:val="000000"/>
          <w:sz w:val="24"/>
          <w:lang w:val="en-US" w:eastAsia="zh-CN"/>
        </w:rPr>
        <w:t xml:space="preserve">8</w:t>
      </w:r>
      <w:r>
        <w:rPr>
          <w:rFonts w:ascii="宋体" w:hAnsi="宋体" w:cs="宋体" w:hint="eastAsia"/>
          <w:bCs/>
          <w:color w:val="000000"/>
          <w:sz w:val="24"/>
        </w:rPr>
        <w:t xml:space="preserve">.3小微型企业</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（1）投标人须按照招标文件的要求提供相应的《企业声明函》，详见招标文件示范格式四。</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（2）企业标准请参照《政府采购促进中小企业发展管理办法》（财库【2020】46号）文件规定自行填写。</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3</w:t>
      </w:r>
      <w:r>
        <w:rPr>
          <w:rFonts w:ascii="宋体" w:hAnsi="宋体" w:cs="宋体" w:hint="eastAsia"/>
          <w:bCs/>
          <w:color w:val="000000"/>
          <w:sz w:val="24"/>
          <w:lang w:val="en-US" w:eastAsia="zh-CN"/>
        </w:rPr>
        <w:t xml:space="preserve">8</w:t>
      </w:r>
      <w:r>
        <w:rPr>
          <w:rFonts w:ascii="宋体" w:hAnsi="宋体" w:cs="宋体" w:hint="eastAsia"/>
          <w:bCs/>
          <w:color w:val="000000"/>
          <w:sz w:val="24"/>
        </w:rPr>
        <w:t xml:space="preserve">.4残疾人福利单位</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（1）残疾人福利单位需按照招标文件的要求提供《残疾人福利性单位声明函》，详见招标文件示范格式五。</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（2）残疾人福利单位标准请参照《关于促进残疾人就业政府采购政策的通知》（财库〔2017〕141号）。</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3</w:t>
      </w:r>
      <w:r>
        <w:rPr>
          <w:rFonts w:ascii="宋体" w:hAnsi="宋体" w:cs="宋体" w:hint="eastAsia"/>
          <w:bCs/>
          <w:color w:val="000000"/>
          <w:sz w:val="24"/>
          <w:lang w:val="en-US" w:eastAsia="zh-CN"/>
        </w:rPr>
        <w:t xml:space="preserve">8</w:t>
      </w:r>
      <w:r>
        <w:rPr>
          <w:rFonts w:ascii="宋体" w:hAnsi="宋体" w:cs="宋体" w:hint="eastAsia"/>
          <w:bCs/>
          <w:color w:val="000000"/>
          <w:sz w:val="24"/>
        </w:rPr>
        <w:t xml:space="preserve">.5监狱和戒毒企业</w:t>
      </w:r>
    </w:p>
    <w:p>
      <w:pPr>
        <w:pStyle w:val="BodyTextFirstIndent"/>
        <w:spacing w:line="360" w:lineRule="exact"/>
        <w:ind w:firstLine="240"/>
        <w:rPr>
          <w:rFonts w:ascii="宋体" w:hAnsi="宋体" w:cs="宋体"/>
          <w:bCs/>
          <w:color w:val="000000"/>
          <w:sz w:val="24"/>
        </w:rPr>
      </w:pPr>
      <w:r>
        <w:rPr>
          <w:rFonts w:ascii="宋体" w:hAnsi="宋体" w:cs="宋体" w:hint="eastAsia"/>
          <w:bCs/>
          <w:color w:val="000000"/>
          <w:sz w:val="24"/>
        </w:rPr>
        <w:t xml:space="preserve">（1）监狱企业参加政府采购活动时，需提供由省级以上监狱管理局、戒毒管理局（含新疆生产建设兵团）出具的属于监狱企业的证明文件）（投标文件中编入加盖出具单位公章的件）。</w:t>
      </w:r>
    </w:p>
    <w:p>
      <w:pPr>
        <w:pStyle w:val="BodyTextFirstIndent"/>
        <w:spacing w:line="360" w:lineRule="exact"/>
        <w:ind w:firstLine="240"/>
        <w:rPr>
          <w:rFonts w:ascii="宋体" w:hAnsi="宋体" w:cs="宋体"/>
          <w:bCs/>
          <w:color w:val="000000"/>
          <w:sz w:val="24"/>
        </w:rPr>
      </w:pPr>
      <w:r>
        <w:rPr>
          <w:rFonts w:ascii="宋体" w:hAnsi="宋体" w:cs="宋体" w:hint="eastAsia"/>
          <w:bCs/>
          <w:color w:val="000000"/>
          <w:sz w:val="24"/>
        </w:rPr>
        <w:t xml:space="preserve">（2）监狱企业标准请参照《关于政府采购支持监狱企业发展有关问题的通知》（财库[2014]68号）。 </w:t>
      </w:r>
    </w:p>
    <w:p>
      <w:pPr>
        <w:pStyle w:val="BodyTextFirstIndent"/>
        <w:spacing w:line="360" w:lineRule="exact"/>
        <w:ind w:firstLine="480" w:firstLineChars="200"/>
        <w:rPr>
          <w:rFonts w:ascii="宋体" w:hAnsi="宋体" w:cs="宋体"/>
          <w:bCs/>
          <w:color w:val="000000"/>
          <w:sz w:val="24"/>
        </w:rPr>
      </w:pPr>
      <w:r>
        <w:rPr>
          <w:rFonts w:ascii="宋体" w:hAnsi="宋体" w:cs="宋体" w:hint="eastAsia"/>
          <w:bCs/>
          <w:color w:val="000000"/>
          <w:sz w:val="24"/>
        </w:rPr>
        <w:t xml:space="preserve">3</w:t>
      </w:r>
      <w:r>
        <w:rPr>
          <w:rFonts w:ascii="宋体" w:hAnsi="宋体" w:cs="宋体" w:hint="eastAsia"/>
          <w:bCs/>
          <w:color w:val="000000"/>
          <w:sz w:val="24"/>
          <w:lang w:val="en-US" w:eastAsia="zh-CN"/>
        </w:rPr>
        <w:t xml:space="preserve">8</w:t>
      </w:r>
      <w:r>
        <w:rPr>
          <w:rFonts w:ascii="宋体" w:hAnsi="宋体" w:cs="宋体" w:hint="eastAsia"/>
          <w:bCs/>
          <w:color w:val="000000"/>
          <w:sz w:val="24"/>
        </w:rPr>
        <w:t xml:space="preserve">.6节能、环保价格扣除</w:t>
      </w:r>
    </w:p>
    <w:p>
      <w:pPr>
        <w:pStyle w:val="BodyTextFirstIndent"/>
        <w:spacing w:line="360" w:lineRule="exact"/>
        <w:ind w:firstLine="240"/>
        <w:rPr>
          <w:rFonts w:ascii="宋体" w:hAnsi="宋体" w:cs="宋体"/>
          <w:bCs/>
          <w:color w:val="000000"/>
          <w:sz w:val="24"/>
        </w:rPr>
      </w:pPr>
      <w:r>
        <w:rPr>
          <w:rFonts w:ascii="宋体" w:hAnsi="宋体" w:cs="宋体" w:hint="eastAsia"/>
          <w:bCs/>
          <w:color w:val="000000"/>
          <w:sz w:val="24"/>
        </w:rPr>
        <w:t xml:space="preserve">（1）在满足采购基本要求的前提下，所报产品在财政部、生态环境部公布的“环境标志产品政府采购品目清单”内，且提供</w:t>
      </w:r>
      <w:r>
        <w:rPr>
          <w:rFonts w:ascii="宋体" w:hAnsi="宋体" w:cs="宋体" w:hint="eastAsia"/>
          <w:bCs/>
          <w:color w:val="000000"/>
          <w:sz w:val="24"/>
          <w:lang w:eastAsia="zh-CN"/>
        </w:rPr>
        <w:t xml:space="preserve">国家市场监督管理总局</w:t>
      </w:r>
      <w:r>
        <w:rPr>
          <w:rFonts w:ascii="宋体" w:hAnsi="宋体" w:cs="宋体" w:hint="eastAsia"/>
          <w:bCs/>
          <w:color w:val="000000"/>
          <w:sz w:val="24"/>
        </w:rPr>
        <w:t xml:space="preserve">确定的列入“参与实施政府采购环境标志产品认证机构名录”内的认证机构出具的有效期内的该产品环境标志产品认证证书电子件的给予</w:t>
      </w:r>
      <w:r>
        <w:rPr>
          <w:rFonts w:ascii="宋体" w:hAnsi="宋体" w:cs="宋体" w:hint="eastAsia"/>
          <w:bCs/>
          <w:color w:val="000000"/>
          <w:sz w:val="24"/>
          <w:lang w:eastAsia="zh-CN"/>
        </w:rPr>
        <w:t xml:space="preserve">投标</w:t>
      </w:r>
      <w:r>
        <w:rPr>
          <w:rFonts w:ascii="宋体" w:hAnsi="宋体" w:cs="宋体" w:hint="eastAsia"/>
          <w:bCs/>
          <w:color w:val="000000"/>
          <w:sz w:val="24"/>
        </w:rPr>
        <w:t xml:space="preserve">报价1%价格扣除。 </w:t>
      </w:r>
    </w:p>
    <w:p>
      <w:pPr>
        <w:pStyle w:val="BodyTextFirstIndent"/>
        <w:spacing w:line="360" w:lineRule="exact"/>
        <w:ind w:firstLine="240"/>
        <w:rPr>
          <w:rFonts w:ascii="宋体" w:hAnsi="宋体" w:cs="宋体"/>
          <w:bCs/>
          <w:color w:val="000000"/>
          <w:sz w:val="24"/>
        </w:rPr>
      </w:pPr>
      <w:r>
        <w:rPr>
          <w:rFonts w:ascii="宋体" w:hAnsi="宋体" w:cs="宋体" w:hint="eastAsia"/>
          <w:bCs/>
          <w:color w:val="000000"/>
          <w:sz w:val="24"/>
        </w:rPr>
        <w:t xml:space="preserve">（2）在满足采购基本要求的前提下，所报产品在财政部、发展改革委公布的“节能产品政府采购品目清单”内，且提供</w:t>
      </w:r>
      <w:r>
        <w:rPr>
          <w:rFonts w:ascii="宋体" w:hAnsi="宋体" w:cs="宋体" w:hint="eastAsia"/>
          <w:bCs/>
          <w:color w:val="000000"/>
          <w:sz w:val="24"/>
          <w:lang w:eastAsia="zh-CN"/>
        </w:rPr>
        <w:t xml:space="preserve">国家市场监督管理总局</w:t>
      </w:r>
      <w:r>
        <w:rPr>
          <w:rFonts w:ascii="宋体" w:hAnsi="宋体" w:cs="宋体" w:hint="eastAsia"/>
          <w:bCs/>
          <w:color w:val="000000"/>
          <w:sz w:val="24"/>
        </w:rPr>
        <w:t xml:space="preserve">确定的列入“参与实施政府采购节能产品认证机构名录”内的认证机构出具的、有效期内的该产品的节能产品认证证书电子件的给予</w:t>
      </w:r>
      <w:r>
        <w:rPr>
          <w:rFonts w:ascii="宋体" w:hAnsi="宋体" w:cs="宋体" w:hint="eastAsia"/>
          <w:bCs/>
          <w:color w:val="000000"/>
          <w:sz w:val="24"/>
          <w:lang w:eastAsia="zh-CN"/>
        </w:rPr>
        <w:t xml:space="preserve">投标</w:t>
      </w:r>
      <w:r>
        <w:rPr>
          <w:rFonts w:ascii="宋体" w:hAnsi="宋体" w:cs="宋体" w:hint="eastAsia"/>
          <w:bCs/>
          <w:color w:val="000000"/>
          <w:sz w:val="24"/>
        </w:rPr>
        <w:t xml:space="preserve">报价1%价格扣除。</w:t>
      </w:r>
    </w:p>
    <w:p>
      <w:pPr>
        <w:pStyle w:val="BodyTextFirstIndent"/>
        <w:spacing w:line="360" w:lineRule="exact"/>
        <w:ind w:left="450" w:hanging="240" w:leftChars="100" w:hangingChars="100"/>
        <w:rPr>
          <w:rFonts w:ascii="宋体" w:hAnsi="宋体" w:cs="宋体"/>
          <w:kern w:val="0"/>
          <w:sz w:val="24"/>
        </w:rPr>
      </w:pPr>
      <w:r>
        <w:rPr>
          <w:rFonts w:ascii="宋体" w:hAnsi="宋体" w:cs="宋体" w:hint="eastAsia"/>
          <w:kern w:val="0"/>
          <w:sz w:val="24"/>
          <w:lang w:val="en-US" w:eastAsia="zh-CN"/>
        </w:rPr>
        <w:t xml:space="preserve">39</w:t>
      </w:r>
      <w:r>
        <w:rPr>
          <w:rFonts w:ascii="宋体" w:hAnsi="宋体" w:cs="宋体" w:hint="eastAsia"/>
          <w:kern w:val="0"/>
          <w:sz w:val="24"/>
        </w:rPr>
        <w:t xml:space="preserve">、残疾人福利单位、监狱企业属于小型、微型企业的，不重复享受政策。</w:t>
      </w:r>
    </w:p>
    <w:p>
      <w:pPr>
        <w:pStyle w:val="PlainText"/>
        <w:ind w:firstLine="240" w:firstLineChars="100"/>
        <w:outlineLvl w:val="0"/>
        <w:rPr>
          <w:b/>
          <w:bCs/>
          <w:sz w:val="36"/>
          <w:szCs w:val="36"/>
          <w:highlight w:val="none"/>
        </w:rPr>
      </w:pPr>
      <w:r>
        <w:rPr>
          <w:rFonts w:hAnsi="宋体" w:cs="宋体" w:hint="eastAsia"/>
          <w:bCs w:val="0"/>
          <w:color w:val="auto"/>
          <w:kern w:val="0"/>
          <w:sz w:val="24"/>
          <w:szCs w:val="24"/>
          <w:lang w:val="en-US" w:eastAsia="zh-CN"/>
        </w:rPr>
        <w:t xml:space="preserve">40</w:t>
      </w:r>
      <w:r>
        <w:rPr>
          <w:rFonts w:ascii="宋体" w:eastAsia="宋体" w:hAnsi="宋体" w:cs="宋体" w:hint="eastAsia"/>
          <w:bCs w:val="0"/>
          <w:color w:val="auto"/>
          <w:kern w:val="0"/>
          <w:sz w:val="24"/>
          <w:szCs w:val="24"/>
          <w:lang w:val="en-US" w:eastAsia="zh-CN"/>
        </w:rPr>
        <w:t xml:space="preserve">、</w:t>
      </w:r>
      <w:r>
        <w:rPr>
          <w:rFonts w:ascii="仿宋" w:eastAsia="仿宋" w:hAnsi="仿宋" w:cs="仿宋" w:hint="eastAsia"/>
          <w:color w:val="auto"/>
          <w:kern w:val="2"/>
          <w:sz w:val="28"/>
          <w:szCs w:val="28"/>
          <w:highlight w:val="none"/>
          <w:lang w:val="en-US" w:eastAsia="zh-CN"/>
        </w:rPr>
        <w:t xml:space="preserve">中标人对商品的</w:t>
      </w:r>
      <w:r>
        <w:rPr>
          <w:rFonts w:ascii="仿宋" w:eastAsia="仿宋" w:hAnsi="仿宋" w:cs="仿宋"/>
          <w:color w:val="auto"/>
          <w:kern w:val="2"/>
          <w:sz w:val="28"/>
          <w:szCs w:val="28"/>
          <w:highlight w:val="none"/>
          <w:lang w:val="en-US" w:eastAsia="zh-CN"/>
        </w:rPr>
        <w:t xml:space="preserve">包装应按照“财办库〔2020〕123号《关于印发《商品包装政府采购需求标准（试行）》的通知》”执行。</w:t>
      </w:r>
      <w:r>
        <w:rPr>
          <w:rFonts w:ascii="仿宋" w:eastAsia="仿宋" w:hAnsi="仿宋" w:cs="仿宋" w:hint="eastAsia"/>
          <w:color w:val="auto"/>
          <w:kern w:val="2"/>
          <w:sz w:val="28"/>
          <w:szCs w:val="28"/>
          <w:highlight w:val="none"/>
          <w:lang w:val="en-US" w:eastAsia="zh-CN"/>
        </w:rPr>
        <w:t xml:space="preserve">涉及设备运维参考《绿色数据中心政府采购需求标准（试行）》（财库【2023】7号文）执行。中标人在安装调试过程中能到做到低碳物流、环保节约、提高资源利用率。</w:t>
      </w:r>
    </w:p>
    <w:p>
      <w:pPr>
        <w:pStyle w:val="TOC6"/>
        <w:ind w:left="0" w:firstLine="0" w:leftChars="0" w:firstLineChars="0"/>
        <w:rPr>
          <w:rFonts w:eastAsia="宋体" w:hint="default"/>
          <w:lang w:val="en-US" w:eastAsia="zh-CN"/>
        </w:rPr>
      </w:pPr>
    </w:p>
    <w:p>
      <w:pPr>
        <w:tabs>
          <w:tab w:val="left" w:pos="180"/>
        </w:tabs>
        <w:spacing w:line="400" w:lineRule="exact"/>
        <w:jc w:val="center"/>
        <w:rPr>
          <w:rFonts w:ascii="宋体" w:hAnsi="宋体" w:cs="宋体" w:hint="eastAsia"/>
          <w:b/>
          <w:bCs/>
          <w:sz w:val="30"/>
          <w:szCs w:val="30"/>
        </w:rPr>
      </w:pPr>
    </w:p>
    <w:p>
      <w:pPr>
        <w:tabs>
          <w:tab w:val="left" w:pos="180"/>
        </w:tabs>
        <w:spacing w:line="400" w:lineRule="exact"/>
        <w:jc w:val="center"/>
        <w:rPr>
          <w:rFonts w:ascii="宋体" w:hAnsi="宋体" w:cs="宋体" w:hint="eastAsia"/>
          <w:b/>
          <w:bCs/>
          <w:sz w:val="30"/>
          <w:szCs w:val="30"/>
        </w:rPr>
      </w:pPr>
    </w:p>
    <w:p>
      <w:pPr>
        <w:pStyle w:val="正文1"/>
        <w:rPr>
          <w:rFonts w:ascii="宋体" w:hAnsi="宋体" w:cs="宋体" w:hint="eastAsia"/>
          <w:b/>
          <w:bCs/>
          <w:sz w:val="30"/>
          <w:szCs w:val="30"/>
        </w:rPr>
      </w:pPr>
    </w:p>
    <w:p>
      <w:pPr>
        <w:rPr>
          <w:rFonts w:ascii="宋体" w:hAnsi="宋体" w:cs="宋体" w:hint="eastAsia"/>
          <w:b/>
          <w:bCs/>
          <w:sz w:val="30"/>
          <w:szCs w:val="30"/>
        </w:rPr>
      </w:pPr>
    </w:p>
    <w:p>
      <w:pPr>
        <w:pStyle w:val="正文1"/>
        <w:rPr>
          <w:rFonts w:ascii="宋体" w:hAnsi="宋体" w:cs="宋体" w:hint="eastAsia"/>
          <w:b/>
          <w:bCs/>
          <w:sz w:val="30"/>
          <w:szCs w:val="30"/>
        </w:rPr>
      </w:pPr>
    </w:p>
    <w:p>
      <w:pPr>
        <w:rPr>
          <w:rFonts w:ascii="宋体" w:hAnsi="宋体" w:cs="宋体" w:hint="eastAsia"/>
          <w:b/>
          <w:bCs/>
          <w:sz w:val="30"/>
          <w:szCs w:val="30"/>
        </w:rPr>
      </w:pPr>
    </w:p>
    <w:p>
      <w:pPr>
        <w:pStyle w:val="正文1"/>
        <w:rPr>
          <w:rFonts w:ascii="宋体" w:hAnsi="宋体" w:cs="宋体" w:hint="eastAsia"/>
          <w:b/>
          <w:bCs/>
          <w:sz w:val="30"/>
          <w:szCs w:val="30"/>
        </w:rPr>
      </w:pPr>
    </w:p>
    <w:p>
      <w:pPr>
        <w:rPr>
          <w:rFonts w:ascii="宋体" w:hAnsi="宋体" w:cs="宋体" w:hint="eastAsia"/>
          <w:b/>
          <w:bCs/>
          <w:sz w:val="30"/>
          <w:szCs w:val="30"/>
        </w:rPr>
      </w:pPr>
    </w:p>
    <w:p>
      <w:pPr>
        <w:pStyle w:val="Default"/>
        <w:rPr>
          <w:rFonts w:ascii="宋体" w:hAnsi="宋体" w:cs="宋体" w:hint="eastAsia"/>
          <w:b/>
          <w:bCs/>
          <w:sz w:val="30"/>
          <w:szCs w:val="30"/>
        </w:rPr>
      </w:pPr>
    </w:p>
    <w:p>
      <w:pPr>
        <w:pStyle w:val="Default"/>
        <w:rPr>
          <w:rFonts w:ascii="宋体" w:hAnsi="宋体" w:cs="宋体" w:hint="eastAsia"/>
          <w:b/>
          <w:bCs/>
          <w:sz w:val="30"/>
          <w:szCs w:val="30"/>
        </w:rPr>
      </w:pPr>
    </w:p>
    <w:p>
      <w:pPr>
        <w:rPr>
          <w:rFonts w:ascii="宋体" w:hAnsi="宋体" w:cs="宋体" w:hint="eastAsia"/>
          <w:b/>
          <w:bCs/>
          <w:sz w:val="30"/>
          <w:szCs w:val="30"/>
        </w:rPr>
      </w:pPr>
    </w:p>
    <w:p>
      <w:pPr>
        <w:pStyle w:val="正文1"/>
        <w:rPr>
          <w:rFonts w:hint="eastAsia"/>
        </w:rPr>
      </w:pPr>
    </w:p>
    <w:p>
      <w:pPr>
        <w:rPr>
          <w:rFonts w:hint="eastAsia"/>
        </w:rPr>
      </w:pPr>
    </w:p>
    <w:p>
      <w:pPr>
        <w:pStyle w:val="BodyTextFirstIndent"/>
        <w:rPr>
          <w:rFonts w:hint="eastAsia"/>
        </w:rPr>
      </w:pPr>
    </w:p>
    <w:p>
      <w:pPr>
        <w:pStyle w:val="BodyTextFirstIndent"/>
        <w:rPr>
          <w:rFonts w:hint="eastAsia"/>
        </w:rPr>
      </w:pPr>
    </w:p>
    <w:p>
      <w:pPr>
        <w:pStyle w:val="BodyTextFirstIndent"/>
        <w:rPr>
          <w:rFonts w:hint="eastAsia"/>
        </w:rPr>
      </w:pPr>
    </w:p>
    <w:p>
      <w:pPr>
        <w:pStyle w:val="BodyTextFirstIndent"/>
        <w:rPr>
          <w:rFonts w:hint="eastAsia"/>
        </w:rPr>
      </w:pPr>
    </w:p>
    <w:p>
      <w:pPr>
        <w:pStyle w:val="BodyTextFirstIndent"/>
        <w:rPr>
          <w:rFonts w:hint="eastAsia"/>
        </w:rPr>
      </w:pPr>
    </w:p>
    <w:p>
      <w:pPr>
        <w:pStyle w:val="BodyTextFirstIndent"/>
        <w:rPr>
          <w:rFonts w:hint="eastAsia"/>
        </w:rPr>
      </w:pPr>
    </w:p>
    <w:p>
      <w:pPr>
        <w:pStyle w:val="BodyTextFirstIndent"/>
        <w:rPr>
          <w:rFonts w:hint="eastAsia"/>
        </w:rPr>
      </w:pPr>
    </w:p>
    <w:p>
      <w:pPr>
        <w:pStyle w:val="BodyTextFirstIndent"/>
        <w:rPr>
          <w:rFonts w:hint="eastAsia"/>
        </w:rPr>
      </w:pPr>
    </w:p>
    <w:p>
      <w:pPr>
        <w:rPr>
          <w:rFonts w:hint="eastAsia"/>
        </w:rPr>
      </w:pPr>
    </w:p>
    <w:p>
      <w:pPr>
        <w:spacing w:line="440" w:lineRule="exact"/>
        <w:ind w:firstLine="480" w:firstLineChars="200"/>
        <w:jc w:val="center"/>
        <w:rPr>
          <w:rFonts w:ascii="宋体" w:eastAsia="宋体" w:hAnsi="宋体" w:cs="宋体" w:hint="eastAsia"/>
          <w:b/>
          <w:bCs/>
          <w:sz w:val="24"/>
          <w:szCs w:val="24"/>
        </w:rPr>
      </w:pPr>
      <w:r>
        <w:rPr>
          <w:rFonts w:ascii="宋体" w:eastAsia="宋体" w:hAnsi="宋体" w:cs="宋体" w:hint="eastAsia"/>
          <w:b/>
          <w:bCs/>
          <w:sz w:val="24"/>
          <w:szCs w:val="24"/>
        </w:rPr>
        <w:t xml:space="preserve">第三部分  合同条款及格式</w:t>
      </w:r>
    </w:p>
    <w:p>
      <w:pPr>
        <w:tabs>
          <w:tab w:val="left" w:pos="180"/>
        </w:tabs>
        <w:spacing w:line="400" w:lineRule="exact"/>
        <w:ind w:firstLine="480" w:firstLineChars="200"/>
      </w:pPr>
      <w:r>
        <w:rPr>
          <w:rFonts w:ascii="宋体" w:hAnsi="宋体" w:cs="宋体" w:hint="eastAsia"/>
          <w:b/>
          <w:bCs/>
          <w:sz w:val="24"/>
        </w:rPr>
        <w:t xml:space="preserve">注:以下为采购人提出中标后签订本项目合同的主要条款及通用条款，投标人必须实质性响应，中标供应商不得提出实质性的修改，关于专用条款将由采购人与中标供应商结合本项目具体情况协商后签订</w:t>
      </w:r>
    </w:p>
    <w:p>
      <w:pPr>
        <w:pStyle w:val="正文1"/>
        <w:rPr>
          <w:rFonts w:hint="eastAsia"/>
        </w:rPr>
      </w:pPr>
    </w:p>
    <w:p>
      <w:pPr>
        <w:tabs>
          <w:tab w:val="left" w:pos="180"/>
        </w:tabs>
        <w:spacing w:line="640" w:lineRule="exact"/>
        <w:jc w:val="center"/>
        <w:rPr>
          <w:rFonts w:ascii="宋体" w:eastAsia="宋体" w:hAnsi="宋体" w:cs="宋体" w:hint="eastAsia"/>
          <w:b/>
          <w:sz w:val="24"/>
          <w:szCs w:val="24"/>
        </w:rPr>
      </w:pPr>
      <w:r>
        <w:rPr>
          <w:rFonts w:ascii="宋体" w:eastAsia="宋体" w:hAnsi="宋体" w:cs="宋体" w:hint="eastAsia"/>
          <w:b/>
          <w:sz w:val="24"/>
          <w:szCs w:val="24"/>
        </w:rPr>
        <w:t xml:space="preserve">一、合同条款前附表</w:t>
      </w:r>
    </w:p>
    <w:tbl>
      <w:tblPr>
        <w:tblStyle w:val="NormalTable"/>
        <w:tblW w:w="499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Look w:firstRow="0" w:lastRow="0" w:firstColumn="0" w:lastColumn="0" w:noHBand="1" w:noVBand="1"/>
      </w:tblPr>
      <w:tblGrid>
        <w:gridCol w:w="1247"/>
        <w:gridCol w:w="8709"/>
      </w:tblGrid>
      <w:tr>
        <w:tblPrEx>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28"/>
          <w:jc w:val="center"/>
        </w:trPr>
        <w:tc>
          <w:tcPr>
            <w:tcW w:w="626" w:type="pct"/>
            <w:noWrap w:val="0"/>
            <w:vAlign w:val="center"/>
          </w:tcPr>
          <w:p>
            <w:pPr>
              <w:jc w:val="center"/>
              <w:rPr>
                <w:rFonts w:ascii="宋体" w:hAnsi="宋体" w:cs="宋体"/>
                <w:b/>
                <w:color w:val="000000"/>
                <w:sz w:val="24"/>
              </w:rPr>
            </w:pPr>
            <w:r>
              <w:rPr>
                <w:rFonts w:ascii="宋体" w:hAnsi="宋体" w:cs="宋体" w:hint="eastAsia"/>
                <w:b/>
                <w:color w:val="000000"/>
                <w:sz w:val="24"/>
              </w:rPr>
              <w:t xml:space="preserve">序 号</w:t>
            </w:r>
          </w:p>
        </w:tc>
        <w:tc>
          <w:tcPr>
            <w:tcW w:w="4373" w:type="pct"/>
            <w:noWrap w:val="0"/>
            <w:vAlign w:val="center"/>
          </w:tcPr>
          <w:p>
            <w:pPr>
              <w:jc w:val="center"/>
              <w:rPr>
                <w:rFonts w:ascii="宋体" w:hAnsi="宋体" w:cs="宋体"/>
                <w:b/>
                <w:color w:val="000000"/>
                <w:sz w:val="24"/>
              </w:rPr>
            </w:pPr>
            <w:r>
              <w:rPr>
                <w:rFonts w:ascii="宋体" w:hAnsi="宋体" w:cs="宋体" w:hint="eastAsia"/>
                <w:b/>
                <w:color w:val="000000"/>
                <w:sz w:val="24"/>
              </w:rPr>
              <w:t xml:space="preserve">内           容</w:t>
            </w:r>
          </w:p>
        </w:tc>
      </w:tr>
      <w:tr>
        <w:tblPrEx>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auto" w:val="0"/>
          <w:jc w:val="center"/>
        </w:trPr>
        <w:tc>
          <w:tcPr>
            <w:tcW w:w="626" w:type="pct"/>
            <w:noWrap w:val="0"/>
            <w:vAlign w:val="center"/>
          </w:tcPr>
          <w:p>
            <w:pPr>
              <w:spacing w:line="520" w:lineRule="exact"/>
              <w:jc w:val="center"/>
              <w:rPr>
                <w:rFonts w:ascii="宋体" w:hAnsi="宋体" w:cs="宋体"/>
                <w:color w:val="000000"/>
                <w:sz w:val="24"/>
              </w:rPr>
            </w:pPr>
            <w:r>
              <w:rPr>
                <w:rFonts w:ascii="宋体" w:hAnsi="宋体" w:cs="宋体" w:hint="eastAsia"/>
                <w:color w:val="000000"/>
                <w:sz w:val="24"/>
              </w:rPr>
              <w:t xml:space="preserve">1</w:t>
            </w:r>
          </w:p>
        </w:tc>
        <w:tc>
          <w:tcPr>
            <w:tcW w:w="4373" w:type="pct"/>
            <w:noWrap w:val="0"/>
          </w:tcPr>
          <w:p>
            <w:pPr>
              <w:spacing w:line="520" w:lineRule="exact"/>
              <w:rPr>
                <w:rFonts w:ascii="宋体" w:hAnsi="宋体" w:cs="宋体" w:hint="eastAsia"/>
                <w:sz w:val="28"/>
              </w:rPr>
            </w:pPr>
            <w:r>
              <w:rPr>
                <w:rFonts w:ascii="宋体" w:hAnsi="宋体" w:cs="宋体" w:hint="eastAsia"/>
                <w:sz w:val="28"/>
              </w:rPr>
              <w:t xml:space="preserve">付款均应按下列条件进行：合同签订生效后预付合同价的40%（合同签订后人员机械主要材料进场后并提供等额的无条件银行预付款保函），</w:t>
            </w:r>
          </w:p>
          <w:p>
            <w:pPr>
              <w:spacing w:line="520" w:lineRule="exact"/>
              <w:rPr>
                <w:rFonts w:ascii="宋体" w:eastAsia="宋体" w:hAnsi="宋体" w:cs="宋体" w:hint="eastAsia"/>
                <w:color w:val="auto"/>
                <w:sz w:val="24"/>
                <w:szCs w:val="24"/>
              </w:rPr>
            </w:pPr>
            <w:r>
              <w:rPr>
                <w:rFonts w:ascii="宋体" w:hAnsi="宋体" w:cs="宋体" w:hint="eastAsia"/>
                <w:sz w:val="28"/>
              </w:rPr>
              <w:t xml:space="preserve">（付款时提供满足甲方财务要求的增值税专用发票）设备安装调试到位；设备验收合格；专业课老师培训结束后一次性付清。</w:t>
            </w:r>
          </w:p>
        </w:tc>
      </w:tr>
      <w:tr>
        <w:tblPrEx>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515"/>
          <w:jc w:val="center"/>
        </w:trPr>
        <w:tc>
          <w:tcPr>
            <w:tcW w:w="626" w:type="pct"/>
            <w:noWrap w:val="0"/>
            <w:vAlign w:val="center"/>
          </w:tcPr>
          <w:p>
            <w:pPr>
              <w:spacing w:line="520" w:lineRule="exact"/>
              <w:jc w:val="center"/>
              <w:rPr>
                <w:rFonts w:ascii="宋体" w:hAnsi="宋体" w:cs="宋体"/>
                <w:color w:val="000000"/>
                <w:sz w:val="24"/>
              </w:rPr>
            </w:pPr>
            <w:r>
              <w:rPr>
                <w:rFonts w:ascii="宋体" w:hAnsi="宋体" w:cs="宋体" w:hint="eastAsia"/>
                <w:color w:val="000000"/>
                <w:sz w:val="24"/>
              </w:rPr>
              <w:t xml:space="preserve">2</w:t>
            </w:r>
          </w:p>
        </w:tc>
        <w:tc>
          <w:tcPr>
            <w:tcW w:w="4373" w:type="pct"/>
            <w:noWrap w:val="0"/>
          </w:tcPr>
          <w:p>
            <w:pPr>
              <w:spacing w:line="520" w:lineRule="exact"/>
              <w:rPr>
                <w:rFonts w:ascii="宋体" w:eastAsia="宋体" w:hAnsi="宋体" w:cs="宋体" w:hint="eastAsia"/>
                <w:color w:val="000000"/>
                <w:sz w:val="24"/>
                <w:lang w:eastAsia="zh-CN"/>
              </w:rPr>
            </w:pPr>
            <w:r>
              <w:rPr>
                <w:rFonts w:ascii="宋体" w:hAnsi="宋体" w:cs="宋体" w:hint="eastAsia"/>
                <w:color w:val="000000"/>
                <w:sz w:val="24"/>
                <w:lang w:eastAsia="zh-CN"/>
              </w:rPr>
              <w:t xml:space="preserve">工期</w:t>
            </w:r>
            <w:r>
              <w:rPr>
                <w:rFonts w:ascii="宋体" w:hAnsi="宋体" w:cs="宋体" w:hint="eastAsia"/>
                <w:color w:val="000000"/>
                <w:sz w:val="24"/>
              </w:rPr>
              <w:t xml:space="preserve">：</w:t>
            </w:r>
            <w:r>
              <w:rPr>
                <w:rFonts w:ascii="宋体" w:hAnsi="宋体" w:cs="宋体" w:hint="eastAsia"/>
                <w:sz w:val="28"/>
                <w:szCs w:val="28"/>
                <w:highlight w:val="none"/>
              </w:rPr>
              <w:t xml:space="preserve">合同签订后</w:t>
            </w:r>
            <w:r>
              <w:rPr>
                <w:rFonts w:ascii="宋体" w:hAnsi="宋体" w:cs="宋体" w:hint="eastAsia"/>
                <w:sz w:val="28"/>
                <w:szCs w:val="28"/>
                <w:highlight w:val="none"/>
                <w:lang w:val="en-US" w:eastAsia="zh-CN"/>
              </w:rPr>
              <w:t xml:space="preserve">15</w:t>
            </w:r>
            <w:r>
              <w:rPr>
                <w:rFonts w:ascii="宋体" w:hAnsi="宋体" w:cs="宋体" w:hint="eastAsia"/>
                <w:sz w:val="28"/>
                <w:szCs w:val="28"/>
              </w:rPr>
              <w:t xml:space="preserve">天。</w:t>
            </w:r>
          </w:p>
        </w:tc>
      </w:tr>
      <w:tr>
        <w:tblPrEx>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auto" w:val="0"/>
          <w:jc w:val="center"/>
        </w:trPr>
        <w:tc>
          <w:tcPr>
            <w:tcW w:w="626" w:type="pct"/>
            <w:noWrap w:val="0"/>
            <w:vAlign w:val="center"/>
          </w:tcPr>
          <w:p>
            <w:pPr>
              <w:spacing w:line="520" w:lineRule="exact"/>
              <w:jc w:val="center"/>
              <w:rPr>
                <w:rFonts w:ascii="宋体" w:hAnsi="宋体" w:cs="宋体"/>
                <w:color w:val="000000"/>
                <w:sz w:val="24"/>
              </w:rPr>
            </w:pPr>
            <w:r>
              <w:rPr>
                <w:rFonts w:ascii="宋体" w:hAnsi="宋体" w:cs="宋体" w:hint="eastAsia"/>
                <w:color w:val="000000"/>
                <w:sz w:val="24"/>
              </w:rPr>
              <w:t xml:space="preserve">3</w:t>
            </w:r>
          </w:p>
        </w:tc>
        <w:tc>
          <w:tcPr>
            <w:tcW w:w="4373" w:type="pct"/>
            <w:noWrap w:val="0"/>
          </w:tcPr>
          <w:p>
            <w:pPr>
              <w:spacing w:line="520" w:lineRule="exact"/>
              <w:rPr>
                <w:rFonts w:ascii="宋体" w:hAnsi="宋体" w:cs="宋体"/>
                <w:color w:val="000000"/>
                <w:sz w:val="24"/>
              </w:rPr>
            </w:pPr>
            <w:r>
              <w:rPr>
                <w:rFonts w:ascii="宋体" w:hAnsi="宋体" w:cs="宋体" w:hint="eastAsia"/>
                <w:sz w:val="28"/>
              </w:rPr>
              <w:t xml:space="preserve">服务地点：由采购人指定。</w:t>
            </w:r>
          </w:p>
        </w:tc>
      </w:tr>
      <w:tr>
        <w:tblPrEx>
          <w:tblW w:w="499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hRule="auto" w:val="0"/>
          <w:jc w:val="center"/>
        </w:trPr>
        <w:tc>
          <w:tcPr>
            <w:tcW w:w="626" w:type="pct"/>
            <w:noWrap w:val="0"/>
            <w:vAlign w:val="center"/>
          </w:tcPr>
          <w:p>
            <w:pPr>
              <w:spacing w:line="520" w:lineRule="exact"/>
              <w:jc w:val="center"/>
              <w:rPr>
                <w:rFonts w:ascii="宋体" w:eastAsia="宋体" w:hAnsi="宋体" w:cs="宋体" w:hint="eastAsia"/>
                <w:color w:val="000000"/>
                <w:sz w:val="24"/>
                <w:lang w:val="en-US" w:eastAsia="zh-CN"/>
              </w:rPr>
            </w:pPr>
            <w:r>
              <w:rPr>
                <w:rFonts w:ascii="宋体" w:hAnsi="宋体" w:cs="宋体" w:hint="eastAsia"/>
                <w:color w:val="000000"/>
                <w:sz w:val="24"/>
                <w:lang w:val="en-US" w:eastAsia="zh-CN"/>
              </w:rPr>
              <w:t xml:space="preserve">4</w:t>
            </w:r>
          </w:p>
        </w:tc>
        <w:tc>
          <w:tcPr>
            <w:tcW w:w="4373" w:type="pct"/>
            <w:noWrap w:val="0"/>
          </w:tcPr>
          <w:p>
            <w:pPr>
              <w:spacing w:line="520" w:lineRule="exact"/>
              <w:rPr>
                <w:rFonts w:ascii="宋体" w:hAnsi="宋体" w:cs="宋体" w:hint="eastAsia"/>
                <w:sz w:val="28"/>
              </w:rPr>
            </w:pPr>
            <w:r>
              <w:rPr>
                <w:rFonts w:ascii="宋体" w:hAnsi="宋体" w:hint="eastAsia"/>
                <w:color w:val="auto"/>
                <w:sz w:val="24"/>
                <w:szCs w:val="28"/>
                <w:highlight w:val="none"/>
              </w:rPr>
              <w:t xml:space="preserve">质保期：</w:t>
            </w:r>
            <w:r>
              <w:rPr>
                <w:rFonts w:ascii="宋体" w:hAnsi="宋体" w:hint="eastAsia"/>
                <w:color w:val="auto"/>
                <w:sz w:val="24"/>
                <w:szCs w:val="28"/>
                <w:highlight w:val="none"/>
                <w:lang w:eastAsia="zh-CN"/>
              </w:rPr>
              <w:t xml:space="preserve">免费质保</w:t>
            </w:r>
            <w:r>
              <w:rPr>
                <w:rFonts w:ascii="宋体" w:hAnsi="宋体" w:hint="eastAsia"/>
                <w:color w:val="auto"/>
                <w:sz w:val="24"/>
                <w:szCs w:val="28"/>
                <w:highlight w:val="none"/>
                <w:lang w:val="en-US" w:eastAsia="zh-CN"/>
              </w:rPr>
              <w:t xml:space="preserve">2</w:t>
            </w:r>
            <w:r>
              <w:rPr>
                <w:rFonts w:ascii="宋体" w:hAnsi="宋体" w:hint="eastAsia"/>
                <w:color w:val="auto"/>
                <w:sz w:val="24"/>
                <w:szCs w:val="28"/>
                <w:highlight w:val="none"/>
              </w:rPr>
              <w:t xml:space="preserve">年。</w:t>
            </w:r>
          </w:p>
        </w:tc>
      </w:tr>
    </w:tbl>
    <w:p>
      <w:pPr>
        <w:spacing w:line="500" w:lineRule="exact"/>
        <w:ind w:firstLine="480" w:firstLineChars="200"/>
        <w:rPr>
          <w:rFonts w:ascii="仿宋" w:eastAsia="仿宋" w:hAnsi="仿宋" w:hint="eastAsia"/>
          <w:color w:val="000000"/>
          <w:sz w:val="24"/>
        </w:rPr>
      </w:pPr>
    </w:p>
    <w:p>
      <w:pPr>
        <w:jc w:val="center"/>
        <w:outlineLvl w:val="0"/>
        <w:rPr>
          <w:rFonts w:ascii="宋体" w:hAnsi="宋体" w:cs="宋体"/>
          <w:b/>
          <w:sz w:val="28"/>
          <w:szCs w:val="32"/>
        </w:rPr>
      </w:pPr>
      <w:r>
        <w:rPr>
          <w:rFonts w:ascii="宋体" w:hAnsi="宋体" w:cs="宋体" w:hint="eastAsia"/>
          <w:b/>
          <w:sz w:val="32"/>
          <w:szCs w:val="32"/>
        </w:rPr>
        <w:t xml:space="preserve">合同主要条款</w:t>
      </w:r>
    </w:p>
    <w:p>
      <w:pPr>
        <w:widowControl/>
        <w:jc w:val="left"/>
        <w:rPr>
          <w:rFonts w:ascii="宋体" w:hAnsi="宋体" w:cs="宋体"/>
          <w:b/>
          <w:sz w:val="24"/>
        </w:rPr>
      </w:pPr>
    </w:p>
    <w:p>
      <w:pPr>
        <w:adjustRightInd w:val="0"/>
        <w:snapToGrid w:val="0"/>
        <w:spacing w:line="400" w:lineRule="exact"/>
        <w:rPr>
          <w:rFonts w:ascii="宋体" w:hAnsi="宋体"/>
          <w:sz w:val="24"/>
          <w:szCs w:val="28"/>
          <w:u w:val="single"/>
        </w:rPr>
      </w:pPr>
      <w:r>
        <w:rPr>
          <w:rFonts w:ascii="宋体" w:hAnsi="宋体" w:hint="eastAsia"/>
          <w:sz w:val="24"/>
          <w:szCs w:val="28"/>
        </w:rPr>
        <w:t xml:space="preserve">甲  方：</w:t>
      </w:r>
    </w:p>
    <w:p>
      <w:pPr>
        <w:adjustRightInd w:val="0"/>
        <w:snapToGrid w:val="0"/>
        <w:spacing w:line="400" w:lineRule="exact"/>
        <w:rPr>
          <w:rFonts w:ascii="宋体" w:hAnsi="宋体"/>
          <w:sz w:val="24"/>
          <w:szCs w:val="28"/>
          <w:u w:val="single"/>
        </w:rPr>
      </w:pPr>
      <w:r>
        <w:rPr>
          <w:rFonts w:ascii="宋体" w:hAnsi="宋体" w:hint="eastAsia"/>
          <w:sz w:val="24"/>
          <w:szCs w:val="28"/>
        </w:rPr>
        <w:t xml:space="preserve">乙  方：</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一、依据《中华人民共和国民法典》的规定，经甲、乙双方友好协商，签订本合同。</w:t>
      </w:r>
    </w:p>
    <w:p>
      <w:pPr>
        <w:adjustRightInd w:val="0"/>
        <w:snapToGrid w:val="0"/>
        <w:spacing w:line="400" w:lineRule="exact"/>
        <w:ind w:firstLine="480" w:firstLineChars="200"/>
        <w:rPr>
          <w:rFonts w:ascii="宋体" w:hAnsi="宋体" w:hint="eastAsia"/>
          <w:bCs/>
          <w:sz w:val="24"/>
          <w:szCs w:val="28"/>
          <w:lang w:val="en-US" w:eastAsia="zh-CN"/>
        </w:rPr>
      </w:pPr>
      <w:r>
        <w:rPr>
          <w:rFonts w:ascii="宋体" w:hAnsi="宋体" w:hint="eastAsia"/>
          <w:sz w:val="24"/>
          <w:szCs w:val="28"/>
        </w:rPr>
        <w:t xml:space="preserve">二、项目编号：</w:t>
      </w:r>
      <w:r>
        <w:rPr>
          <w:rFonts w:ascii="宋体" w:hAnsi="宋体" w:hint="eastAsia"/>
          <w:bCs/>
          <w:sz w:val="24"/>
          <w:szCs w:val="28"/>
          <w:lang w:val="en-US" w:eastAsia="zh-CN"/>
        </w:rPr>
        <w:t xml:space="preserve"> </w:t>
      </w:r>
    </w:p>
    <w:p>
      <w:pPr>
        <w:adjustRightInd w:val="0"/>
        <w:snapToGrid w:val="0"/>
        <w:spacing w:line="400" w:lineRule="exact"/>
        <w:ind w:firstLine="480" w:firstLineChars="200"/>
        <w:rPr>
          <w:rFonts w:ascii="宋体" w:eastAsia="宋体" w:hAnsi="宋体" w:hint="eastAsia"/>
          <w:sz w:val="24"/>
          <w:szCs w:val="28"/>
          <w:u w:val="single"/>
          <w:lang w:eastAsia="zh-CN"/>
        </w:rPr>
      </w:pPr>
      <w:r>
        <w:rPr>
          <w:rFonts w:ascii="宋体" w:hAnsi="宋体" w:hint="eastAsia"/>
          <w:sz w:val="24"/>
          <w:szCs w:val="28"/>
        </w:rPr>
        <w:t xml:space="preserve">三、项目名称：</w:t>
      </w:r>
      <w:r>
        <w:rPr>
          <w:rFonts w:ascii="宋体" w:hAnsi="宋体" w:hint="eastAsia"/>
          <w:sz w:val="24"/>
          <w:szCs w:val="28"/>
          <w:lang w:eastAsia="zh-CN"/>
        </w:rPr>
        <w:t xml:space="preserve">盱眙技师学院校园提升改造精密测量、机械测绘与机械拆装实训室项目</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三、合同价款：</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合同金额（大写）</w:t>
      </w:r>
      <w:r>
        <w:rPr>
          <w:rFonts w:ascii="宋体" w:hAnsi="宋体" w:hint="eastAsia"/>
          <w:sz w:val="24"/>
          <w:szCs w:val="28"/>
          <w:u w:val="single"/>
        </w:rPr>
        <w:t xml:space="preserve">        　        </w:t>
      </w:r>
      <w:r>
        <w:rPr>
          <w:rFonts w:ascii="宋体" w:hAnsi="宋体" w:hint="eastAsia"/>
          <w:sz w:val="24"/>
          <w:szCs w:val="28"/>
        </w:rPr>
        <w:t xml:space="preserve">元；（小写） ¥</w:t>
      </w:r>
      <w:r>
        <w:rPr>
          <w:rFonts w:ascii="宋体" w:hAnsi="宋体" w:hint="eastAsia"/>
          <w:sz w:val="24"/>
          <w:szCs w:val="28"/>
          <w:u w:val="single"/>
        </w:rPr>
        <w:t xml:space="preserve">   　     </w:t>
      </w:r>
      <w:r>
        <w:rPr>
          <w:rFonts w:ascii="宋体" w:hAnsi="宋体" w:hint="eastAsia"/>
          <w:sz w:val="24"/>
          <w:szCs w:val="28"/>
        </w:rPr>
        <w:t xml:space="preserve">。  </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四、货物及数量</w:t>
      </w:r>
    </w:p>
    <w:tbl>
      <w:tblPr>
        <w:tblStyle w:val="NormalTable"/>
        <w:tblW w:w="8926" w:type="dxa"/>
        <w:tblInd w:w="91" w:type="dxa"/>
        <w:tblLayout w:type="fixed"/>
        <w:tblCellMar>
          <w:top w:w="0" w:type="dxa"/>
          <w:left w:w="108" w:type="dxa"/>
          <w:bottom w:w="0" w:type="dxa"/>
          <w:right w:w="108" w:type="dxa"/>
        </w:tblCellMar>
        <w:tblLook w:firstRow="0" w:lastRow="0" w:firstColumn="0" w:lastColumn="0" w:noHBand="1" w:noVBand="1"/>
      </w:tblPr>
      <w:tblGrid>
        <w:gridCol w:w="1106"/>
        <w:gridCol w:w="1871"/>
        <w:gridCol w:w="1652"/>
        <w:gridCol w:w="1247"/>
        <w:gridCol w:w="1500"/>
        <w:gridCol w:w="1550"/>
      </w:tblGrid>
      <w:tr>
        <w:tblPrEx>
          <w:tblW w:w="8926" w:type="dxa"/>
          <w:tblInd w:w="91" w:type="dxa"/>
          <w:tblLayout w:type="fixed"/>
          <w:tblCellMar>
            <w:top w:w="0" w:type="dxa"/>
            <w:left w:w="108" w:type="dxa"/>
            <w:bottom w:w="0" w:type="dxa"/>
            <w:right w:w="108" w:type="dxa"/>
          </w:tblCellMar>
        </w:tblPrEx>
        <w:trPr>
          <w:trHeight w:val="285"/>
        </w:trPr>
        <w:tc>
          <w:tcPr>
            <w:tcW w:w="1106"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b/>
                <w:bCs/>
                <w:color w:val="000000"/>
                <w:sz w:val="24"/>
              </w:rPr>
            </w:pPr>
            <w:r>
              <w:rPr>
                <w:rFonts w:ascii="宋体" w:hAnsi="宋体" w:cs="仿宋" w:hint="eastAsia"/>
                <w:b/>
                <w:bCs/>
                <w:color w:val="000000"/>
                <w:kern w:val="0"/>
                <w:sz w:val="24"/>
              </w:rPr>
              <w:t xml:space="preserve">序号</w:t>
            </w:r>
          </w:p>
        </w:tc>
        <w:tc>
          <w:tcPr>
            <w:tcW w:w="1871"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b/>
                <w:bCs/>
                <w:color w:val="000000"/>
                <w:sz w:val="24"/>
              </w:rPr>
            </w:pPr>
            <w:r>
              <w:rPr>
                <w:rFonts w:ascii="宋体" w:hAnsi="宋体" w:cs="仿宋" w:hint="eastAsia"/>
                <w:b/>
                <w:bCs/>
                <w:color w:val="000000"/>
                <w:sz w:val="24"/>
              </w:rPr>
              <w:t xml:space="preserve">货物名称</w:t>
            </w:r>
          </w:p>
        </w:tc>
        <w:tc>
          <w:tcPr>
            <w:tcW w:w="1652"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b/>
                <w:bCs/>
                <w:color w:val="000000"/>
                <w:sz w:val="24"/>
              </w:rPr>
            </w:pPr>
            <w:r>
              <w:rPr>
                <w:rFonts w:ascii="宋体" w:hAnsi="宋体" w:cs="仿宋" w:hint="eastAsia"/>
                <w:b/>
                <w:bCs/>
                <w:color w:val="000000"/>
                <w:kern w:val="0"/>
                <w:sz w:val="24"/>
              </w:rPr>
              <w:t xml:space="preserve">单位</w:t>
            </w:r>
          </w:p>
        </w:tc>
        <w:tc>
          <w:tcPr>
            <w:tcW w:w="1247"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b/>
                <w:bCs/>
                <w:color w:val="000000"/>
                <w:sz w:val="24"/>
              </w:rPr>
            </w:pPr>
            <w:r>
              <w:rPr>
                <w:rFonts w:ascii="宋体" w:hAnsi="宋体" w:cs="仿宋" w:hint="eastAsia"/>
                <w:b/>
                <w:bCs/>
                <w:color w:val="000000"/>
                <w:kern w:val="0"/>
                <w:sz w:val="24"/>
              </w:rPr>
              <w:t xml:space="preserve">数量</w:t>
            </w:r>
          </w:p>
        </w:tc>
        <w:tc>
          <w:tcPr>
            <w:tcW w:w="150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b/>
                <w:bCs/>
                <w:color w:val="000000"/>
                <w:sz w:val="24"/>
              </w:rPr>
            </w:pPr>
            <w:r>
              <w:rPr>
                <w:rFonts w:ascii="宋体" w:hAnsi="宋体" w:cs="仿宋" w:hint="eastAsia"/>
                <w:b/>
                <w:bCs/>
                <w:color w:val="000000"/>
                <w:kern w:val="0"/>
                <w:sz w:val="24"/>
              </w:rPr>
              <w:t xml:space="preserve">综合单价（元）</w:t>
            </w:r>
          </w:p>
        </w:tc>
        <w:tc>
          <w:tcPr>
            <w:tcW w:w="155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b/>
                <w:bCs/>
                <w:color w:val="000000"/>
                <w:sz w:val="24"/>
              </w:rPr>
            </w:pPr>
            <w:r>
              <w:rPr>
                <w:rFonts w:ascii="宋体" w:hAnsi="宋体" w:cs="仿宋" w:hint="eastAsia"/>
                <w:b/>
                <w:bCs/>
                <w:color w:val="000000"/>
                <w:kern w:val="0"/>
                <w:sz w:val="24"/>
              </w:rPr>
              <w:t xml:space="preserve">综合合价（元）</w:t>
            </w:r>
          </w:p>
        </w:tc>
      </w:tr>
      <w:tr>
        <w:tblPrEx>
          <w:tblW w:w="8926" w:type="dxa"/>
          <w:tblInd w:w="91" w:type="dxa"/>
          <w:tblLayout w:type="fixed"/>
          <w:tblCellMar>
            <w:top w:w="0" w:type="dxa"/>
            <w:left w:w="108" w:type="dxa"/>
            <w:bottom w:w="0" w:type="dxa"/>
            <w:right w:w="108" w:type="dxa"/>
          </w:tblCellMar>
        </w:tblPrEx>
        <w:trPr>
          <w:trHeight w:val="454"/>
        </w:trPr>
        <w:tc>
          <w:tcPr>
            <w:tcW w:w="1106"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sz w:val="24"/>
              </w:rPr>
            </w:pPr>
            <w:r>
              <w:rPr>
                <w:rFonts w:ascii="宋体" w:hAnsi="宋体" w:cs="仿宋" w:hint="eastAsia"/>
                <w:color w:val="000000"/>
                <w:kern w:val="0"/>
                <w:sz w:val="24"/>
              </w:rPr>
              <w:t xml:space="preserve">1</w:t>
            </w:r>
          </w:p>
        </w:tc>
        <w:tc>
          <w:tcPr>
            <w:tcW w:w="1871"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kern w:val="0"/>
                <w:sz w:val="24"/>
              </w:rPr>
            </w:pPr>
          </w:p>
        </w:tc>
        <w:tc>
          <w:tcPr>
            <w:tcW w:w="1652"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247"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50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c>
          <w:tcPr>
            <w:tcW w:w="155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r>
      <w:tr>
        <w:tblPrEx>
          <w:tblW w:w="8926" w:type="dxa"/>
          <w:tblInd w:w="91" w:type="dxa"/>
          <w:tblLayout w:type="fixed"/>
          <w:tblCellMar>
            <w:top w:w="0" w:type="dxa"/>
            <w:left w:w="108" w:type="dxa"/>
            <w:bottom w:w="0" w:type="dxa"/>
            <w:right w:w="108" w:type="dxa"/>
          </w:tblCellMar>
        </w:tblPrEx>
        <w:trPr>
          <w:trHeight w:val="454"/>
        </w:trPr>
        <w:tc>
          <w:tcPr>
            <w:tcW w:w="1106"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sz w:val="24"/>
              </w:rPr>
            </w:pPr>
            <w:r>
              <w:rPr>
                <w:rFonts w:ascii="宋体" w:hAnsi="宋体" w:cs="仿宋" w:hint="eastAsia"/>
                <w:color w:val="000000"/>
                <w:kern w:val="0"/>
                <w:sz w:val="24"/>
              </w:rPr>
              <w:t xml:space="preserve">2</w:t>
            </w:r>
          </w:p>
        </w:tc>
        <w:tc>
          <w:tcPr>
            <w:tcW w:w="1871"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kern w:val="0"/>
                <w:sz w:val="24"/>
              </w:rPr>
            </w:pPr>
          </w:p>
        </w:tc>
        <w:tc>
          <w:tcPr>
            <w:tcW w:w="1652"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247"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50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c>
          <w:tcPr>
            <w:tcW w:w="155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r>
      <w:tr>
        <w:tblPrEx>
          <w:tblW w:w="8926" w:type="dxa"/>
          <w:tblInd w:w="91" w:type="dxa"/>
          <w:tblLayout w:type="fixed"/>
          <w:tblCellMar>
            <w:top w:w="0" w:type="dxa"/>
            <w:left w:w="108" w:type="dxa"/>
            <w:bottom w:w="0" w:type="dxa"/>
            <w:right w:w="108" w:type="dxa"/>
          </w:tblCellMar>
        </w:tblPrEx>
        <w:trPr>
          <w:trHeight w:val="454"/>
        </w:trPr>
        <w:tc>
          <w:tcPr>
            <w:tcW w:w="1106"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sz w:val="24"/>
              </w:rPr>
            </w:pPr>
            <w:r>
              <w:rPr>
                <w:rFonts w:ascii="宋体" w:hAnsi="宋体" w:cs="仿宋" w:hint="eastAsia"/>
                <w:color w:val="000000"/>
                <w:kern w:val="0"/>
                <w:sz w:val="24"/>
              </w:rPr>
              <w:t xml:space="preserve">3</w:t>
            </w:r>
          </w:p>
        </w:tc>
        <w:tc>
          <w:tcPr>
            <w:tcW w:w="1871"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kern w:val="0"/>
                <w:sz w:val="24"/>
              </w:rPr>
            </w:pPr>
          </w:p>
        </w:tc>
        <w:tc>
          <w:tcPr>
            <w:tcW w:w="1652"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247"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50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c>
          <w:tcPr>
            <w:tcW w:w="155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r>
      <w:tr>
        <w:tblPrEx>
          <w:tblW w:w="8926" w:type="dxa"/>
          <w:tblInd w:w="91" w:type="dxa"/>
          <w:tblLayout w:type="fixed"/>
          <w:tblCellMar>
            <w:top w:w="0" w:type="dxa"/>
            <w:left w:w="108" w:type="dxa"/>
            <w:bottom w:w="0" w:type="dxa"/>
            <w:right w:w="108" w:type="dxa"/>
          </w:tblCellMar>
        </w:tblPrEx>
        <w:trPr>
          <w:trHeight w:val="454"/>
        </w:trPr>
        <w:tc>
          <w:tcPr>
            <w:tcW w:w="1106"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sz w:val="24"/>
              </w:rPr>
            </w:pPr>
            <w:r>
              <w:rPr>
                <w:rFonts w:ascii="宋体" w:hAnsi="宋体" w:cs="仿宋" w:hint="eastAsia"/>
                <w:color w:val="000000"/>
                <w:kern w:val="0"/>
                <w:sz w:val="24"/>
              </w:rPr>
              <w:t xml:space="preserve">4</w:t>
            </w:r>
          </w:p>
        </w:tc>
        <w:tc>
          <w:tcPr>
            <w:tcW w:w="1871"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kern w:val="0"/>
                <w:sz w:val="24"/>
              </w:rPr>
            </w:pPr>
          </w:p>
        </w:tc>
        <w:tc>
          <w:tcPr>
            <w:tcW w:w="1652"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247"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50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c>
          <w:tcPr>
            <w:tcW w:w="155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r>
      <w:tr>
        <w:tblPrEx>
          <w:tblW w:w="8926" w:type="dxa"/>
          <w:tblInd w:w="91" w:type="dxa"/>
          <w:tblLayout w:type="fixed"/>
          <w:tblCellMar>
            <w:top w:w="0" w:type="dxa"/>
            <w:left w:w="108" w:type="dxa"/>
            <w:bottom w:w="0" w:type="dxa"/>
            <w:right w:w="108" w:type="dxa"/>
          </w:tblCellMar>
        </w:tblPrEx>
        <w:trPr>
          <w:trHeight w:val="454"/>
        </w:trPr>
        <w:tc>
          <w:tcPr>
            <w:tcW w:w="1106"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kern w:val="0"/>
                <w:sz w:val="24"/>
              </w:rPr>
            </w:pPr>
            <w:r>
              <w:rPr>
                <w:rFonts w:ascii="宋体" w:hAnsi="宋体" w:cs="仿宋" w:hint="eastAsia"/>
                <w:color w:val="000000"/>
                <w:kern w:val="0"/>
                <w:sz w:val="24"/>
              </w:rPr>
              <w:t xml:space="preserve">5</w:t>
            </w:r>
          </w:p>
        </w:tc>
        <w:tc>
          <w:tcPr>
            <w:tcW w:w="1871"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kern w:val="0"/>
                <w:sz w:val="24"/>
              </w:rPr>
            </w:pPr>
          </w:p>
        </w:tc>
        <w:tc>
          <w:tcPr>
            <w:tcW w:w="1652"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247"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50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c>
          <w:tcPr>
            <w:tcW w:w="155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r>
      <w:tr>
        <w:tblPrEx>
          <w:tblW w:w="8926" w:type="dxa"/>
          <w:tblInd w:w="91" w:type="dxa"/>
          <w:tblLayout w:type="fixed"/>
          <w:tblCellMar>
            <w:top w:w="0" w:type="dxa"/>
            <w:left w:w="108" w:type="dxa"/>
            <w:bottom w:w="0" w:type="dxa"/>
            <w:right w:w="108" w:type="dxa"/>
          </w:tblCellMar>
        </w:tblPrEx>
        <w:trPr>
          <w:trHeight w:val="454"/>
        </w:trPr>
        <w:tc>
          <w:tcPr>
            <w:tcW w:w="1106"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kern w:val="0"/>
                <w:sz w:val="24"/>
              </w:rPr>
            </w:pPr>
            <w:r>
              <w:rPr>
                <w:rFonts w:ascii="宋体" w:hAnsi="宋体" w:cs="仿宋" w:hint="eastAsia"/>
                <w:color w:val="000000"/>
                <w:kern w:val="0"/>
                <w:sz w:val="24"/>
              </w:rPr>
              <w:t xml:space="preserve">6</w:t>
            </w:r>
          </w:p>
        </w:tc>
        <w:tc>
          <w:tcPr>
            <w:tcW w:w="1871"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kern w:val="0"/>
                <w:sz w:val="24"/>
              </w:rPr>
            </w:pPr>
          </w:p>
        </w:tc>
        <w:tc>
          <w:tcPr>
            <w:tcW w:w="1652"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247"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50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c>
          <w:tcPr>
            <w:tcW w:w="155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r>
      <w:tr>
        <w:tblPrEx>
          <w:tblW w:w="8926" w:type="dxa"/>
          <w:tblInd w:w="91" w:type="dxa"/>
          <w:tblLayout w:type="fixed"/>
          <w:tblCellMar>
            <w:top w:w="0" w:type="dxa"/>
            <w:left w:w="108" w:type="dxa"/>
            <w:bottom w:w="0" w:type="dxa"/>
            <w:right w:w="108" w:type="dxa"/>
          </w:tblCellMar>
        </w:tblPrEx>
        <w:trPr>
          <w:trHeight w:val="454"/>
        </w:trPr>
        <w:tc>
          <w:tcPr>
            <w:tcW w:w="1106"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kern w:val="0"/>
                <w:sz w:val="24"/>
              </w:rPr>
            </w:pPr>
            <w:r>
              <w:rPr>
                <w:rFonts w:ascii="宋体" w:hAnsi="宋体" w:cs="仿宋" w:hint="eastAsia"/>
                <w:color w:val="000000"/>
                <w:kern w:val="0"/>
                <w:sz w:val="24"/>
              </w:rPr>
              <w:t xml:space="preserve">7</w:t>
            </w:r>
          </w:p>
        </w:tc>
        <w:tc>
          <w:tcPr>
            <w:tcW w:w="1871"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kern w:val="0"/>
                <w:sz w:val="24"/>
              </w:rPr>
            </w:pPr>
          </w:p>
        </w:tc>
        <w:tc>
          <w:tcPr>
            <w:tcW w:w="1652"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247"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50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c>
          <w:tcPr>
            <w:tcW w:w="155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r>
      <w:tr>
        <w:tblPrEx>
          <w:tblW w:w="8926" w:type="dxa"/>
          <w:tblInd w:w="91" w:type="dxa"/>
          <w:tblLayout w:type="fixed"/>
          <w:tblCellMar>
            <w:top w:w="0" w:type="dxa"/>
            <w:left w:w="108" w:type="dxa"/>
            <w:bottom w:w="0" w:type="dxa"/>
            <w:right w:w="108" w:type="dxa"/>
          </w:tblCellMar>
        </w:tblPrEx>
        <w:trPr>
          <w:trHeight w:val="454"/>
        </w:trPr>
        <w:tc>
          <w:tcPr>
            <w:tcW w:w="1106"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kern w:val="0"/>
                <w:sz w:val="24"/>
              </w:rPr>
            </w:pPr>
            <w:r>
              <w:rPr>
                <w:rFonts w:ascii="宋体" w:hAnsi="宋体" w:cs="仿宋" w:hint="eastAsia"/>
                <w:color w:val="000000"/>
                <w:kern w:val="0"/>
                <w:sz w:val="24"/>
              </w:rPr>
              <w:t xml:space="preserve">8</w:t>
            </w:r>
          </w:p>
        </w:tc>
        <w:tc>
          <w:tcPr>
            <w:tcW w:w="1871"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kern w:val="0"/>
                <w:sz w:val="24"/>
              </w:rPr>
            </w:pPr>
          </w:p>
        </w:tc>
        <w:tc>
          <w:tcPr>
            <w:tcW w:w="1652"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247"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50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c>
          <w:tcPr>
            <w:tcW w:w="155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r>
      <w:tr>
        <w:tblPrEx>
          <w:tblW w:w="8926" w:type="dxa"/>
          <w:tblInd w:w="91" w:type="dxa"/>
          <w:tblLayout w:type="fixed"/>
          <w:tblCellMar>
            <w:top w:w="0" w:type="dxa"/>
            <w:left w:w="108" w:type="dxa"/>
            <w:bottom w:w="0" w:type="dxa"/>
            <w:right w:w="108" w:type="dxa"/>
          </w:tblCellMar>
        </w:tblPrEx>
        <w:trPr>
          <w:trHeight w:val="454"/>
        </w:trPr>
        <w:tc>
          <w:tcPr>
            <w:tcW w:w="1106"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kern w:val="0"/>
                <w:sz w:val="24"/>
              </w:rPr>
            </w:pPr>
            <w:r>
              <w:rPr>
                <w:rFonts w:ascii="宋体" w:hAnsi="宋体" w:cs="仿宋" w:hint="eastAsia"/>
                <w:color w:val="000000"/>
                <w:kern w:val="0"/>
                <w:sz w:val="24"/>
              </w:rPr>
              <w:t xml:space="preserve">9</w:t>
            </w:r>
          </w:p>
        </w:tc>
        <w:tc>
          <w:tcPr>
            <w:tcW w:w="1871" w:type="dxa"/>
            <w:tcBorders>
              <w:top w:val="single" w:sz="4" w:space="0" w:color="auto"/>
              <w:left w:val="single" w:sz="4" w:space="0" w:color="auto"/>
              <w:bottom w:val="single" w:sz="4" w:space="0" w:color="auto"/>
              <w:right w:val="single" w:sz="4" w:space="0" w:color="auto"/>
            </w:tcBorders>
            <w:vAlign w:val="center"/>
          </w:tcPr>
          <w:p>
            <w:pPr>
              <w:widowControl/>
              <w:jc w:val="center"/>
              <w:textAlignment w:val="center"/>
              <w:rPr>
                <w:rFonts w:ascii="宋体" w:hAnsi="宋体" w:cs="仿宋"/>
                <w:color w:val="000000"/>
                <w:kern w:val="0"/>
                <w:sz w:val="24"/>
              </w:rPr>
            </w:pPr>
          </w:p>
        </w:tc>
        <w:tc>
          <w:tcPr>
            <w:tcW w:w="1652"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247"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kern w:val="0"/>
                <w:sz w:val="24"/>
              </w:rPr>
            </w:pPr>
          </w:p>
        </w:tc>
        <w:tc>
          <w:tcPr>
            <w:tcW w:w="150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c>
          <w:tcPr>
            <w:tcW w:w="1550" w:type="dxa"/>
            <w:tcBorders>
              <w:top w:val="single" w:sz="4" w:space="0" w:color="auto"/>
              <w:left w:val="single" w:sz="4" w:space="0" w:color="auto"/>
              <w:bottom w:val="single" w:sz="4" w:space="0" w:color="auto"/>
              <w:right w:val="single" w:sz="4" w:space="0" w:color="auto"/>
            </w:tcBorders>
            <w:noWrap w:val="1"/>
            <w:vAlign w:val="center"/>
          </w:tcPr>
          <w:p>
            <w:pPr>
              <w:widowControl/>
              <w:jc w:val="center"/>
              <w:textAlignment w:val="center"/>
              <w:rPr>
                <w:rFonts w:ascii="宋体" w:hAnsi="宋体" w:cs="仿宋"/>
                <w:color w:val="000000"/>
                <w:sz w:val="24"/>
              </w:rPr>
            </w:pPr>
          </w:p>
        </w:tc>
      </w:tr>
      <w:tr>
        <w:tblPrEx>
          <w:tblW w:w="8926" w:type="dxa"/>
          <w:tblInd w:w="91" w:type="dxa"/>
          <w:tblLayout w:type="fixed"/>
          <w:tblCellMar>
            <w:top w:w="0" w:type="dxa"/>
            <w:left w:w="108" w:type="dxa"/>
            <w:bottom w:w="0" w:type="dxa"/>
            <w:right w:w="108" w:type="dxa"/>
          </w:tblCellMar>
        </w:tblPrEx>
        <w:trPr>
          <w:trHeight w:val="561"/>
        </w:trPr>
        <w:tc>
          <w:tcPr>
            <w:tcW w:w="8926" w:type="dxa"/>
            <w:gridSpan w:val="6"/>
            <w:tcBorders>
              <w:top w:val="single" w:sz="4" w:space="0" w:color="auto"/>
              <w:left w:val="single" w:sz="4" w:space="0" w:color="auto"/>
              <w:bottom w:val="single" w:sz="4" w:space="0" w:color="auto"/>
              <w:right w:val="single" w:sz="4" w:space="0" w:color="auto"/>
            </w:tcBorders>
            <w:vAlign w:val="center"/>
          </w:tcPr>
          <w:p>
            <w:pPr>
              <w:widowControl/>
              <w:jc w:val="left"/>
              <w:textAlignment w:val="center"/>
              <w:rPr>
                <w:rFonts w:ascii="宋体" w:hAnsi="宋体" w:cs="仿宋"/>
                <w:color w:val="000000"/>
                <w:sz w:val="24"/>
              </w:rPr>
            </w:pPr>
            <w:r>
              <w:rPr>
                <w:rFonts w:ascii="宋体" w:hAnsi="宋体" w:cs="仿宋" w:hint="eastAsia"/>
                <w:color w:val="000000"/>
                <w:sz w:val="24"/>
              </w:rPr>
              <w:t xml:space="preserve">总计：（大写）       元（小写¥       元）</w:t>
            </w:r>
          </w:p>
        </w:tc>
      </w:tr>
    </w:tbl>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五、</w:t>
      </w:r>
      <w:r>
        <w:rPr>
          <w:rFonts w:ascii="宋体" w:hAnsi="宋体" w:hint="eastAsia"/>
          <w:sz w:val="24"/>
          <w:szCs w:val="28"/>
          <w:lang w:eastAsia="zh-CN"/>
        </w:rPr>
        <w:t xml:space="preserve">工期</w:t>
      </w:r>
      <w:r>
        <w:rPr>
          <w:rFonts w:ascii="宋体" w:hAnsi="宋体" w:hint="eastAsia"/>
          <w:sz w:val="24"/>
          <w:szCs w:val="28"/>
        </w:rPr>
        <w:t xml:space="preserve">：合同签订后</w:t>
      </w:r>
      <w:r>
        <w:rPr>
          <w:rFonts w:ascii="宋体" w:hAnsi="宋体" w:hint="eastAsia"/>
          <w:sz w:val="24"/>
          <w:szCs w:val="28"/>
          <w:lang w:val="en-US" w:eastAsia="zh-CN"/>
        </w:rPr>
        <w:t xml:space="preserve">15</w:t>
      </w:r>
      <w:r>
        <w:rPr>
          <w:rFonts w:ascii="宋体" w:hAnsi="宋体" w:hint="eastAsia"/>
          <w:sz w:val="24"/>
          <w:szCs w:val="28"/>
        </w:rPr>
        <w:t xml:space="preserve">天。</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六、供货地点：由甲方指定</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七、验收标准：甲方按招标文件相关要求对所供产品进行检测、验收。</w:t>
      </w:r>
    </w:p>
    <w:p>
      <w:pPr>
        <w:pStyle w:val="正文1"/>
        <w:spacing w:line="400" w:lineRule="exact"/>
        <w:ind w:firstLine="480"/>
        <w:rPr>
          <w:rFonts w:ascii="宋体" w:hAnsi="宋体" w:hint="eastAsia"/>
          <w:sz w:val="24"/>
          <w:szCs w:val="28"/>
        </w:rPr>
      </w:pPr>
      <w:r>
        <w:rPr>
          <w:rFonts w:ascii="宋体" w:hAnsi="宋体" w:hint="eastAsia"/>
          <w:sz w:val="24"/>
          <w:szCs w:val="28"/>
        </w:rPr>
        <w:t xml:space="preserve">八、付款方式：合同签订生效后预付合同价的40%（合同签订后人员机械主要材料进场后并提供等额的无条件银行预付款保函），（付款时提供满足甲方财务要求的增值税专用发票）设备安装调试到位</w:t>
      </w:r>
      <w:r>
        <w:rPr>
          <w:rFonts w:ascii="宋体" w:hAnsi="宋体" w:hint="eastAsia"/>
          <w:sz w:val="24"/>
          <w:szCs w:val="28"/>
          <w:lang w:eastAsia="zh-CN"/>
        </w:rPr>
        <w:t xml:space="preserve">；</w:t>
      </w:r>
      <w:r>
        <w:rPr>
          <w:rFonts w:ascii="宋体" w:hAnsi="宋体" w:hint="eastAsia"/>
          <w:sz w:val="24"/>
          <w:szCs w:val="28"/>
        </w:rPr>
        <w:t xml:space="preserve">设备验收合格</w:t>
      </w:r>
      <w:r>
        <w:rPr>
          <w:rFonts w:ascii="宋体" w:hAnsi="宋体" w:hint="eastAsia"/>
          <w:sz w:val="24"/>
          <w:szCs w:val="28"/>
          <w:lang w:eastAsia="zh-CN"/>
        </w:rPr>
        <w:t xml:space="preserve">；</w:t>
      </w:r>
      <w:r>
        <w:rPr>
          <w:rFonts w:ascii="宋体" w:hAnsi="宋体" w:hint="eastAsia"/>
          <w:sz w:val="24"/>
          <w:szCs w:val="28"/>
        </w:rPr>
        <w:t xml:space="preserve">专业课老师培训结束后一次</w:t>
      </w:r>
      <w:r>
        <w:rPr>
          <w:rFonts w:ascii="宋体" w:hAnsi="宋体" w:hint="eastAsia"/>
          <w:sz w:val="24"/>
          <w:szCs w:val="28"/>
          <w:lang w:eastAsia="zh-CN"/>
        </w:rPr>
        <w:t xml:space="preserve">性</w:t>
      </w:r>
      <w:r>
        <w:rPr>
          <w:rFonts w:ascii="宋体" w:hAnsi="宋体" w:hint="eastAsia"/>
          <w:sz w:val="24"/>
          <w:szCs w:val="28"/>
        </w:rPr>
        <w:t xml:space="preserve">付清。</w:t>
      </w:r>
    </w:p>
    <w:p>
      <w:pPr>
        <w:pStyle w:val="正文1"/>
        <w:spacing w:line="400" w:lineRule="exact"/>
        <w:ind w:firstLine="480"/>
        <w:rPr>
          <w:rFonts w:ascii="宋体" w:hAnsi="宋体"/>
          <w:sz w:val="20"/>
        </w:rPr>
      </w:pPr>
      <w:r>
        <w:rPr>
          <w:rFonts w:ascii="宋体" w:hAnsi="宋体" w:cs="仿宋" w:hint="eastAsia"/>
          <w:sz w:val="24"/>
          <w:szCs w:val="28"/>
        </w:rPr>
        <w:t xml:space="preserve">在甲方付款前，乙方应向甲方提供合法有效且符合甲方要求的发票，否则甲方有权迟延付款且不承担迟延付款的违约责任。</w:t>
      </w:r>
    </w:p>
    <w:p>
      <w:pPr>
        <w:adjustRightInd w:val="0"/>
        <w:snapToGrid w:val="0"/>
        <w:spacing w:line="400" w:lineRule="exact"/>
        <w:ind w:firstLine="480" w:firstLineChars="200"/>
        <w:rPr>
          <w:rFonts w:ascii="宋体" w:hAnsi="宋体"/>
          <w:sz w:val="24"/>
          <w:szCs w:val="28"/>
          <w:highlight w:val="yellow"/>
        </w:rPr>
      </w:pPr>
      <w:r>
        <w:rPr>
          <w:rFonts w:ascii="宋体" w:hAnsi="宋体" w:hint="eastAsia"/>
          <w:sz w:val="24"/>
          <w:szCs w:val="28"/>
          <w:highlight w:val="none"/>
        </w:rPr>
        <w:t xml:space="preserve">九、质保期：</w:t>
      </w:r>
      <w:r>
        <w:rPr>
          <w:rFonts w:ascii="宋体" w:hAnsi="宋体" w:hint="eastAsia"/>
          <w:sz w:val="24"/>
          <w:szCs w:val="28"/>
          <w:highlight w:val="none"/>
          <w:lang w:eastAsia="zh-CN"/>
        </w:rPr>
        <w:t xml:space="preserve">免费质保</w:t>
      </w:r>
      <w:r>
        <w:rPr>
          <w:rFonts w:ascii="宋体" w:hAnsi="宋体" w:hint="eastAsia"/>
          <w:sz w:val="24"/>
          <w:szCs w:val="28"/>
          <w:highlight w:val="none"/>
          <w:lang w:val="en-US" w:eastAsia="zh-CN"/>
        </w:rPr>
        <w:t xml:space="preserve">2</w:t>
      </w:r>
      <w:r>
        <w:rPr>
          <w:rFonts w:ascii="宋体" w:hAnsi="宋体" w:hint="eastAsia"/>
          <w:sz w:val="24"/>
          <w:szCs w:val="28"/>
          <w:highlight w:val="none"/>
        </w:rPr>
        <w:t xml:space="preserve">年。</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十、合同一般条款</w:t>
      </w:r>
    </w:p>
    <w:p>
      <w:pPr>
        <w:adjustRightInd w:val="0"/>
        <w:snapToGrid w:val="0"/>
        <w:spacing w:line="400" w:lineRule="exact"/>
        <w:ind w:firstLine="480" w:firstLineChars="200"/>
        <w:outlineLvl w:val="0"/>
        <w:rPr>
          <w:rFonts w:ascii="宋体" w:hAnsi="宋体"/>
          <w:b/>
          <w:sz w:val="24"/>
          <w:szCs w:val="28"/>
        </w:rPr>
      </w:pPr>
      <w:bookmarkStart w:id="20" w:name="_Toc32232"/>
      <w:r>
        <w:rPr>
          <w:rFonts w:ascii="宋体" w:hAnsi="宋体" w:hint="eastAsia"/>
          <w:b/>
          <w:sz w:val="24"/>
          <w:szCs w:val="28"/>
        </w:rPr>
        <w:t xml:space="preserve">1、定义</w:t>
      </w:r>
      <w:bookmarkEnd w:id="20"/>
    </w:p>
    <w:p>
      <w:pPr>
        <w:adjustRightInd w:val="0"/>
        <w:snapToGrid w:val="0"/>
        <w:spacing w:line="400" w:lineRule="exact"/>
        <w:ind w:firstLine="480" w:firstLineChars="200"/>
        <w:outlineLvl w:val="0"/>
        <w:rPr>
          <w:rFonts w:ascii="宋体" w:hAnsi="宋体"/>
          <w:sz w:val="24"/>
          <w:szCs w:val="28"/>
        </w:rPr>
      </w:pPr>
      <w:r>
        <w:rPr>
          <w:rFonts w:ascii="宋体" w:hAnsi="宋体" w:hint="eastAsia"/>
          <w:sz w:val="24"/>
          <w:szCs w:val="28"/>
        </w:rPr>
        <w:t xml:space="preserve">本合同中的下列术语应解释为：</w:t>
      </w:r>
    </w:p>
    <w:p>
      <w:pPr>
        <w:tabs>
          <w:tab w:val="left" w:pos="840"/>
          <w:tab w:val="left" w:pos="1260"/>
        </w:tabs>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1.1 “合同”系指甲乙双方签署的、合同格式中载明的甲方与乙方所达成的协议，包括所有的附件、附录和构成合同的所有文件。投标文件、项目建设方案，中标通知书，乙方在投标、评标过程中所作其它有关承诺、声明、书面澄清，保密协议、廉政合同书等均为合同不可分割的部分，与主合同具有同等法律效力。</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1.2 “合同价”系指根据合同约定，乙方在正确地完全履行合同义务后甲方应支付给乙方的价格。</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1.3 “审定价”系指经甲方或相关审计部门对乙方履行合同情况进行审计后认定应支付给乙方的价款。</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1.4 “货物”系指乙方根据合同约定须向甲方提供的一切设备、机械、仪表、备件、工具、技术资料和软件系统等。</w:t>
      </w:r>
    </w:p>
    <w:p>
      <w:pPr>
        <w:adjustRightInd w:val="0"/>
        <w:snapToGrid w:val="0"/>
        <w:spacing w:line="400" w:lineRule="exact"/>
        <w:ind w:firstLine="480" w:firstLineChars="200"/>
        <w:outlineLvl w:val="0"/>
        <w:rPr>
          <w:rFonts w:ascii="宋体" w:hAnsi="宋体"/>
          <w:sz w:val="24"/>
          <w:szCs w:val="28"/>
        </w:rPr>
      </w:pPr>
      <w:bookmarkStart w:id="21" w:name="_Toc26705"/>
      <w:r>
        <w:rPr>
          <w:rFonts w:ascii="宋体" w:hAnsi="宋体" w:hint="eastAsia"/>
          <w:sz w:val="24"/>
          <w:szCs w:val="28"/>
        </w:rPr>
        <w:t xml:space="preserve">1.5 “服务”系指根据合同约定的乙方应承担与合同标的物有关的辅助服务，如运输、运输过程中保险以及其它的伴随服务，比如部署、调试、提供技术援助、培训和其他类似的乙方应承担的义务。</w:t>
      </w:r>
      <w:bookmarkEnd w:id="21"/>
    </w:p>
    <w:p>
      <w:pPr>
        <w:spacing w:line="400" w:lineRule="exact"/>
        <w:ind w:firstLine="480" w:firstLineChars="200"/>
        <w:rPr>
          <w:rFonts w:ascii="宋体" w:hAnsi="宋体" w:cs="仿宋"/>
          <w:sz w:val="24"/>
        </w:rPr>
      </w:pPr>
      <w:r>
        <w:rPr>
          <w:rFonts w:ascii="宋体" w:hAnsi="宋体" w:cs="仿宋" w:hint="eastAsia"/>
          <w:sz w:val="24"/>
        </w:rPr>
        <w:t xml:space="preserve">1.6“甲方”系指购买货物（含软件及相关服务）的单位。</w:t>
      </w:r>
    </w:p>
    <w:p>
      <w:pPr>
        <w:spacing w:line="400" w:lineRule="exact"/>
        <w:ind w:firstLine="480" w:firstLineChars="200"/>
        <w:rPr>
          <w:rFonts w:ascii="宋体" w:hAnsi="宋体" w:cs="仿宋"/>
          <w:sz w:val="24"/>
        </w:rPr>
      </w:pPr>
      <w:r>
        <w:rPr>
          <w:rFonts w:ascii="宋体" w:hAnsi="宋体" w:cs="仿宋" w:hint="eastAsia"/>
          <w:sz w:val="24"/>
        </w:rPr>
        <w:t xml:space="preserve">1.7“乙方”系指根据合同规定提供货物（含软件及相关服务）和服务的投标人。</w:t>
      </w:r>
    </w:p>
    <w:p>
      <w:pPr>
        <w:spacing w:line="400" w:lineRule="exact"/>
        <w:ind w:firstLine="480" w:firstLineChars="200"/>
        <w:rPr>
          <w:rFonts w:ascii="宋体" w:hAnsi="宋体" w:cs="仿宋"/>
          <w:b/>
          <w:bCs/>
          <w:sz w:val="24"/>
        </w:rPr>
      </w:pPr>
      <w:r>
        <w:rPr>
          <w:rFonts w:ascii="宋体" w:hAnsi="宋体" w:cs="仿宋" w:hint="eastAsia"/>
          <w:b/>
          <w:bCs/>
          <w:sz w:val="24"/>
        </w:rPr>
        <w:t xml:space="preserve">2.技术规范</w:t>
      </w:r>
    </w:p>
    <w:p>
      <w:pPr>
        <w:spacing w:line="400" w:lineRule="exact"/>
        <w:ind w:firstLine="480" w:firstLineChars="200"/>
        <w:rPr>
          <w:rFonts w:ascii="宋体" w:hAnsi="宋体" w:cs="仿宋"/>
          <w:sz w:val="24"/>
          <w:szCs w:val="28"/>
        </w:rPr>
      </w:pPr>
      <w:r>
        <w:rPr>
          <w:rFonts w:ascii="宋体" w:hAnsi="宋体" w:cs="仿宋" w:hint="eastAsia"/>
          <w:sz w:val="24"/>
          <w:szCs w:val="28"/>
        </w:rPr>
        <w:t xml:space="preserve">2.1提交货物（含软件及相关服务）的技术规范应与招标文件的技术规范和技术规范附件（如果有的话）及投标文件的规格报价表（如果被甲方接受的话）相一致。若技术规范中无相应说明，则以国家有关部门最新颁布的相应标准及规范为准。 </w:t>
      </w:r>
    </w:p>
    <w:p>
      <w:pPr>
        <w:spacing w:line="400" w:lineRule="exact"/>
        <w:ind w:firstLine="480" w:firstLineChars="200"/>
        <w:rPr>
          <w:rFonts w:ascii="宋体" w:hAnsi="宋体" w:cs="仿宋"/>
          <w:b/>
          <w:sz w:val="24"/>
        </w:rPr>
      </w:pPr>
      <w:r>
        <w:rPr>
          <w:rFonts w:ascii="宋体" w:hAnsi="宋体" w:cs="仿宋" w:hint="eastAsia"/>
          <w:b/>
          <w:sz w:val="24"/>
        </w:rPr>
        <w:t xml:space="preserve">3.专利权</w:t>
      </w:r>
    </w:p>
    <w:p>
      <w:pPr>
        <w:spacing w:line="400" w:lineRule="exact"/>
        <w:ind w:firstLine="480" w:firstLineChars="200"/>
        <w:rPr>
          <w:rFonts w:ascii="宋体" w:hAnsi="宋体" w:cs="仿宋"/>
          <w:sz w:val="24"/>
        </w:rPr>
      </w:pPr>
      <w:r>
        <w:rPr>
          <w:rFonts w:ascii="宋体" w:hAnsi="宋体" w:cs="仿宋" w:hint="eastAsia"/>
          <w:sz w:val="24"/>
        </w:rPr>
        <w:t xml:space="preserve">3.1乙方须保障甲方在使用该货物</w:t>
      </w:r>
      <w:r>
        <w:rPr>
          <w:rFonts w:ascii="宋体" w:hAnsi="宋体" w:cs="仿宋" w:hint="eastAsia"/>
          <w:sz w:val="24"/>
          <w:szCs w:val="28"/>
        </w:rPr>
        <w:t xml:space="preserve">（含软件及相关服务）</w:t>
      </w:r>
      <w:r>
        <w:rPr>
          <w:rFonts w:ascii="宋体" w:hAnsi="宋体" w:cs="仿宋" w:hint="eastAsia"/>
          <w:sz w:val="24"/>
        </w:rPr>
        <w:t xml:space="preserve">或其任何一部分时不受到第三方关于侵犯专利权、商标权、版权、专有技术等权利的指控。如果任何第三方提出侵权指控，乙方须与第三方交涉并承担可能发生的一切损失和费用。</w:t>
      </w:r>
    </w:p>
    <w:p>
      <w:pPr>
        <w:spacing w:line="400" w:lineRule="exact"/>
        <w:ind w:firstLine="480" w:firstLineChars="200"/>
        <w:rPr>
          <w:rFonts w:ascii="宋体" w:hAnsi="宋体" w:cs="仿宋"/>
          <w:b/>
          <w:sz w:val="24"/>
        </w:rPr>
      </w:pPr>
      <w:r>
        <w:rPr>
          <w:rFonts w:ascii="宋体" w:hAnsi="宋体" w:cs="仿宋" w:hint="eastAsia"/>
          <w:b/>
          <w:sz w:val="24"/>
        </w:rPr>
        <w:t xml:space="preserve">4.包装要求</w:t>
      </w:r>
    </w:p>
    <w:p>
      <w:pPr>
        <w:spacing w:line="400" w:lineRule="exact"/>
        <w:ind w:firstLine="480" w:firstLineChars="200"/>
        <w:rPr>
          <w:rFonts w:ascii="宋体" w:hAnsi="宋体" w:cs="仿宋"/>
          <w:sz w:val="24"/>
        </w:rPr>
      </w:pPr>
      <w:r>
        <w:rPr>
          <w:rFonts w:ascii="宋体" w:hAnsi="宋体" w:cs="仿宋" w:hint="eastAsia"/>
          <w:sz w:val="24"/>
        </w:rPr>
        <w:t xml:space="preserve">4.1除合同另有规定外，乙方提供的全部货物</w:t>
      </w:r>
      <w:r>
        <w:rPr>
          <w:rFonts w:ascii="宋体" w:hAnsi="宋体" w:cs="仿宋" w:hint="eastAsia"/>
          <w:sz w:val="24"/>
          <w:szCs w:val="28"/>
        </w:rPr>
        <w:t xml:space="preserve">（含软件及相关服务），</w:t>
      </w:r>
      <w:r>
        <w:rPr>
          <w:rFonts w:ascii="宋体" w:hAnsi="宋体" w:cs="仿宋" w:hint="eastAsia"/>
          <w:sz w:val="24"/>
        </w:rPr>
        <w:t xml:space="preserve">均应按相应的标准保护措施进行包装，使包装适应于远距离运输、防潮、防震、防锈和防粗暴装卸，确保货物</w:t>
      </w:r>
      <w:r>
        <w:rPr>
          <w:rFonts w:ascii="宋体" w:hAnsi="宋体" w:cs="仿宋" w:hint="eastAsia"/>
          <w:sz w:val="24"/>
          <w:szCs w:val="28"/>
        </w:rPr>
        <w:t xml:space="preserve">（含软件及相关服务）</w:t>
      </w:r>
      <w:r>
        <w:rPr>
          <w:rFonts w:ascii="宋体" w:hAnsi="宋体" w:cs="仿宋" w:hint="eastAsia"/>
          <w:sz w:val="24"/>
        </w:rPr>
        <w:t xml:space="preserve">安全无损运抵制现场。由于包装不善所引起的货物</w:t>
      </w:r>
      <w:r>
        <w:rPr>
          <w:rFonts w:ascii="宋体" w:hAnsi="宋体" w:cs="仿宋" w:hint="eastAsia"/>
          <w:sz w:val="24"/>
          <w:szCs w:val="28"/>
        </w:rPr>
        <w:t xml:space="preserve">（含软件及相关服务）</w:t>
      </w:r>
      <w:r>
        <w:rPr>
          <w:rFonts w:ascii="宋体" w:hAnsi="宋体" w:cs="仿宋" w:hint="eastAsia"/>
          <w:sz w:val="24"/>
        </w:rPr>
        <w:t xml:space="preserve">锈蚀、损坏和损失均由乙方承担。</w:t>
      </w:r>
    </w:p>
    <w:p>
      <w:pPr>
        <w:adjustRightInd w:val="0"/>
        <w:snapToGrid w:val="0"/>
        <w:spacing w:line="400" w:lineRule="exact"/>
        <w:ind w:firstLine="480" w:firstLineChars="200"/>
        <w:outlineLvl w:val="0"/>
        <w:rPr>
          <w:rFonts w:ascii="宋体" w:hAnsi="宋体"/>
          <w:b/>
          <w:sz w:val="24"/>
          <w:szCs w:val="28"/>
        </w:rPr>
      </w:pPr>
      <w:bookmarkStart w:id="22" w:name="_Toc25806"/>
      <w:r>
        <w:rPr>
          <w:rFonts w:ascii="宋体" w:hAnsi="宋体" w:hint="eastAsia"/>
          <w:b/>
          <w:sz w:val="24"/>
          <w:szCs w:val="28"/>
        </w:rPr>
        <w:t xml:space="preserve">5、货物运输</w:t>
      </w:r>
      <w:bookmarkEnd w:id="22"/>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根据采购人的指定地点，乙方负责安排运输，运输费由乙方自行承担。</w:t>
      </w:r>
    </w:p>
    <w:p>
      <w:pPr>
        <w:adjustRightInd w:val="0"/>
        <w:snapToGrid w:val="0"/>
        <w:spacing w:line="400" w:lineRule="exact"/>
        <w:ind w:firstLine="480" w:firstLineChars="200"/>
        <w:outlineLvl w:val="0"/>
        <w:rPr>
          <w:rFonts w:ascii="宋体" w:hAnsi="宋体"/>
          <w:b/>
          <w:sz w:val="24"/>
          <w:szCs w:val="28"/>
        </w:rPr>
      </w:pPr>
      <w:bookmarkStart w:id="23" w:name="_Toc21275"/>
      <w:r>
        <w:rPr>
          <w:rFonts w:ascii="宋体" w:hAnsi="宋体" w:hint="eastAsia"/>
          <w:b/>
          <w:sz w:val="24"/>
          <w:szCs w:val="28"/>
        </w:rPr>
        <w:t xml:space="preserve">6、质量与检验</w:t>
      </w:r>
      <w:bookmarkEnd w:id="23"/>
    </w:p>
    <w:p>
      <w:pPr>
        <w:tabs>
          <w:tab w:val="left" w:pos="1050"/>
          <w:tab w:val="left" w:pos="1080"/>
        </w:tabs>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6.1 乙方应严格按照合同规定提供合格货物及服务。</w:t>
      </w:r>
    </w:p>
    <w:p>
      <w:pPr>
        <w:tabs>
          <w:tab w:val="left" w:pos="720"/>
          <w:tab w:val="left" w:pos="1050"/>
          <w:tab w:val="left" w:pos="1080"/>
        </w:tabs>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6.2甲方有权拒绝不符合质量要求的货物或服务，乙方应根据甲方要求及时更换相关货物或重新提供服务，且不得影响甲方工作的正常进行，由此产生的费用由乙方自行承担，如因更换或重作导致甲方项目逾期投入使用的，乙方还应承担逾期交付的违约和赔偿责任，同时本规定并不免除乙方承担在本合同项下的货物质量保证和其他相关义务。</w:t>
      </w:r>
    </w:p>
    <w:p>
      <w:pPr>
        <w:tabs>
          <w:tab w:val="left" w:pos="1080"/>
        </w:tabs>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6.3乙方应在货物到货后，应及时申请甲方进行验收工作，经验收并经甲方代表签字后，方可进行安装施工，货物的到货验收包括：数量、外观、随货备件、装箱单、质量证书等随货料及包装完整无破损。</w:t>
      </w:r>
    </w:p>
    <w:p>
      <w:pPr>
        <w:adjustRightInd w:val="0"/>
        <w:snapToGrid w:val="0"/>
        <w:spacing w:line="400" w:lineRule="exact"/>
        <w:ind w:firstLine="480" w:firstLineChars="200"/>
        <w:outlineLvl w:val="0"/>
        <w:rPr>
          <w:rFonts w:ascii="宋体" w:hAnsi="宋体"/>
          <w:b/>
          <w:sz w:val="24"/>
          <w:szCs w:val="28"/>
        </w:rPr>
      </w:pPr>
      <w:bookmarkStart w:id="24" w:name="_Toc22548"/>
      <w:r>
        <w:rPr>
          <w:rFonts w:ascii="宋体" w:hAnsi="宋体" w:hint="eastAsia"/>
          <w:b/>
          <w:sz w:val="24"/>
          <w:szCs w:val="28"/>
        </w:rPr>
        <w:t xml:space="preserve">7、项目验收</w:t>
      </w:r>
      <w:bookmarkEnd w:id="24"/>
    </w:p>
    <w:p>
      <w:pPr>
        <w:tabs>
          <w:tab w:val="left" w:pos="720"/>
        </w:tabs>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7.1甲方在货物供货完成个月后，组织验收工作，在验收过程中发现的质量及其他问题，甲方应及时向乙方提出质疑并提出相应处理意见。</w:t>
      </w:r>
    </w:p>
    <w:p>
      <w:pPr>
        <w:tabs>
          <w:tab w:val="left" w:pos="420"/>
          <w:tab w:val="left" w:pos="720"/>
          <w:tab w:val="left" w:pos="840"/>
          <w:tab w:val="left" w:pos="1260"/>
        </w:tabs>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7.2 乙方在接到甲方质疑后应立即开展整改，并在七日内向甲方提供书面报告，否则承担违约责任。</w:t>
      </w:r>
    </w:p>
    <w:p>
      <w:pPr>
        <w:tabs>
          <w:tab w:val="left" w:pos="420"/>
          <w:tab w:val="left" w:pos="720"/>
          <w:tab w:val="left" w:pos="840"/>
          <w:tab w:val="left" w:pos="1260"/>
        </w:tabs>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7.3 如果货物的质量、规格与合同约定不符，或在质量保证期内发现货物是有缺陷的，包括潜在缺陷或使用不符合要求的材料，甲方有权申请有相关资质的检验机构进行检验，如检验结果存在上述情形，甲方有权凭检验报告向乙方提出索赔，检验费用由乙方承担。</w:t>
      </w:r>
    </w:p>
    <w:p>
      <w:pPr>
        <w:adjustRightInd w:val="0"/>
        <w:snapToGrid w:val="0"/>
        <w:spacing w:line="400" w:lineRule="exact"/>
        <w:ind w:firstLine="480" w:firstLineChars="200"/>
        <w:outlineLvl w:val="0"/>
        <w:rPr>
          <w:rFonts w:ascii="宋体" w:hAnsi="宋体"/>
          <w:b/>
          <w:sz w:val="24"/>
          <w:szCs w:val="28"/>
        </w:rPr>
      </w:pPr>
      <w:bookmarkStart w:id="25" w:name="_Toc10232"/>
      <w:r>
        <w:rPr>
          <w:rFonts w:ascii="宋体" w:hAnsi="宋体" w:hint="eastAsia"/>
          <w:b/>
          <w:sz w:val="24"/>
          <w:szCs w:val="28"/>
        </w:rPr>
        <w:t xml:space="preserve">8、伴随服务</w:t>
      </w:r>
      <w:bookmarkEnd w:id="25"/>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8.1 乙方应按照有关法律、法规和合同中的双方约定及乙方服务承诺提供服务。</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8.2 除第8．1条规定外，乙方还应提供下列服务：</w:t>
      </w:r>
    </w:p>
    <w:p>
      <w:pPr>
        <w:adjustRightInd w:val="0"/>
        <w:snapToGrid w:val="0"/>
        <w:spacing w:line="400" w:lineRule="exact"/>
        <w:ind w:firstLine="480" w:firstLineChars="200"/>
        <w:outlineLvl w:val="0"/>
        <w:rPr>
          <w:rFonts w:ascii="宋体" w:hAnsi="宋体"/>
          <w:sz w:val="24"/>
          <w:szCs w:val="28"/>
        </w:rPr>
      </w:pPr>
      <w:bookmarkStart w:id="26" w:name="_Toc28821"/>
      <w:r>
        <w:rPr>
          <w:rFonts w:ascii="宋体" w:hAnsi="宋体" w:hint="eastAsia"/>
          <w:sz w:val="24"/>
          <w:szCs w:val="28"/>
        </w:rPr>
        <w:t xml:space="preserve">（1）货物的现场安装和启动监督；</w:t>
      </w:r>
      <w:bookmarkEnd w:id="26"/>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（2）提供货物组装和维修所需的工具；</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（3）乙方承诺的期限内对所提供货物或软件系统的运行监督、维修，该服务并不能免除乙方在质量保证期内应承担的义务；</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（4）在项目交货现场就货物的安装、启动、运行、维护对甲方人员进行培训。</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8.3 伴随服务的费用应含在合同价中，不单独进行支付。</w:t>
      </w:r>
    </w:p>
    <w:p>
      <w:pPr>
        <w:adjustRightInd w:val="0"/>
        <w:snapToGrid w:val="0"/>
        <w:spacing w:line="400" w:lineRule="exact"/>
        <w:ind w:firstLine="480" w:firstLineChars="200"/>
        <w:outlineLvl w:val="0"/>
        <w:rPr>
          <w:rFonts w:ascii="宋体" w:hAnsi="宋体"/>
          <w:b/>
          <w:sz w:val="24"/>
          <w:szCs w:val="28"/>
        </w:rPr>
      </w:pPr>
      <w:bookmarkStart w:id="27" w:name="_Toc12247"/>
      <w:r>
        <w:rPr>
          <w:rFonts w:ascii="宋体" w:hAnsi="宋体" w:hint="eastAsia"/>
          <w:b/>
          <w:sz w:val="24"/>
          <w:szCs w:val="28"/>
        </w:rPr>
        <w:t xml:space="preserve">9、保密条款</w:t>
      </w:r>
      <w:bookmarkEnd w:id="27"/>
    </w:p>
    <w:p>
      <w:pPr>
        <w:adjustRightInd w:val="0"/>
        <w:snapToGrid w:val="0"/>
        <w:spacing w:line="400" w:lineRule="exact"/>
        <w:ind w:firstLine="480" w:firstLineChars="200"/>
        <w:jc w:val="left"/>
        <w:rPr>
          <w:rFonts w:ascii="宋体" w:hAnsi="宋体"/>
          <w:kern w:val="0"/>
          <w:sz w:val="24"/>
          <w:szCs w:val="28"/>
        </w:rPr>
      </w:pPr>
      <w:r>
        <w:rPr>
          <w:rFonts w:ascii="宋体" w:hAnsi="宋体" w:hint="eastAsia"/>
          <w:sz w:val="24"/>
          <w:szCs w:val="28"/>
        </w:rPr>
        <w:t xml:space="preserve">9.1</w:t>
      </w:r>
      <w:r>
        <w:rPr>
          <w:rFonts w:ascii="宋体" w:hAnsi="宋体" w:hint="eastAsia"/>
          <w:kern w:val="0"/>
          <w:sz w:val="24"/>
          <w:szCs w:val="28"/>
        </w:rPr>
        <w:t xml:space="preserve">任意一方可根据相关法律规定向有调查权的机关单位提供机密资料</w:t>
      </w:r>
      <w:r>
        <w:rPr>
          <w:rFonts w:ascii="宋体" w:hAnsi="宋体" w:hint="eastAsia"/>
          <w:sz w:val="24"/>
          <w:szCs w:val="28"/>
        </w:rPr>
        <w:t xml:space="preserve">时，应该在提供之前将此项事实通知对方。</w:t>
      </w:r>
    </w:p>
    <w:p>
      <w:pPr>
        <w:adjustRightInd w:val="0"/>
        <w:snapToGrid w:val="0"/>
        <w:spacing w:line="400" w:lineRule="exact"/>
        <w:ind w:firstLine="480" w:firstLineChars="200"/>
        <w:outlineLvl w:val="0"/>
        <w:rPr>
          <w:rFonts w:ascii="宋体" w:hAnsi="宋体"/>
          <w:kern w:val="0"/>
          <w:sz w:val="24"/>
          <w:szCs w:val="28"/>
        </w:rPr>
      </w:pPr>
      <w:bookmarkStart w:id="28" w:name="_Toc8438"/>
      <w:r>
        <w:rPr>
          <w:rFonts w:ascii="宋体" w:hAnsi="宋体" w:hint="eastAsia"/>
          <w:kern w:val="0"/>
          <w:sz w:val="24"/>
          <w:szCs w:val="28"/>
        </w:rPr>
        <w:t xml:space="preserve">9.2 乙方对在履行本合同过程中所知晓到的甲方文件资料，软件和数据等负有保密义务。未经甲方书面同意，不得将所知晓的信息全部或部分向第三方透露，如有违反，应承担违约赔偿责任。情节严重的，甲方有权视情追究乙方其他法律责任。</w:t>
      </w:r>
      <w:bookmarkEnd w:id="28"/>
    </w:p>
    <w:p>
      <w:pPr>
        <w:adjustRightInd w:val="0"/>
        <w:snapToGrid w:val="0"/>
        <w:spacing w:line="400" w:lineRule="exact"/>
        <w:ind w:firstLine="480" w:firstLineChars="200"/>
        <w:rPr>
          <w:rFonts w:ascii="宋体" w:hAnsi="宋体"/>
          <w:kern w:val="0"/>
          <w:sz w:val="24"/>
          <w:szCs w:val="28"/>
        </w:rPr>
      </w:pPr>
      <w:r>
        <w:rPr>
          <w:rFonts w:ascii="宋体" w:hAnsi="宋体" w:hint="eastAsia"/>
          <w:sz w:val="24"/>
          <w:szCs w:val="28"/>
        </w:rPr>
        <w:t xml:space="preserve">9.3 本合同无论何种原因终止、变更或解除，保密条款继续</w:t>
      </w:r>
      <w:r>
        <w:rPr>
          <w:rFonts w:ascii="宋体" w:hAnsi="宋体" w:hint="eastAsia"/>
          <w:kern w:val="0"/>
          <w:sz w:val="24"/>
          <w:szCs w:val="28"/>
        </w:rPr>
        <w:t xml:space="preserve">保持其原有效力。</w:t>
      </w:r>
    </w:p>
    <w:p>
      <w:pPr>
        <w:adjustRightInd w:val="0"/>
        <w:snapToGrid w:val="0"/>
        <w:spacing w:line="400" w:lineRule="exact"/>
        <w:ind w:firstLine="480" w:firstLineChars="200"/>
        <w:outlineLvl w:val="0"/>
        <w:rPr>
          <w:rFonts w:ascii="宋体" w:hAnsi="宋体"/>
          <w:b/>
          <w:sz w:val="24"/>
          <w:szCs w:val="28"/>
        </w:rPr>
      </w:pPr>
      <w:bookmarkStart w:id="29" w:name="_Toc4694"/>
      <w:r>
        <w:rPr>
          <w:rFonts w:ascii="宋体" w:hAnsi="宋体" w:hint="eastAsia"/>
          <w:b/>
          <w:sz w:val="24"/>
          <w:szCs w:val="28"/>
        </w:rPr>
        <w:t xml:space="preserve">10、索赔</w:t>
      </w:r>
      <w:bookmarkEnd w:id="29"/>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10.1 甲方有权根据有资质的检验机构出具的检验报告，向乙方提出索赔。</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10.2在合同规定的检验期和质量保证期内，因货物或服务不符合合同要求，乙方应按照下列一种或多种方式解决索赔事宜：</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1）乙方同意退货，应按合同中规定的结算货币将货款退还给甲方，并承担由此发生的一切损失和费用，包括利息、银行手续费、运费、保险费、检验费、仓储费、装卸费以及为保护退回货物所发生或即将发生的其它必要费用。</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（2）根据货物的低劣程度、损坏程度以及甲方所遭损失的数额，乙方必须相应降低货物的价格。</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3）用符合合同约定规格、质量和性能要求的新零件、部件或设备来更换或修补有缺陷的部分，乙方自行承担一切费用和风险，同时负担甲方所遭受的全部损失费用，乙方应对更换和修补件延长相应的质量保证期。</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10.3 在甲方发出索赔通知之日起二十日内，乙方如未作答复，上述索赔应视为已被乙方接受，如乙方在甲方发出索赔通知之日起二十日内或甲方同意的其他时间内，未能按照本合同约定的任何一种方法解决索赔事宜，甲方有权采用法律手段解决索赔事宜。</w:t>
      </w:r>
    </w:p>
    <w:p>
      <w:pPr>
        <w:adjustRightInd w:val="0"/>
        <w:snapToGrid w:val="0"/>
        <w:spacing w:line="400" w:lineRule="exact"/>
        <w:ind w:firstLine="480" w:firstLineChars="200"/>
        <w:outlineLvl w:val="0"/>
        <w:rPr>
          <w:rFonts w:ascii="宋体" w:hAnsi="宋体"/>
          <w:b/>
          <w:sz w:val="24"/>
          <w:szCs w:val="28"/>
        </w:rPr>
      </w:pPr>
      <w:bookmarkStart w:id="30" w:name="_Toc15274"/>
      <w:r>
        <w:rPr>
          <w:rFonts w:ascii="宋体" w:hAnsi="宋体" w:hint="eastAsia"/>
          <w:b/>
          <w:sz w:val="24"/>
          <w:szCs w:val="28"/>
        </w:rPr>
        <w:t xml:space="preserve">11、逾期交货</w:t>
      </w:r>
      <w:bookmarkEnd w:id="30"/>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11.1 乙方应按照合同约定的交货期交货。如果乙方无正当理由拖延交货，应承担误期赔偿责任，同时，甲方有权视情解除或终止合同。</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11.2 在履行合同过程中，如果乙方遇到不能按时交货和提供服务的情况，应在七日内以书面形式将不能按时交货的理由、可能延误的时间通知甲方。甲方收到乙方通知后，甲方有权决定是否同意修改合同、酌情延长交货时间或终止合同。</w:t>
      </w:r>
    </w:p>
    <w:p>
      <w:pPr>
        <w:adjustRightInd w:val="0"/>
        <w:snapToGrid w:val="0"/>
        <w:spacing w:line="400" w:lineRule="exact"/>
        <w:ind w:firstLine="480" w:firstLineChars="200"/>
        <w:jc w:val="left"/>
        <w:rPr>
          <w:rFonts w:ascii="宋体" w:hAnsi="宋体"/>
          <w:sz w:val="24"/>
          <w:szCs w:val="28"/>
        </w:rPr>
      </w:pPr>
      <w:r>
        <w:rPr>
          <w:rFonts w:ascii="宋体" w:hAnsi="宋体" w:hint="eastAsia"/>
          <w:sz w:val="24"/>
          <w:szCs w:val="28"/>
        </w:rPr>
        <w:t xml:space="preserve">11.3 如果乙方没有按照合同约定的时间交货和提供服务，甲方将从货款中扣除误期赔偿费，但不免除乙方的其他相关责任和义务。赔偿费每天按合同总价的0.1%计收，直至交货或提供服务为止。误期赔偿费的最高限额为合同总价15%。一旦达到误期赔偿的最高限额，甲方有权终止或解除合同。</w:t>
      </w:r>
    </w:p>
    <w:p>
      <w:pPr>
        <w:adjustRightInd w:val="0"/>
        <w:snapToGrid w:val="0"/>
        <w:spacing w:line="400" w:lineRule="exact"/>
        <w:ind w:firstLine="480" w:firstLineChars="200"/>
        <w:outlineLvl w:val="0"/>
        <w:rPr>
          <w:rFonts w:ascii="宋体" w:hAnsi="宋体"/>
          <w:b/>
          <w:sz w:val="24"/>
          <w:szCs w:val="28"/>
        </w:rPr>
      </w:pPr>
      <w:bookmarkStart w:id="31" w:name="_Toc9286"/>
      <w:r>
        <w:rPr>
          <w:rFonts w:ascii="宋体" w:hAnsi="宋体" w:hint="eastAsia"/>
          <w:b/>
          <w:sz w:val="24"/>
          <w:szCs w:val="28"/>
        </w:rPr>
        <w:t xml:space="preserve">12、不可抗力</w:t>
      </w:r>
      <w:bookmarkEnd w:id="31"/>
    </w:p>
    <w:p>
      <w:pPr>
        <w:adjustRightInd w:val="0"/>
        <w:snapToGrid w:val="0"/>
        <w:spacing w:line="400" w:lineRule="exact"/>
        <w:ind w:firstLine="480" w:firstLineChars="200"/>
        <w:jc w:val="left"/>
        <w:rPr>
          <w:rFonts w:ascii="宋体" w:hAnsi="宋体"/>
          <w:sz w:val="24"/>
          <w:szCs w:val="28"/>
        </w:rPr>
      </w:pPr>
      <w:r>
        <w:rPr>
          <w:rFonts w:ascii="宋体" w:hAnsi="宋体" w:hint="eastAsia"/>
          <w:sz w:val="24"/>
          <w:szCs w:val="28"/>
        </w:rPr>
        <w:t xml:space="preserve">12.1 任何一方因不可抗力而导致延迟履行或不能履行合同义务的，可以减轻或者免除相关违约责任。</w:t>
      </w:r>
    </w:p>
    <w:p>
      <w:pPr>
        <w:adjustRightInd w:val="0"/>
        <w:snapToGrid w:val="0"/>
        <w:spacing w:line="400" w:lineRule="exact"/>
        <w:ind w:firstLine="480" w:firstLineChars="200"/>
        <w:jc w:val="left"/>
        <w:rPr>
          <w:rFonts w:ascii="宋体" w:hAnsi="宋体"/>
          <w:sz w:val="24"/>
          <w:szCs w:val="28"/>
        </w:rPr>
      </w:pPr>
      <w:r>
        <w:rPr>
          <w:rFonts w:ascii="宋体" w:hAnsi="宋体" w:hint="eastAsia"/>
          <w:sz w:val="24"/>
          <w:szCs w:val="28"/>
        </w:rPr>
        <w:t xml:space="preserve">12.2 在不可抗力事件发生后，一方应尽快以书面形式将不可抗力的情况和原因通知另一方并提供相应证明文件。</w:t>
      </w:r>
    </w:p>
    <w:p>
      <w:pPr>
        <w:adjustRightInd w:val="0"/>
        <w:snapToGrid w:val="0"/>
        <w:spacing w:line="400" w:lineRule="exact"/>
        <w:ind w:firstLine="480" w:firstLineChars="200"/>
        <w:outlineLvl w:val="0"/>
        <w:rPr>
          <w:rFonts w:ascii="宋体" w:hAnsi="宋体"/>
          <w:b/>
          <w:sz w:val="24"/>
          <w:szCs w:val="28"/>
        </w:rPr>
      </w:pPr>
      <w:bookmarkStart w:id="32" w:name="_Toc26073"/>
      <w:r>
        <w:rPr>
          <w:rFonts w:ascii="宋体" w:hAnsi="宋体" w:hint="eastAsia"/>
          <w:b/>
          <w:sz w:val="24"/>
          <w:szCs w:val="28"/>
        </w:rPr>
        <w:t xml:space="preserve">13、税费</w:t>
      </w:r>
      <w:bookmarkEnd w:id="32"/>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本合同价款为含税价，与本合同有关的一切税费均由乙方自行负担。</w:t>
      </w:r>
    </w:p>
    <w:p>
      <w:pPr>
        <w:pStyle w:val="正文1"/>
        <w:spacing w:line="400" w:lineRule="exact"/>
        <w:ind w:firstLine="480" w:firstLineChars="200"/>
        <w:rPr>
          <w:rFonts w:ascii="宋体" w:hAnsi="宋体"/>
          <w:b/>
          <w:sz w:val="24"/>
          <w:szCs w:val="28"/>
        </w:rPr>
      </w:pPr>
      <w:r>
        <w:rPr>
          <w:rFonts w:ascii="宋体" w:hAnsi="宋体" w:hint="eastAsia"/>
          <w:b/>
          <w:sz w:val="24"/>
          <w:szCs w:val="28"/>
        </w:rPr>
        <w:t xml:space="preserve">14、履约保证金</w:t>
      </w:r>
    </w:p>
    <w:p>
      <w:pPr>
        <w:spacing w:line="440" w:lineRule="exact"/>
        <w:ind w:firstLine="560" w:firstLineChars="200"/>
        <w:rPr>
          <w:rFonts w:ascii="宋体" w:eastAsia="宋体" w:hAnsi="宋体" w:cs="宋体" w:hint="eastAsia"/>
          <w:sz w:val="28"/>
          <w:szCs w:val="28"/>
        </w:rPr>
      </w:pPr>
      <w:r>
        <w:rPr>
          <w:rFonts w:ascii="宋体" w:hAnsi="宋体" w:cs="宋体" w:hint="eastAsia"/>
          <w:sz w:val="28"/>
          <w:szCs w:val="28"/>
          <w:lang w:val="en-US" w:eastAsia="zh-CN"/>
        </w:rPr>
        <w:t xml:space="preserve">14</w:t>
      </w:r>
      <w:r>
        <w:rPr>
          <w:rFonts w:ascii="宋体" w:eastAsia="宋体" w:hAnsi="宋体" w:cs="宋体" w:hint="eastAsia"/>
          <w:sz w:val="28"/>
          <w:szCs w:val="28"/>
        </w:rPr>
        <w:t xml:space="preserve">.1为保证合同的顺利执行，</w:t>
      </w:r>
      <w:r>
        <w:rPr>
          <w:rFonts w:ascii="宋体" w:eastAsia="宋体" w:hAnsi="宋体" w:cs="宋体" w:hint="eastAsia"/>
          <w:sz w:val="28"/>
          <w:szCs w:val="28"/>
          <w:lang w:val="en-US" w:eastAsia="zh-CN"/>
        </w:rPr>
        <w:t xml:space="preserve">乙方</w:t>
      </w:r>
      <w:r>
        <w:rPr>
          <w:rFonts w:ascii="宋体" w:eastAsia="宋体" w:hAnsi="宋体" w:cs="宋体" w:hint="eastAsia"/>
          <w:sz w:val="28"/>
          <w:szCs w:val="28"/>
        </w:rPr>
        <w:t xml:space="preserve">商应在中标通知书发出之前，须提供相当于中标总价1%的履约保证金</w:t>
      </w:r>
      <w:r>
        <w:rPr>
          <w:rFonts w:ascii="宋体" w:eastAsia="宋体" w:hAnsi="宋体" w:cs="宋体" w:hint="eastAsia"/>
          <w:sz w:val="28"/>
          <w:szCs w:val="28"/>
          <w:lang w:eastAsia="zh-CN"/>
        </w:rPr>
        <w:t xml:space="preserve">。</w:t>
      </w:r>
      <w:r>
        <w:rPr>
          <w:rFonts w:ascii="宋体" w:eastAsia="宋体" w:hAnsi="宋体" w:cs="宋体" w:hint="eastAsia"/>
          <w:sz w:val="28"/>
          <w:szCs w:val="28"/>
        </w:rPr>
        <w:t xml:space="preserve">乙方提供的履约保证金可以是人民币形式（银行本票、汇票、支票、电汇</w:t>
      </w:r>
      <w:r>
        <w:rPr>
          <w:rFonts w:ascii="宋体" w:eastAsia="宋体" w:hAnsi="宋体" w:cs="宋体" w:hint="eastAsia"/>
          <w:sz w:val="28"/>
          <w:szCs w:val="28"/>
          <w:lang w:eastAsia="zh-CN"/>
        </w:rPr>
        <w:t xml:space="preserve">、数字人民币</w:t>
      </w:r>
      <w:r>
        <w:rPr>
          <w:rFonts w:ascii="宋体" w:eastAsia="宋体" w:hAnsi="宋体" w:cs="宋体" w:hint="eastAsia"/>
          <w:sz w:val="28"/>
          <w:szCs w:val="28"/>
        </w:rPr>
        <w:t xml:space="preserve">），或</w:t>
      </w:r>
      <w:r>
        <w:rPr>
          <w:rFonts w:ascii="宋体" w:eastAsia="宋体" w:hAnsi="宋体" w:cs="宋体" w:hint="eastAsia"/>
          <w:sz w:val="28"/>
          <w:szCs w:val="28"/>
          <w:lang w:eastAsia="zh-CN"/>
        </w:rPr>
        <w:t xml:space="preserve">无条件</w:t>
      </w:r>
      <w:r>
        <w:rPr>
          <w:rFonts w:ascii="宋体" w:eastAsia="宋体" w:hAnsi="宋体" w:cs="宋体" w:hint="eastAsia"/>
          <w:sz w:val="28"/>
          <w:szCs w:val="28"/>
        </w:rPr>
        <w:t xml:space="preserve">银行保函、担保公司的保证担保或保险公司的保证保险等多种形式。</w:t>
      </w:r>
    </w:p>
    <w:p>
      <w:pPr>
        <w:spacing w:line="440" w:lineRule="exact"/>
        <w:ind w:firstLine="560" w:firstLineChars="200"/>
        <w:rPr>
          <w:rFonts w:ascii="宋体" w:eastAsia="宋体" w:hAnsi="宋体" w:cs="宋体" w:hint="eastAsia"/>
          <w:sz w:val="28"/>
          <w:szCs w:val="28"/>
          <w:lang w:val="en-US" w:eastAsia="zh-CN"/>
        </w:rPr>
      </w:pPr>
      <w:r>
        <w:rPr>
          <w:rFonts w:ascii="宋体" w:eastAsia="宋体" w:hAnsi="宋体" w:cs="宋体" w:hint="eastAsia"/>
          <w:sz w:val="28"/>
          <w:szCs w:val="28"/>
          <w:lang w:val="en-US" w:eastAsia="zh-CN"/>
        </w:rPr>
        <w:t xml:space="preserve"> </w:t>
      </w:r>
      <w:r>
        <w:rPr>
          <w:rFonts w:ascii="宋体" w:hAnsi="宋体" w:cs="宋体" w:hint="eastAsia"/>
          <w:sz w:val="28"/>
          <w:szCs w:val="28"/>
          <w:lang w:val="en-US" w:eastAsia="zh-CN"/>
        </w:rPr>
        <w:t xml:space="preserve">14</w:t>
      </w:r>
      <w:r>
        <w:rPr>
          <w:rFonts w:ascii="宋体" w:eastAsia="宋体" w:hAnsi="宋体" w:cs="宋体" w:hint="eastAsia"/>
          <w:sz w:val="28"/>
          <w:szCs w:val="28"/>
          <w:lang w:val="en-US" w:eastAsia="zh-CN"/>
        </w:rPr>
        <w:t xml:space="preserve">.2乙方选取人民币形式缴纳履约保证金的，交纳信息如下:</w:t>
      </w:r>
    </w:p>
    <w:p>
      <w:pPr>
        <w:spacing w:line="440" w:lineRule="exact"/>
        <w:ind w:firstLine="560" w:firstLineChars="200"/>
        <w:rPr>
          <w:rFonts w:ascii="宋体" w:eastAsia="宋体" w:hAnsi="宋体" w:cs="宋体" w:hint="eastAsia"/>
          <w:sz w:val="28"/>
          <w:szCs w:val="28"/>
          <w:lang w:val="en-US" w:eastAsia="zh-CN"/>
        </w:rPr>
      </w:pPr>
      <w:r>
        <w:rPr>
          <w:rFonts w:ascii="宋体" w:eastAsia="宋体" w:hAnsi="宋体" w:cs="宋体" w:hint="eastAsia"/>
          <w:sz w:val="28"/>
          <w:szCs w:val="28"/>
          <w:lang w:val="en-US" w:eastAsia="zh-CN"/>
        </w:rPr>
        <w:t xml:space="preserve">开户名称: </w:t>
      </w:r>
    </w:p>
    <w:p>
      <w:pPr>
        <w:spacing w:line="440" w:lineRule="exact"/>
        <w:ind w:firstLine="560" w:firstLineChars="200"/>
        <w:rPr>
          <w:rFonts w:ascii="宋体" w:eastAsia="宋体" w:hAnsi="宋体" w:cs="宋体" w:hint="eastAsia"/>
          <w:sz w:val="28"/>
          <w:szCs w:val="28"/>
          <w:lang w:val="en-US" w:eastAsia="zh-CN"/>
        </w:rPr>
      </w:pPr>
      <w:r>
        <w:rPr>
          <w:rFonts w:ascii="宋体" w:eastAsia="宋体" w:hAnsi="宋体" w:cs="宋体" w:hint="eastAsia"/>
          <w:sz w:val="28"/>
          <w:szCs w:val="28"/>
          <w:lang w:val="en-US" w:eastAsia="zh-CN"/>
        </w:rPr>
        <w:t xml:space="preserve">开户行: </w:t>
      </w:r>
    </w:p>
    <w:p>
      <w:pPr>
        <w:spacing w:line="440" w:lineRule="exact"/>
        <w:ind w:firstLine="560" w:firstLineChars="200"/>
        <w:rPr>
          <w:rFonts w:ascii="宋体" w:eastAsia="宋体" w:hAnsi="宋体" w:cs="宋体" w:hint="eastAsia"/>
          <w:sz w:val="28"/>
          <w:szCs w:val="28"/>
          <w:lang w:val="en-US" w:eastAsia="zh-CN"/>
        </w:rPr>
      </w:pPr>
      <w:r>
        <w:rPr>
          <w:rFonts w:ascii="宋体" w:eastAsia="宋体" w:hAnsi="宋体" w:cs="宋体" w:hint="eastAsia"/>
          <w:sz w:val="28"/>
          <w:szCs w:val="28"/>
          <w:lang w:val="en-US" w:eastAsia="zh-CN"/>
        </w:rPr>
        <w:t xml:space="preserve">帐号:</w:t>
      </w:r>
    </w:p>
    <w:p>
      <w:pPr>
        <w:spacing w:line="440" w:lineRule="exact"/>
        <w:ind w:firstLine="560" w:firstLineChars="200"/>
        <w:rPr>
          <w:rFonts w:ascii="宋体" w:eastAsia="宋体" w:hAnsi="宋体" w:cs="宋体" w:hint="eastAsia"/>
          <w:sz w:val="28"/>
          <w:szCs w:val="28"/>
          <w:lang w:val="en-US" w:eastAsia="zh-CN"/>
        </w:rPr>
      </w:pPr>
      <w:r>
        <w:rPr>
          <w:rFonts w:ascii="宋体" w:hAnsi="宋体" w:cs="宋体" w:hint="eastAsia"/>
          <w:sz w:val="28"/>
          <w:szCs w:val="28"/>
          <w:lang w:val="en-US" w:eastAsia="zh-CN"/>
        </w:rPr>
        <w:t xml:space="preserve">14</w:t>
      </w:r>
      <w:r>
        <w:rPr>
          <w:rFonts w:ascii="宋体" w:eastAsia="宋体" w:hAnsi="宋体" w:cs="宋体" w:hint="eastAsia"/>
          <w:sz w:val="28"/>
          <w:szCs w:val="28"/>
          <w:lang w:val="en-US" w:eastAsia="zh-CN"/>
        </w:rPr>
        <w:t xml:space="preserve">.3乙方选取银行保函、担保公司的保证担保或保险公司的保证保险等形式的向采购人缴纳，如保函（担保、保险等）的约定期到期但乙方履约仍未结束的，乙方须进行续保。</w:t>
      </w:r>
    </w:p>
    <w:p>
      <w:pPr>
        <w:spacing w:line="440" w:lineRule="exact"/>
        <w:ind w:firstLine="560" w:firstLineChars="200"/>
        <w:rPr>
          <w:rFonts w:ascii="宋体" w:eastAsia="宋体" w:hAnsi="宋体" w:cs="宋体" w:hint="eastAsia"/>
          <w:sz w:val="28"/>
          <w:szCs w:val="28"/>
          <w:lang w:val="en-US" w:eastAsia="zh-CN"/>
        </w:rPr>
      </w:pPr>
      <w:r>
        <w:rPr>
          <w:rFonts w:ascii="宋体" w:hAnsi="宋体" w:cs="宋体" w:hint="eastAsia"/>
          <w:sz w:val="28"/>
          <w:szCs w:val="28"/>
          <w:lang w:val="en-US" w:eastAsia="zh-CN"/>
        </w:rPr>
        <w:t xml:space="preserve">14</w:t>
      </w:r>
      <w:r>
        <w:rPr>
          <w:rFonts w:ascii="宋体" w:eastAsia="宋体" w:hAnsi="宋体" w:cs="宋体" w:hint="eastAsia"/>
          <w:sz w:val="28"/>
          <w:szCs w:val="28"/>
          <w:lang w:val="en-US" w:eastAsia="zh-CN"/>
        </w:rPr>
        <w:t xml:space="preserve">.4如乙方未能履行合同规定的义务，甲方有权从履约保证金中取得补偿。</w:t>
      </w:r>
    </w:p>
    <w:p>
      <w:pPr>
        <w:spacing w:line="440" w:lineRule="exact"/>
        <w:ind w:firstLine="560" w:firstLineChars="200"/>
        <w:rPr>
          <w:rFonts w:ascii="宋体" w:eastAsia="宋体" w:hAnsi="宋体" w:cs="宋体" w:hint="default"/>
          <w:sz w:val="28"/>
          <w:szCs w:val="28"/>
          <w:lang w:val="en-US" w:eastAsia="zh-CN"/>
        </w:rPr>
      </w:pPr>
      <w:r>
        <w:rPr>
          <w:rFonts w:ascii="宋体" w:hAnsi="宋体" w:cs="宋体" w:hint="eastAsia"/>
          <w:sz w:val="28"/>
          <w:szCs w:val="28"/>
          <w:lang w:val="en-US" w:eastAsia="zh-CN"/>
        </w:rPr>
        <w:t xml:space="preserve">14</w:t>
      </w:r>
      <w:r>
        <w:rPr>
          <w:rFonts w:ascii="宋体" w:eastAsia="宋体" w:hAnsi="宋体" w:cs="宋体" w:hint="eastAsia"/>
          <w:sz w:val="28"/>
          <w:szCs w:val="28"/>
          <w:lang w:val="en-US" w:eastAsia="zh-CN"/>
        </w:rPr>
        <w:t xml:space="preserve">.5履约保证金在合同约定期间应完全有效，约定期届满之日起5个工作日内，甲方应将人民币形式的履约保证金退还乙方，逾期退还的，按中国人民银行同期贷款基利率上浮20%后的利率支付超期资金占用费，但因乙方自身原因导致无法及时退还的除外。</w:t>
      </w:r>
    </w:p>
    <w:p>
      <w:pPr>
        <w:spacing w:line="440" w:lineRule="exact"/>
        <w:ind w:firstLine="560" w:firstLineChars="200"/>
        <w:rPr>
          <w:rFonts w:ascii="宋体" w:eastAsia="宋体" w:hAnsi="宋体" w:cs="宋体" w:hint="eastAsia"/>
          <w:sz w:val="28"/>
          <w:szCs w:val="28"/>
        </w:rPr>
      </w:pPr>
      <w:r>
        <w:rPr>
          <w:rFonts w:ascii="宋体" w:hAnsi="宋体" w:cs="宋体" w:hint="eastAsia"/>
          <w:sz w:val="28"/>
          <w:szCs w:val="28"/>
          <w:lang w:val="en-US" w:eastAsia="zh-CN"/>
        </w:rPr>
        <w:t xml:space="preserve">14</w:t>
      </w:r>
      <w:r>
        <w:rPr>
          <w:rFonts w:ascii="宋体" w:eastAsia="宋体" w:hAnsi="宋体" w:cs="宋体" w:hint="eastAsia"/>
          <w:sz w:val="28"/>
          <w:szCs w:val="28"/>
          <w:lang w:val="en-US" w:eastAsia="zh-CN"/>
        </w:rPr>
        <w:t xml:space="preserve">.6履约保证金在项目成果验收合格后退还。成交供应商凭采购人签署的同意退还履约保证金的证明，办理履约保证金退还手续。</w:t>
      </w:r>
    </w:p>
    <w:p>
      <w:pPr>
        <w:spacing w:line="400" w:lineRule="exact"/>
        <w:ind w:firstLine="480" w:firstLineChars="200"/>
        <w:rPr>
          <w:rFonts w:ascii="宋体" w:hAnsi="宋体" w:cs="仿宋"/>
          <w:sz w:val="24"/>
          <w:szCs w:val="28"/>
        </w:rPr>
      </w:pPr>
      <w:r>
        <w:rPr>
          <w:rFonts w:ascii="宋体" w:hAnsi="宋体" w:cs="仿宋" w:hint="eastAsia"/>
          <w:sz w:val="24"/>
          <w:szCs w:val="28"/>
        </w:rPr>
        <w:t xml:space="preserve">14.</w:t>
      </w:r>
      <w:r>
        <w:rPr>
          <w:rFonts w:ascii="宋体" w:hAnsi="宋体" w:cs="仿宋" w:hint="eastAsia"/>
          <w:sz w:val="24"/>
          <w:szCs w:val="28"/>
          <w:lang w:val="en-US" w:eastAsia="zh-CN"/>
        </w:rPr>
        <w:t xml:space="preserve">7</w:t>
      </w:r>
      <w:r>
        <w:rPr>
          <w:rFonts w:ascii="宋体" w:hAnsi="宋体" w:cs="仿宋" w:hint="eastAsia"/>
          <w:sz w:val="24"/>
          <w:szCs w:val="28"/>
        </w:rPr>
        <w:t xml:space="preserve">履约保证金在项目验收合格后退还给乙方。</w:t>
      </w:r>
    </w:p>
    <w:p>
      <w:pPr>
        <w:adjustRightInd w:val="0"/>
        <w:snapToGrid w:val="0"/>
        <w:spacing w:line="400" w:lineRule="exact"/>
        <w:ind w:firstLine="480" w:firstLineChars="200"/>
        <w:outlineLvl w:val="0"/>
        <w:rPr>
          <w:rFonts w:ascii="宋体" w:hAnsi="宋体"/>
          <w:sz w:val="24"/>
          <w:szCs w:val="28"/>
        </w:rPr>
      </w:pPr>
      <w:bookmarkStart w:id="33" w:name="_Toc29531"/>
      <w:r>
        <w:rPr>
          <w:rFonts w:ascii="宋体" w:hAnsi="宋体" w:hint="eastAsia"/>
          <w:sz w:val="24"/>
          <w:szCs w:val="28"/>
        </w:rPr>
        <w:t xml:space="preserve">15、终止合同</w:t>
      </w:r>
      <w:bookmarkEnd w:id="33"/>
    </w:p>
    <w:p>
      <w:pPr>
        <w:adjustRightInd w:val="0"/>
        <w:snapToGrid w:val="0"/>
        <w:spacing w:line="400" w:lineRule="exact"/>
        <w:ind w:firstLine="480" w:firstLineChars="200"/>
        <w:rPr>
          <w:rFonts w:ascii="宋体" w:hAnsi="宋体"/>
          <w:sz w:val="24"/>
          <w:szCs w:val="28"/>
        </w:rPr>
      </w:pPr>
      <w:r>
        <w:rPr>
          <w:rFonts w:ascii="宋体" w:hAnsi="宋体"/>
          <w:sz w:val="24"/>
          <w:szCs w:val="28"/>
        </w:rPr>
        <w:t xml:space="preserve">1</w:t>
      </w:r>
      <w:r>
        <w:rPr>
          <w:rFonts w:ascii="宋体" w:hAnsi="宋体" w:hint="eastAsia"/>
          <w:sz w:val="24"/>
          <w:szCs w:val="28"/>
        </w:rPr>
        <w:t xml:space="preserve">5.1 乙方违约后虽采取补救措施，但有以下情形的，甲方有权解除或终止部分或全部合同。</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（1）乙方未能按合同约定的期限或甲方同意延长的限期内提供部分或全部货物的；</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（2）乙方在收到甲方发出整改通知的二十日内，或经甲方书面认可延长时间内未能纠正其错误的；</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（3）乙方未能履行合同规定的其他义务。</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15.2在甲方根据第15.1条约定，解除或终止全部或部分合同后，甲方可以依其认为适当的条件和方法，向乙方以外的单位购买乙方未交的类似货物，乙方应对甲方所购货物超出部分的费用负责，同时乙方应继续履行合同中未终止的部分内容。</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15.3乙方破产或无清偿能力的，甲方有权在其认为合适的时间以书面形式通知乙方终止合同而不给乙方补偿。终止合同不损害或影响甲方已经采取或将采取的任何行动或补救措施的权利。</w:t>
      </w:r>
    </w:p>
    <w:p>
      <w:pPr>
        <w:adjustRightInd w:val="0"/>
        <w:snapToGrid w:val="0"/>
        <w:spacing w:line="400" w:lineRule="exact"/>
        <w:ind w:firstLine="480" w:firstLineChars="200"/>
        <w:outlineLvl w:val="0"/>
        <w:rPr>
          <w:rFonts w:ascii="宋体" w:hAnsi="宋体"/>
          <w:sz w:val="24"/>
          <w:szCs w:val="28"/>
        </w:rPr>
      </w:pPr>
      <w:bookmarkStart w:id="34" w:name="_Toc18127"/>
      <w:r>
        <w:rPr>
          <w:rFonts w:ascii="宋体" w:hAnsi="宋体" w:hint="eastAsia"/>
          <w:sz w:val="24"/>
          <w:szCs w:val="28"/>
        </w:rPr>
        <w:t xml:space="preserve">16、转让</w:t>
      </w:r>
      <w:bookmarkEnd w:id="34"/>
    </w:p>
    <w:p>
      <w:pPr>
        <w:adjustRightInd w:val="0"/>
        <w:snapToGrid w:val="0"/>
        <w:spacing w:line="400" w:lineRule="exact"/>
        <w:ind w:firstLine="480" w:firstLineChars="200"/>
        <w:outlineLvl w:val="0"/>
        <w:rPr>
          <w:rFonts w:ascii="宋体" w:hAnsi="宋体"/>
          <w:sz w:val="24"/>
          <w:szCs w:val="28"/>
        </w:rPr>
      </w:pPr>
      <w:bookmarkStart w:id="35" w:name="_Toc16504"/>
      <w:r>
        <w:rPr>
          <w:rFonts w:ascii="宋体" w:hAnsi="宋体" w:hint="eastAsia"/>
          <w:sz w:val="24"/>
          <w:szCs w:val="28"/>
        </w:rPr>
        <w:t xml:space="preserve">除甲方书面同意外，乙方不得转让其应履行的部分或全部合同义务。</w:t>
      </w:r>
      <w:bookmarkEnd w:id="35"/>
    </w:p>
    <w:p>
      <w:pPr>
        <w:adjustRightInd w:val="0"/>
        <w:snapToGrid w:val="0"/>
        <w:spacing w:line="400" w:lineRule="exact"/>
        <w:ind w:firstLine="480" w:firstLineChars="200"/>
        <w:outlineLvl w:val="0"/>
        <w:rPr>
          <w:rFonts w:ascii="宋体" w:hAnsi="宋体" w:cs="黑体"/>
          <w:sz w:val="24"/>
          <w:szCs w:val="28"/>
        </w:rPr>
      </w:pPr>
      <w:bookmarkStart w:id="36" w:name="_Toc32672"/>
      <w:r>
        <w:rPr>
          <w:rFonts w:ascii="宋体" w:hAnsi="宋体" w:cs="黑体" w:hint="eastAsia"/>
          <w:sz w:val="24"/>
          <w:szCs w:val="28"/>
        </w:rPr>
        <w:t xml:space="preserve">十一、合同生效及其它</w:t>
      </w:r>
      <w:bookmarkEnd w:id="36"/>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1、本合同由甲乙双方签字后生效。</w:t>
      </w:r>
      <w:bookmarkStart w:id="37" w:name="_Toc25903"/>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2、本合同一式五份，招标代理一份，甲乙双方各执二份。</w:t>
      </w:r>
      <w:bookmarkEnd w:id="37"/>
      <w:bookmarkStart w:id="38" w:name="_Toc5406"/>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3、修改或补充合同内容，经由甲乙双方协商后，签署书面修改或补充协议。该协议将作为本合同不可分割的一部分。</w:t>
      </w:r>
      <w:bookmarkEnd w:id="38"/>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4、本合同中规定的书面形式通知还包括邮件、传真、邮寄等形式。</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书面形式的通知和报告的接收人应是甲、乙双方法人代表或负责本合同履行的双方具体负责人，接收人应及时签收。甲乙双方可商定双方具体负责人的邮箱。接收人不履行该义务的，发送方可以使用邮件将文本发送至双方商定的邮箱，一旦邮件发送成功即视为接收人已经收到。</w:t>
      </w:r>
    </w:p>
    <w:p>
      <w:pPr>
        <w:adjustRightInd w:val="0"/>
        <w:snapToGrid w:val="0"/>
        <w:spacing w:line="400" w:lineRule="exact"/>
        <w:ind w:firstLine="480" w:firstLineChars="200"/>
        <w:rPr>
          <w:rFonts w:ascii="宋体" w:hAnsi="宋体"/>
          <w:sz w:val="24"/>
          <w:szCs w:val="28"/>
          <w:u w:val="single"/>
        </w:rPr>
      </w:pPr>
      <w:r>
        <w:rPr>
          <w:rFonts w:ascii="宋体" w:hAnsi="宋体" w:hint="eastAsia"/>
          <w:sz w:val="24"/>
          <w:szCs w:val="28"/>
        </w:rPr>
        <w:t xml:space="preserve">甲方接收人邮箱：。</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乙方接收人邮箱：。</w:t>
      </w:r>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5、本合同按照中华人民共和国现行法律进行解释。</w:t>
      </w:r>
    </w:p>
    <w:p>
      <w:pPr>
        <w:adjustRightInd w:val="0"/>
        <w:snapToGrid w:val="0"/>
        <w:spacing w:line="400" w:lineRule="exact"/>
        <w:ind w:firstLine="480" w:firstLineChars="200"/>
        <w:outlineLvl w:val="0"/>
        <w:rPr>
          <w:rFonts w:ascii="宋体" w:hAnsi="宋体" w:cs="黑体"/>
          <w:b/>
          <w:bCs/>
          <w:sz w:val="24"/>
          <w:szCs w:val="28"/>
        </w:rPr>
      </w:pPr>
      <w:bookmarkStart w:id="39" w:name="_Toc18030"/>
      <w:r>
        <w:rPr>
          <w:rFonts w:ascii="宋体" w:hAnsi="宋体" w:cs="黑体" w:hint="eastAsia"/>
          <w:sz w:val="24"/>
          <w:szCs w:val="28"/>
        </w:rPr>
        <w:t xml:space="preserve">十二、解决争议的方式</w:t>
      </w:r>
      <w:bookmarkEnd w:id="39"/>
    </w:p>
    <w:p>
      <w:pPr>
        <w:adjustRightInd w:val="0"/>
        <w:snapToGrid w:val="0"/>
        <w:spacing w:line="400" w:lineRule="exact"/>
        <w:ind w:firstLine="480" w:firstLineChars="200"/>
        <w:rPr>
          <w:rFonts w:ascii="宋体" w:hAnsi="宋体"/>
          <w:sz w:val="24"/>
          <w:szCs w:val="28"/>
        </w:rPr>
      </w:pPr>
      <w:r>
        <w:rPr>
          <w:rFonts w:ascii="宋体" w:hAnsi="宋体" w:hint="eastAsia"/>
          <w:sz w:val="24"/>
          <w:szCs w:val="28"/>
        </w:rPr>
        <w:t xml:space="preserve">双方在合同履行期间发生争议的，在不影响项目进度的前提下，双方应采取协商解决。协商不成，双方当事人可向</w:t>
      </w:r>
      <w:r>
        <w:rPr>
          <w:rFonts w:ascii="宋体" w:hAnsi="宋体" w:hint="eastAsia"/>
          <w:sz w:val="24"/>
          <w:szCs w:val="28"/>
          <w:u w:val="single"/>
        </w:rPr>
        <w:t xml:space="preserve">  淮安  </w:t>
      </w:r>
      <w:r>
        <w:rPr>
          <w:rFonts w:ascii="宋体" w:hAnsi="宋体" w:hint="eastAsia"/>
          <w:sz w:val="24"/>
          <w:szCs w:val="28"/>
        </w:rPr>
        <w:t xml:space="preserve">仲裁委员会提请仲裁。</w:t>
      </w:r>
    </w:p>
    <w:p>
      <w:pPr>
        <w:pStyle w:val="PlainText"/>
        <w:spacing w:line="400" w:lineRule="exact"/>
        <w:ind w:firstLine="480" w:firstLineChars="200"/>
        <w:rPr>
          <w:rFonts w:hAnsi="宋体" w:cs="仿宋"/>
          <w:sz w:val="24"/>
          <w:szCs w:val="28"/>
        </w:rPr>
      </w:pPr>
    </w:p>
    <w:p>
      <w:pPr>
        <w:pStyle w:val="PlainText"/>
        <w:spacing w:line="400" w:lineRule="exact"/>
        <w:ind w:firstLine="480" w:firstLineChars="200"/>
        <w:rPr>
          <w:rFonts w:hAnsi="宋体" w:cs="仿宋"/>
          <w:sz w:val="24"/>
          <w:szCs w:val="24"/>
        </w:rPr>
      </w:pPr>
      <w:r>
        <w:rPr>
          <w:rFonts w:hAnsi="宋体" w:cs="仿宋" w:hint="eastAsia"/>
          <w:sz w:val="24"/>
          <w:szCs w:val="28"/>
        </w:rPr>
        <w:t xml:space="preserve">甲</w:t>
      </w:r>
      <w:r>
        <w:rPr>
          <w:rFonts w:hAnsi="宋体" w:cs="仿宋" w:hint="eastAsia"/>
          <w:sz w:val="24"/>
          <w:szCs w:val="24"/>
        </w:rPr>
        <w:t xml:space="preserve">    方：                       </w:t>
      </w:r>
      <w:r>
        <w:rPr>
          <w:rFonts w:hAnsi="宋体" w:cs="仿宋" w:hint="eastAsia"/>
          <w:sz w:val="24"/>
          <w:szCs w:val="28"/>
        </w:rPr>
        <w:t xml:space="preserve">乙</w:t>
      </w:r>
      <w:r>
        <w:rPr>
          <w:rFonts w:hAnsi="宋体" w:cs="仿宋" w:hint="eastAsia"/>
          <w:sz w:val="24"/>
          <w:szCs w:val="24"/>
        </w:rPr>
        <w:t xml:space="preserve">    方：</w:t>
      </w:r>
    </w:p>
    <w:p>
      <w:pPr>
        <w:pStyle w:val="PlainText"/>
        <w:spacing w:line="400" w:lineRule="exact"/>
        <w:ind w:firstLine="480" w:firstLineChars="200"/>
        <w:rPr>
          <w:rFonts w:hAnsi="宋体" w:cs="仿宋"/>
          <w:sz w:val="24"/>
          <w:szCs w:val="24"/>
        </w:rPr>
      </w:pPr>
      <w:r>
        <w:rPr>
          <w:rFonts w:hAnsi="宋体" w:cs="仿宋" w:hint="eastAsia"/>
          <w:sz w:val="24"/>
          <w:szCs w:val="24"/>
        </w:rPr>
        <w:t xml:space="preserve">单位盖章：                       单位盖章：</w:t>
      </w:r>
    </w:p>
    <w:p>
      <w:pPr>
        <w:pStyle w:val="PlainText"/>
        <w:spacing w:line="400" w:lineRule="exact"/>
        <w:ind w:firstLine="480" w:firstLineChars="200"/>
        <w:rPr>
          <w:rFonts w:hAnsi="宋体" w:cs="仿宋"/>
          <w:sz w:val="24"/>
          <w:szCs w:val="24"/>
        </w:rPr>
      </w:pPr>
      <w:r>
        <w:rPr>
          <w:rFonts w:hAnsi="宋体" w:cs="仿宋" w:hint="eastAsia"/>
          <w:sz w:val="24"/>
          <w:szCs w:val="24"/>
        </w:rPr>
        <w:t xml:space="preserve">代表签字：                       代表签字：</w:t>
      </w:r>
    </w:p>
    <w:p>
      <w:pPr>
        <w:pStyle w:val="PlainText"/>
        <w:spacing w:line="400" w:lineRule="exact"/>
        <w:ind w:firstLine="480" w:firstLineChars="200"/>
        <w:rPr>
          <w:rFonts w:hAnsi="宋体" w:cs="宋体" w:hint="eastAsia"/>
          <w:b/>
          <w:sz w:val="36"/>
          <w:szCs w:val="36"/>
        </w:rPr>
      </w:pPr>
      <w:r>
        <w:rPr>
          <w:rFonts w:hAnsi="宋体" w:cs="仿宋" w:hint="eastAsia"/>
          <w:sz w:val="24"/>
          <w:szCs w:val="24"/>
        </w:rPr>
        <w:t xml:space="preserve">签定日期：                       签定日期：</w:t>
      </w:r>
    </w:p>
    <w:p>
      <w:pPr>
        <w:numPr>
          <w:ilvl w:val="0"/>
          <w:numId w:val="0"/>
        </w:numPr>
        <w:jc w:val="center"/>
        <w:rPr>
          <w:rFonts w:ascii="宋体" w:eastAsia="宋体" w:hAnsi="宋体" w:cs="宋体" w:hint="eastAsia"/>
          <w:b/>
          <w:color w:val="000000" w:themeColor="text1"/>
          <w:sz w:val="36"/>
          <w:szCs w:val="36"/>
          <w:lang w:eastAsia="zh-CN"/>
          <w14:textFill>
            <w14:solidFill>
              <w14:schemeClr w14:val="tx1"/>
            </w14:solidFill>
          </w14:textFill>
        </w:rPr>
      </w:pPr>
      <w:r>
        <w:rPr>
          <w:rFonts w:ascii="宋体" w:hAnsi="宋体" w:cs="宋体" w:hint="eastAsia"/>
          <w:b/>
          <w:color w:val="000000" w:themeColor="text1"/>
          <w:sz w:val="36"/>
          <w:szCs w:val="36"/>
          <w:lang w:eastAsia="zh-CN"/>
          <w14:textFill>
            <w14:solidFill>
              <w14:schemeClr w14:val="tx1"/>
            </w14:solidFill>
          </w14:textFill>
        </w:rPr>
        <w:t xml:space="preserve">第四部分</w:t>
      </w:r>
      <w:r>
        <w:rPr>
          <w:rFonts w:ascii="宋体" w:hAnsi="宋体" w:cs="宋体" w:hint="eastAsia"/>
          <w:b/>
          <w:color w:val="000000" w:themeColor="text1"/>
          <w:sz w:val="36"/>
          <w:szCs w:val="36"/>
          <w:lang w:val="en-US" w:eastAsia="zh-CN"/>
          <w14:textFill>
            <w14:solidFill>
              <w14:schemeClr w14:val="tx1"/>
            </w14:solidFill>
          </w14:textFill>
        </w:rPr>
        <w:t xml:space="preserve"> </w:t>
      </w:r>
      <w:r>
        <w:rPr>
          <w:rFonts w:ascii="宋体" w:hAnsi="宋体" w:cs="宋体" w:hint="eastAsia"/>
          <w:b/>
          <w:color w:val="000000" w:themeColor="text1"/>
          <w:sz w:val="36"/>
          <w:szCs w:val="36"/>
          <w14:textFill>
            <w14:solidFill>
              <w14:schemeClr w14:val="tx1"/>
            </w14:solidFill>
          </w14:textFill>
        </w:rPr>
        <w:t xml:space="preserve">项目清单</w:t>
      </w:r>
      <w:r>
        <w:rPr>
          <w:rFonts w:ascii="宋体" w:hAnsi="宋体" w:cs="宋体" w:hint="eastAsia"/>
          <w:b/>
          <w:color w:val="000000" w:themeColor="text1"/>
          <w:sz w:val="36"/>
          <w:szCs w:val="36"/>
          <w:lang w:eastAsia="zh-CN"/>
          <w14:textFill>
            <w14:solidFill>
              <w14:schemeClr w14:val="tx1"/>
            </w14:solidFill>
          </w14:textFill>
        </w:rPr>
        <w:t xml:space="preserve">及参数</w:t>
      </w:r>
    </w:p>
    <w:p>
      <w:pPr>
        <w:jc w:val="center"/>
      </w:pPr>
      <w:r>
        <w:rPr>
          <w:rFonts w:ascii="宋体" w:eastAsia="宋体" w:hAnsi="宋体" w:asciiTheme="majorEastAsia" w:eastAsiaTheme="majorEastAsia" w:hAnsiTheme="majorEastAsia" w:cs="Times New Roman" w:cstheme="majorEastAsia" w:hint="eastAsia"/>
          <w:kern w:val="0"/>
          <w:sz w:val="30"/>
          <w:szCs w:val="30"/>
          <w:lang w:val="en-US" w:eastAsia="zh-CN"/>
        </w:rPr>
        <w:t xml:space="preserve">购置清单</w:t>
      </w:r>
    </w:p>
    <w:tbl>
      <w:tblPr>
        <w:tblStyle w:val="NormalTable"/>
        <w:tblW w:w="8732" w:type="dxa"/>
        <w:jc w:val="center"/>
        <w:tblLayout w:type="fixed"/>
        <w:tblCellMar>
          <w:top w:w="0" w:type="dxa"/>
          <w:left w:w="108" w:type="dxa"/>
          <w:bottom w:w="0" w:type="dxa"/>
          <w:right w:w="108" w:type="dxa"/>
        </w:tblCellMar>
        <w:tblLook w:firstRow="0" w:lastRow="0" w:firstColumn="0" w:lastColumn="0" w:noHBand="1" w:noVBand="1"/>
      </w:tblPr>
      <w:tblGrid>
        <w:gridCol w:w="857"/>
        <w:gridCol w:w="1359"/>
        <w:gridCol w:w="2248"/>
        <w:gridCol w:w="2280"/>
        <w:gridCol w:w="930"/>
        <w:gridCol w:w="1058"/>
      </w:tblGrid>
      <w:tr>
        <w:tblPrEx>
          <w:tblW w:w="8732" w:type="dxa"/>
          <w:tblLayout w:type="fixed"/>
          <w:tblCellMar>
            <w:top w:w="0" w:type="dxa"/>
            <w:left w:w="108" w:type="dxa"/>
            <w:bottom w:w="0" w:type="dxa"/>
            <w:right w:w="108" w:type="dxa"/>
          </w:tblCellMar>
        </w:tblPrEx>
        <w:trPr>
          <w:trHeight w:val="90"/>
          <w:jc w:val="center"/>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hint="eastAsia"/>
                <w:b/>
                <w:bCs/>
                <w:color w:val="auto"/>
                <w:kern w:val="0"/>
                <w:sz w:val="24"/>
                <w:szCs w:val="24"/>
              </w:rPr>
            </w:pPr>
            <w:r>
              <w:rPr>
                <w:rFonts w:ascii="宋体" w:hAnsi="宋体" w:cs="宋体" w:hint="eastAsia"/>
                <w:b/>
                <w:bCs/>
                <w:color w:val="auto"/>
                <w:kern w:val="0"/>
                <w:sz w:val="24"/>
                <w:szCs w:val="24"/>
              </w:rPr>
              <w:t xml:space="preserve">序号</w:t>
            </w:r>
          </w:p>
        </w:tc>
        <w:tc>
          <w:tcPr>
            <w:tcW w:w="1359"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eastAsia="宋体" w:hAnsi="宋体" w:cs="宋体" w:hint="default"/>
                <w:b/>
                <w:bCs/>
                <w:color w:val="auto"/>
                <w:kern w:val="0"/>
                <w:sz w:val="24"/>
                <w:szCs w:val="24"/>
                <w:lang w:val="en-US" w:eastAsia="zh-CN"/>
              </w:rPr>
            </w:pPr>
            <w:r>
              <w:rPr>
                <w:rFonts w:ascii="宋体" w:hAnsi="宋体" w:cs="宋体" w:hint="eastAsia"/>
                <w:b/>
                <w:bCs/>
                <w:color w:val="auto"/>
                <w:kern w:val="0"/>
                <w:sz w:val="24"/>
                <w:szCs w:val="24"/>
                <w:lang w:val="en-US" w:eastAsia="zh-CN"/>
              </w:rPr>
              <w:t xml:space="preserve">实训室名称</w:t>
            </w:r>
          </w:p>
        </w:tc>
        <w:tc>
          <w:tcPr>
            <w:tcW w:w="2248"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b/>
                <w:bCs/>
                <w:color w:val="auto"/>
                <w:kern w:val="0"/>
                <w:sz w:val="24"/>
                <w:szCs w:val="24"/>
              </w:rPr>
            </w:pPr>
            <w:r>
              <w:rPr>
                <w:rFonts w:ascii="宋体" w:hAnsi="宋体" w:cs="宋体" w:hint="eastAsia"/>
                <w:b/>
                <w:bCs/>
                <w:color w:val="auto"/>
                <w:kern w:val="0"/>
                <w:sz w:val="24"/>
                <w:szCs w:val="24"/>
              </w:rPr>
              <w:t xml:space="preserve">货物名称</w:t>
            </w:r>
          </w:p>
        </w:tc>
        <w:tc>
          <w:tcPr>
            <w:tcW w:w="2280"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b/>
                <w:bCs/>
                <w:color w:val="auto"/>
                <w:kern w:val="0"/>
                <w:sz w:val="24"/>
                <w:szCs w:val="24"/>
              </w:rPr>
            </w:pPr>
            <w:r>
              <w:rPr>
                <w:rFonts w:ascii="宋体" w:hAnsi="宋体" w:cs="宋体" w:hint="eastAsia"/>
                <w:b/>
                <w:bCs/>
                <w:color w:val="auto"/>
                <w:kern w:val="0"/>
                <w:sz w:val="24"/>
                <w:szCs w:val="24"/>
              </w:rPr>
              <w:t xml:space="preserve">规格型号</w:t>
            </w:r>
          </w:p>
        </w:tc>
        <w:tc>
          <w:tcPr>
            <w:tcW w:w="930"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b/>
                <w:bCs/>
                <w:color w:val="auto"/>
                <w:kern w:val="0"/>
                <w:sz w:val="24"/>
                <w:szCs w:val="24"/>
              </w:rPr>
            </w:pPr>
            <w:r>
              <w:rPr>
                <w:rFonts w:ascii="宋体" w:hAnsi="宋体" w:cs="宋体" w:hint="eastAsia"/>
                <w:b/>
                <w:bCs/>
                <w:color w:val="auto"/>
                <w:kern w:val="0"/>
                <w:sz w:val="24"/>
                <w:szCs w:val="24"/>
              </w:rPr>
              <w:t xml:space="preserve">数量</w:t>
            </w:r>
          </w:p>
        </w:tc>
        <w:tc>
          <w:tcPr>
            <w:tcW w:w="1058"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b/>
                <w:bCs/>
                <w:color w:val="auto"/>
                <w:kern w:val="0"/>
                <w:sz w:val="24"/>
                <w:szCs w:val="24"/>
              </w:rPr>
            </w:pPr>
            <w:r>
              <w:rPr>
                <w:rFonts w:ascii="宋体" w:hAnsi="宋体" w:cs="宋体" w:hint="eastAsia"/>
                <w:b/>
                <w:bCs/>
                <w:color w:val="auto"/>
                <w:kern w:val="0"/>
                <w:sz w:val="24"/>
                <w:szCs w:val="24"/>
              </w:rPr>
              <w:t xml:space="preserve">单位</w:t>
            </w:r>
          </w:p>
        </w:tc>
      </w:tr>
      <w:tr>
        <w:tblPrEx>
          <w:tblW w:w="8732" w:type="dxa"/>
          <w:tblLayout w:type="fixed"/>
          <w:tblCellMar>
            <w:top w:w="0" w:type="dxa"/>
            <w:left w:w="108" w:type="dxa"/>
            <w:bottom w:w="0" w:type="dxa"/>
            <w:right w:w="108" w:type="dxa"/>
          </w:tblCellMar>
        </w:tblPrEx>
        <w:trPr>
          <w:trHeight w:val="506"/>
          <w:jc w:val="center"/>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1</w:t>
            </w:r>
          </w:p>
        </w:tc>
        <w:tc>
          <w:tcPr>
            <w:tcW w:w="1359" w:type="dxa"/>
            <w:vMerge w:val="restart"/>
            <w:tcBorders>
              <w:top w:val="single" w:sz="4" w:space="0" w:color="auto"/>
              <w:left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精密测量与机械拆装实训室</w:t>
            </w:r>
          </w:p>
        </w:tc>
        <w:tc>
          <w:tcPr>
            <w:tcW w:w="2248" w:type="dxa"/>
            <w:tcBorders>
              <w:top w:val="single" w:sz="4" w:space="0" w:color="auto"/>
              <w:left w:val="nil"/>
              <w:right w:val="single" w:sz="4" w:space="0" w:color="auto"/>
            </w:tcBorders>
            <w:shd w:val="clear" w:color="auto" w:fill="auto"/>
            <w:vAlign w:val="center"/>
          </w:tcPr>
          <w:p>
            <w:pPr>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高精度量具及附件</w:t>
            </w:r>
          </w:p>
        </w:tc>
        <w:tc>
          <w:tcPr>
            <w:tcW w:w="2280" w:type="dxa"/>
            <w:tcBorders>
              <w:top w:val="single" w:sz="4" w:space="0" w:color="auto"/>
              <w:left w:val="nil"/>
              <w:right w:val="single" w:sz="4" w:space="0" w:color="auto"/>
            </w:tcBorders>
            <w:shd w:val="clear" w:color="auto" w:fill="auto"/>
            <w:vAlign w:val="center"/>
          </w:tcPr>
          <w:p>
            <w:pPr>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w:t>
            </w:r>
          </w:p>
        </w:tc>
        <w:tc>
          <w:tcPr>
            <w:tcW w:w="930" w:type="dxa"/>
            <w:tcBorders>
              <w:top w:val="single" w:sz="4" w:space="0" w:color="auto"/>
              <w:left w:val="nil"/>
              <w:right w:val="single" w:sz="4" w:space="0" w:color="auto"/>
            </w:tcBorders>
            <w:shd w:val="clear" w:color="auto" w:fill="auto"/>
            <w:vAlign w:val="center"/>
          </w:tcPr>
          <w:p>
            <w:pPr>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1</w:t>
            </w:r>
          </w:p>
        </w:tc>
        <w:tc>
          <w:tcPr>
            <w:tcW w:w="1058" w:type="dxa"/>
            <w:tcBorders>
              <w:top w:val="single" w:sz="4" w:space="0" w:color="auto"/>
              <w:left w:val="nil"/>
              <w:right w:val="single" w:sz="4" w:space="0" w:color="auto"/>
            </w:tcBorders>
            <w:shd w:val="clear" w:color="auto" w:fill="auto"/>
            <w:vAlign w:val="center"/>
          </w:tcPr>
          <w:p>
            <w:pPr>
              <w:widowControl/>
              <w:jc w:val="center"/>
              <w:rPr>
                <w:rFonts w:ascii="宋体" w:hAnsi="宋体" w:cs="宋体" w:hint="eastAsia"/>
                <w:color w:val="auto"/>
                <w:kern w:val="0"/>
                <w:sz w:val="24"/>
                <w:szCs w:val="24"/>
                <w:lang w:val="en-US" w:eastAsia="zh-CN"/>
              </w:rPr>
            </w:pPr>
            <w:r>
              <w:rPr>
                <w:rFonts w:ascii="宋体" w:hAnsi="宋体" w:cs="宋体" w:hint="eastAsia"/>
                <w:color w:val="auto"/>
                <w:kern w:val="0"/>
                <w:sz w:val="24"/>
                <w:szCs w:val="24"/>
                <w:lang w:val="en-US" w:eastAsia="zh-CN"/>
              </w:rPr>
              <w:t xml:space="preserve">批</w:t>
            </w:r>
          </w:p>
        </w:tc>
      </w:tr>
      <w:tr>
        <w:tblPrEx>
          <w:tblW w:w="8732" w:type="dxa"/>
          <w:tblLayout w:type="fixed"/>
          <w:tblCellMar>
            <w:top w:w="0" w:type="dxa"/>
            <w:left w:w="108" w:type="dxa"/>
            <w:bottom w:w="0" w:type="dxa"/>
            <w:right w:w="108" w:type="dxa"/>
          </w:tblCellMar>
        </w:tblPrEx>
        <w:trPr>
          <w:trHeight w:val="90"/>
          <w:jc w:val="center"/>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2</w:t>
            </w:r>
          </w:p>
        </w:tc>
        <w:tc>
          <w:tcPr>
            <w:tcW w:w="1359" w:type="dxa"/>
            <w:vMerge/>
            <w:tcBorders>
              <w:left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p>
        </w:tc>
        <w:tc>
          <w:tcPr>
            <w:tcW w:w="2248"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拆装用单级圆柱齿轮减速器</w:t>
            </w:r>
          </w:p>
        </w:tc>
        <w:tc>
          <w:tcPr>
            <w:tcW w:w="2280"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w:t>
            </w:r>
          </w:p>
        </w:tc>
        <w:tc>
          <w:tcPr>
            <w:tcW w:w="930"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10</w:t>
            </w:r>
          </w:p>
        </w:tc>
        <w:tc>
          <w:tcPr>
            <w:tcW w:w="1058"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套</w:t>
            </w:r>
          </w:p>
        </w:tc>
      </w:tr>
      <w:tr>
        <w:tblPrEx>
          <w:tblW w:w="8732" w:type="dxa"/>
          <w:tblLayout w:type="fixed"/>
          <w:tblCellMar>
            <w:top w:w="0" w:type="dxa"/>
            <w:left w:w="108" w:type="dxa"/>
            <w:bottom w:w="0" w:type="dxa"/>
            <w:right w:w="108" w:type="dxa"/>
          </w:tblCellMar>
        </w:tblPrEx>
        <w:trPr>
          <w:trHeight w:val="562"/>
          <w:jc w:val="center"/>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3</w:t>
            </w:r>
          </w:p>
        </w:tc>
        <w:tc>
          <w:tcPr>
            <w:tcW w:w="1359" w:type="dxa"/>
            <w:vMerge/>
            <w:tcBorders>
              <w:left w:val="single" w:sz="4" w:space="0" w:color="auto"/>
              <w:right w:val="single" w:sz="4" w:space="0" w:color="auto"/>
            </w:tcBorders>
            <w:shd w:val="clear" w:color="auto" w:fill="auto"/>
            <w:vAlign w:val="center"/>
          </w:tcPr>
          <w:p>
            <w:pPr>
              <w:widowControl/>
              <w:jc w:val="center"/>
              <w:rPr>
                <w:rFonts w:ascii="宋体" w:hAnsi="宋体" w:cs="宋体" w:hint="eastAsia"/>
                <w:color w:val="auto"/>
                <w:kern w:val="0"/>
                <w:sz w:val="24"/>
                <w:szCs w:val="24"/>
                <w:lang w:val="en-US" w:eastAsia="zh-CN"/>
              </w:rPr>
            </w:pPr>
          </w:p>
        </w:tc>
        <w:tc>
          <w:tcPr>
            <w:tcW w:w="2248"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机械机构展示装置</w:t>
            </w:r>
          </w:p>
        </w:tc>
        <w:tc>
          <w:tcPr>
            <w:tcW w:w="2280"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w:t>
            </w:r>
          </w:p>
        </w:tc>
        <w:tc>
          <w:tcPr>
            <w:tcW w:w="930"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10</w:t>
            </w:r>
          </w:p>
        </w:tc>
        <w:tc>
          <w:tcPr>
            <w:tcW w:w="1058"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套</w:t>
            </w:r>
          </w:p>
        </w:tc>
      </w:tr>
      <w:tr>
        <w:tblPrEx>
          <w:tblW w:w="8732" w:type="dxa"/>
          <w:tblLayout w:type="fixed"/>
          <w:tblCellMar>
            <w:top w:w="0" w:type="dxa"/>
            <w:left w:w="108" w:type="dxa"/>
            <w:bottom w:w="0" w:type="dxa"/>
            <w:right w:w="108" w:type="dxa"/>
          </w:tblCellMar>
        </w:tblPrEx>
        <w:trPr>
          <w:trHeight w:val="493"/>
          <w:jc w:val="center"/>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4</w:t>
            </w:r>
          </w:p>
        </w:tc>
        <w:tc>
          <w:tcPr>
            <w:tcW w:w="1359" w:type="dxa"/>
            <w:vMerge/>
            <w:tcBorders>
              <w:left w:val="single" w:sz="4" w:space="0" w:color="auto"/>
              <w:right w:val="single" w:sz="4" w:space="0" w:color="auto"/>
            </w:tcBorders>
            <w:shd w:val="clear" w:color="auto" w:fill="auto"/>
            <w:vAlign w:val="center"/>
          </w:tcPr>
          <w:p>
            <w:pPr>
              <w:widowControl/>
              <w:jc w:val="center"/>
              <w:rPr>
                <w:rFonts w:ascii="宋体" w:hAnsi="宋体" w:cs="宋体" w:hint="eastAsia"/>
                <w:color w:val="auto"/>
                <w:kern w:val="0"/>
                <w:sz w:val="24"/>
                <w:szCs w:val="24"/>
                <w:lang w:val="en-US" w:eastAsia="zh-CN"/>
              </w:rPr>
            </w:pPr>
          </w:p>
        </w:tc>
        <w:tc>
          <w:tcPr>
            <w:tcW w:w="2248"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拆装工具</w:t>
            </w:r>
          </w:p>
        </w:tc>
        <w:tc>
          <w:tcPr>
            <w:tcW w:w="2280"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151件套</w:t>
            </w:r>
          </w:p>
        </w:tc>
        <w:tc>
          <w:tcPr>
            <w:tcW w:w="930"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10</w:t>
            </w:r>
          </w:p>
        </w:tc>
        <w:tc>
          <w:tcPr>
            <w:tcW w:w="1058"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套</w:t>
            </w:r>
          </w:p>
        </w:tc>
      </w:tr>
      <w:tr>
        <w:tblPrEx>
          <w:tblW w:w="8732" w:type="dxa"/>
          <w:tblLayout w:type="fixed"/>
          <w:tblCellMar>
            <w:top w:w="0" w:type="dxa"/>
            <w:left w:w="108" w:type="dxa"/>
            <w:bottom w:w="0" w:type="dxa"/>
            <w:right w:w="108" w:type="dxa"/>
          </w:tblCellMar>
        </w:tblPrEx>
        <w:trPr>
          <w:trHeight w:val="90"/>
          <w:jc w:val="center"/>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5</w:t>
            </w:r>
          </w:p>
        </w:tc>
        <w:tc>
          <w:tcPr>
            <w:tcW w:w="1359" w:type="dxa"/>
            <w:vMerge/>
            <w:tcBorders>
              <w:left w:val="single" w:sz="4" w:space="0" w:color="auto"/>
              <w:right w:val="single" w:sz="4" w:space="0" w:color="auto"/>
            </w:tcBorders>
            <w:shd w:val="clear" w:color="auto" w:fill="auto"/>
            <w:vAlign w:val="center"/>
          </w:tcPr>
          <w:p>
            <w:pPr>
              <w:widowControl/>
              <w:jc w:val="center"/>
              <w:rPr>
                <w:rFonts w:ascii="宋体" w:hAnsi="宋体" w:cs="宋体" w:hint="eastAsia"/>
                <w:color w:val="auto"/>
                <w:kern w:val="0"/>
                <w:sz w:val="24"/>
                <w:szCs w:val="24"/>
                <w:lang w:val="en-US" w:eastAsia="zh-CN"/>
              </w:rPr>
            </w:pPr>
          </w:p>
        </w:tc>
        <w:tc>
          <w:tcPr>
            <w:tcW w:w="2248"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三导轨偏摆仪</w:t>
            </w:r>
          </w:p>
        </w:tc>
        <w:tc>
          <w:tcPr>
            <w:tcW w:w="2280"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测量直径120mm，测量长度500mm；</w:t>
            </w:r>
          </w:p>
        </w:tc>
        <w:tc>
          <w:tcPr>
            <w:tcW w:w="930"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2</w:t>
            </w:r>
          </w:p>
        </w:tc>
        <w:tc>
          <w:tcPr>
            <w:tcW w:w="1058"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台</w:t>
            </w:r>
          </w:p>
        </w:tc>
      </w:tr>
      <w:tr>
        <w:tblPrEx>
          <w:tblW w:w="8732" w:type="dxa"/>
          <w:tblLayout w:type="fixed"/>
          <w:tblCellMar>
            <w:top w:w="0" w:type="dxa"/>
            <w:left w:w="108" w:type="dxa"/>
            <w:bottom w:w="0" w:type="dxa"/>
            <w:right w:w="108" w:type="dxa"/>
          </w:tblCellMar>
        </w:tblPrEx>
        <w:trPr>
          <w:trHeight w:val="90"/>
          <w:jc w:val="center"/>
        </w:trPr>
        <w:tc>
          <w:tcPr>
            <w:tcW w:w="857" w:type="dxa"/>
            <w:tcBorders>
              <w:top w:val="single" w:sz="4" w:space="0" w:color="auto"/>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6</w:t>
            </w:r>
          </w:p>
        </w:tc>
        <w:tc>
          <w:tcPr>
            <w:tcW w:w="1359" w:type="dxa"/>
            <w:vMerge/>
            <w:tcBorders>
              <w:left w:val="single" w:sz="4" w:space="0" w:color="auto"/>
              <w:bottom w:val="single" w:sz="4" w:space="0" w:color="auto"/>
              <w:right w:val="single" w:sz="4" w:space="0" w:color="auto"/>
            </w:tcBorders>
            <w:shd w:val="clear" w:color="auto" w:fill="auto"/>
            <w:vAlign w:val="center"/>
          </w:tcPr>
          <w:p>
            <w:pPr>
              <w:widowControl/>
              <w:jc w:val="center"/>
              <w:rPr>
                <w:rFonts w:ascii="宋体" w:hAnsi="宋体" w:cs="宋体" w:hint="eastAsia"/>
                <w:color w:val="auto"/>
                <w:kern w:val="0"/>
                <w:sz w:val="24"/>
                <w:szCs w:val="24"/>
                <w:lang w:val="en-US" w:eastAsia="zh-CN"/>
              </w:rPr>
            </w:pPr>
          </w:p>
        </w:tc>
        <w:tc>
          <w:tcPr>
            <w:tcW w:w="2248"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eastAsia="宋体" w:hAnsi="宋体" w:cs="宋体" w:hint="eastAsia"/>
                <w:color w:val="auto"/>
                <w:kern w:val="0"/>
                <w:sz w:val="24"/>
                <w:szCs w:val="24"/>
                <w:lang w:val="en-US" w:eastAsia="zh-CN"/>
              </w:rPr>
              <w:t xml:space="preserve">实训操作桌</w:t>
            </w:r>
            <w:r>
              <w:rPr>
                <w:rFonts w:ascii="宋体" w:hAnsi="宋体" w:cs="宋体" w:hint="eastAsia"/>
                <w:color w:val="auto"/>
                <w:kern w:val="0"/>
                <w:sz w:val="24"/>
                <w:szCs w:val="24"/>
                <w:lang w:val="en-US" w:eastAsia="zh-CN"/>
              </w:rPr>
              <w:t xml:space="preserve">（含凳子）</w:t>
            </w:r>
          </w:p>
        </w:tc>
        <w:tc>
          <w:tcPr>
            <w:tcW w:w="2280"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1600*800*850mm</w:t>
            </w:r>
          </w:p>
        </w:tc>
        <w:tc>
          <w:tcPr>
            <w:tcW w:w="930"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10</w:t>
            </w:r>
          </w:p>
        </w:tc>
        <w:tc>
          <w:tcPr>
            <w:tcW w:w="1058" w:type="dxa"/>
            <w:tcBorders>
              <w:top w:val="single" w:sz="4" w:space="0" w:color="auto"/>
              <w:left w:val="nil"/>
              <w:bottom w:val="single" w:sz="4" w:space="0" w:color="auto"/>
              <w:right w:val="single" w:sz="4" w:space="0" w:color="auto"/>
            </w:tcBorders>
            <w:shd w:val="clear" w:color="auto" w:fill="auto"/>
            <w:vAlign w:val="center"/>
          </w:tcPr>
          <w:p>
            <w:pPr>
              <w:widowControl/>
              <w:jc w:val="center"/>
              <w:rPr>
                <w:rFonts w:ascii="宋体" w:hAnsi="宋体" w:cs="宋体" w:hint="eastAsia"/>
                <w:color w:val="auto"/>
                <w:kern w:val="0"/>
                <w:sz w:val="24"/>
                <w:szCs w:val="24"/>
                <w:lang w:val="en-US" w:eastAsia="zh-CN"/>
              </w:rPr>
            </w:pPr>
            <w:r>
              <w:rPr>
                <w:rFonts w:ascii="宋体" w:hAnsi="宋体" w:cs="宋体" w:hint="eastAsia"/>
                <w:color w:val="auto"/>
                <w:kern w:val="0"/>
                <w:sz w:val="24"/>
                <w:szCs w:val="24"/>
                <w:lang w:val="en-US" w:eastAsia="zh-CN"/>
              </w:rPr>
              <w:t xml:space="preserve">张</w:t>
            </w:r>
          </w:p>
        </w:tc>
      </w:tr>
    </w:tbl>
    <w:p>
      <w:pPr>
        <w:pStyle w:val="BlockText"/>
        <w:ind w:left="1470" w:right="1470"/>
      </w:pPr>
    </w:p>
    <w:p>
      <w:pPr>
        <w:pStyle w:val="Heading1"/>
      </w:pPr>
      <w:r>
        <w:rPr>
          <w:rFonts w:ascii="宋体" w:eastAsia="宋体" w:hAnsi="宋体" w:asciiTheme="majorEastAsia" w:eastAsiaTheme="majorEastAsia" w:hAnsiTheme="majorEastAsia" w:cs="Times New Roman" w:cstheme="majorEastAsia" w:hint="eastAsia"/>
          <w:kern w:val="0"/>
          <w:sz w:val="30"/>
          <w:szCs w:val="30"/>
        </w:rPr>
        <w:t xml:space="preserve">技术参数要求</w:t>
      </w:r>
    </w:p>
    <w:tbl>
      <w:tblPr>
        <w:tblStyle w:val="NormalTable"/>
        <w:tblW w:w="938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Look w:firstRow="0" w:lastRow="0" w:firstColumn="0" w:lastColumn="0" w:noHBand="1" w:noVBand="1"/>
      </w:tblPr>
      <w:tblGrid>
        <w:gridCol w:w="894"/>
        <w:gridCol w:w="798"/>
        <w:gridCol w:w="6874"/>
        <w:gridCol w:w="822"/>
      </w:tblGrid>
      <w:tr>
        <w:tblPrEx>
          <w:tblW w:w="938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507"/>
          <w:jc w:val="center"/>
        </w:trPr>
        <w:tc>
          <w:tcPr>
            <w:tcW w:w="894" w:type="dxa"/>
            <w:vAlign w:val="center"/>
          </w:tcPr>
          <w:p>
            <w:pPr>
              <w:widowControl/>
              <w:jc w:val="center"/>
              <w:rPr>
                <w:rFonts w:ascii="宋体" w:eastAsia="宋体" w:hAnsi="宋体" w:asciiTheme="minorEastAsia" w:eastAsiaTheme="minorEastAsia" w:hAnsiTheme="minorEastAsia" w:cs="Arial" w:cstheme="minorEastAsia"/>
                <w:b/>
                <w:bCs/>
                <w:color w:val="auto"/>
                <w:kern w:val="0"/>
                <w:sz w:val="22"/>
                <w:szCs w:val="22"/>
              </w:rPr>
            </w:pPr>
            <w:r>
              <w:rPr>
                <w:rFonts w:ascii="宋体" w:eastAsia="宋体" w:hAnsi="宋体" w:asciiTheme="minorEastAsia" w:eastAsiaTheme="minorEastAsia" w:hAnsiTheme="minorEastAsia" w:cs="Arial" w:cstheme="minorEastAsia" w:hint="eastAsia"/>
                <w:b/>
                <w:bCs/>
                <w:color w:val="auto"/>
                <w:kern w:val="0"/>
                <w:sz w:val="22"/>
                <w:szCs w:val="22"/>
              </w:rPr>
              <w:t xml:space="preserve">序号</w:t>
            </w:r>
          </w:p>
        </w:tc>
        <w:tc>
          <w:tcPr>
            <w:tcW w:w="798" w:type="dxa"/>
            <w:vAlign w:val="center"/>
          </w:tcPr>
          <w:p>
            <w:pPr>
              <w:widowControl/>
              <w:jc w:val="center"/>
              <w:rPr>
                <w:rFonts w:ascii="宋体" w:eastAsia="宋体" w:hAnsi="宋体" w:asciiTheme="minorEastAsia" w:eastAsiaTheme="minorEastAsia" w:hAnsiTheme="minorEastAsia" w:cs="Arial" w:cstheme="minorEastAsia"/>
                <w:b/>
                <w:bCs/>
                <w:color w:val="auto"/>
                <w:kern w:val="0"/>
                <w:sz w:val="22"/>
                <w:szCs w:val="22"/>
              </w:rPr>
            </w:pPr>
            <w:r>
              <w:rPr>
                <w:rFonts w:ascii="宋体" w:eastAsia="宋体" w:hAnsi="宋体" w:asciiTheme="minorEastAsia" w:eastAsiaTheme="minorEastAsia" w:hAnsiTheme="minorEastAsia" w:cs="Arial" w:cstheme="minorEastAsia" w:hint="eastAsia"/>
                <w:b/>
                <w:bCs/>
                <w:color w:val="auto"/>
                <w:kern w:val="0"/>
                <w:sz w:val="22"/>
                <w:szCs w:val="22"/>
              </w:rPr>
              <w:t xml:space="preserve">名称</w:t>
            </w:r>
          </w:p>
        </w:tc>
        <w:tc>
          <w:tcPr>
            <w:tcW w:w="6874" w:type="dxa"/>
            <w:vAlign w:val="center"/>
          </w:tcPr>
          <w:p>
            <w:pPr>
              <w:widowControl/>
              <w:jc w:val="center"/>
              <w:rPr>
                <w:rFonts w:ascii="宋体" w:eastAsia="宋体" w:hAnsi="宋体" w:asciiTheme="minorEastAsia" w:eastAsiaTheme="minorEastAsia" w:hAnsiTheme="minorEastAsia" w:cs="Arial" w:cstheme="minorEastAsia"/>
                <w:b/>
                <w:bCs/>
                <w:color w:val="auto"/>
                <w:kern w:val="0"/>
                <w:sz w:val="22"/>
                <w:szCs w:val="22"/>
              </w:rPr>
            </w:pPr>
            <w:r>
              <w:rPr>
                <w:rFonts w:ascii="宋体" w:eastAsia="宋体" w:hAnsi="宋体" w:asciiTheme="minorEastAsia" w:eastAsiaTheme="minorEastAsia" w:hAnsiTheme="minorEastAsia" w:cs="Arial" w:cstheme="minorEastAsia" w:hint="eastAsia"/>
                <w:b/>
                <w:bCs/>
                <w:color w:val="auto"/>
                <w:kern w:val="0"/>
                <w:sz w:val="22"/>
                <w:szCs w:val="22"/>
              </w:rPr>
              <w:t xml:space="preserve">主要功能及技术要求</w:t>
            </w:r>
          </w:p>
        </w:tc>
        <w:tc>
          <w:tcPr>
            <w:tcW w:w="822" w:type="dxa"/>
            <w:vAlign w:val="center"/>
          </w:tcPr>
          <w:p>
            <w:pPr>
              <w:widowControl/>
              <w:jc w:val="center"/>
              <w:rPr>
                <w:rFonts w:ascii="宋体" w:eastAsia="宋体" w:hAnsi="宋体" w:asciiTheme="minorEastAsia" w:eastAsiaTheme="minorEastAsia" w:hAnsiTheme="minorEastAsia" w:cs="Arial" w:cstheme="minorEastAsia"/>
                <w:b/>
                <w:bCs/>
                <w:color w:val="auto"/>
                <w:kern w:val="0"/>
                <w:sz w:val="22"/>
                <w:szCs w:val="22"/>
              </w:rPr>
            </w:pPr>
            <w:r>
              <w:rPr>
                <w:rFonts w:ascii="宋体" w:eastAsia="宋体" w:hAnsi="宋体" w:asciiTheme="minorEastAsia" w:eastAsiaTheme="minorEastAsia" w:hAnsiTheme="minorEastAsia" w:cs="Arial" w:cstheme="minorEastAsia" w:hint="eastAsia"/>
                <w:b/>
                <w:bCs/>
                <w:color w:val="auto"/>
                <w:kern w:val="0"/>
                <w:sz w:val="22"/>
                <w:szCs w:val="22"/>
              </w:rPr>
              <w:t xml:space="preserve">数量</w:t>
            </w:r>
          </w:p>
        </w:tc>
      </w:tr>
      <w:tr>
        <w:tblPrEx>
          <w:tblW w:w="938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507"/>
          <w:jc w:val="center"/>
        </w:trPr>
        <w:tc>
          <w:tcPr>
            <w:tcW w:w="894" w:type="dxa"/>
            <w:vAlign w:val="center"/>
          </w:tcPr>
          <w:p>
            <w:pPr>
              <w:widowControl/>
              <w:jc w:val="center"/>
              <w:rPr>
                <w:rFonts w:ascii="宋体" w:eastAsia="宋体" w:hAnsi="宋体" w:asciiTheme="minorEastAsia" w:eastAsiaTheme="minorEastAsia" w:hAnsiTheme="minorEastAsia" w:cs="Arial" w:cstheme="minorEastAsia" w:hint="default"/>
                <w:bCs/>
                <w:color w:val="auto"/>
                <w:kern w:val="0"/>
                <w:sz w:val="22"/>
                <w:szCs w:val="22"/>
                <w:lang w:val="en-US" w:eastAsia="zh-CN"/>
              </w:rPr>
            </w:pPr>
            <w:r>
              <w:rPr>
                <w:rFonts w:ascii="宋体" w:eastAsia="宋体" w:hAnsi="宋体" w:asciiTheme="minorEastAsia" w:eastAsiaTheme="minorEastAsia" w:hAnsiTheme="minorEastAsia" w:cs="Arial" w:cstheme="minorEastAsia" w:hint="eastAsia"/>
                <w:bCs/>
                <w:color w:val="auto"/>
                <w:kern w:val="0"/>
                <w:sz w:val="22"/>
                <w:szCs w:val="22"/>
                <w:lang w:val="en-US" w:eastAsia="zh-CN"/>
              </w:rPr>
              <w:t xml:space="preserve">1</w:t>
            </w:r>
          </w:p>
        </w:tc>
        <w:tc>
          <w:tcPr>
            <w:tcW w:w="798" w:type="dxa"/>
            <w:vAlign w:val="center"/>
          </w:tcPr>
          <w:p>
            <w:pPr>
              <w:keepNext w:val="0"/>
              <w:keepLines w:val="0"/>
              <w:pageBreakBefore w:val="0"/>
              <w:widowControl/>
              <w:kinsoku/>
              <w:wordWrap/>
              <w:overflowPunct/>
              <w:topLinePunct w:val="0"/>
              <w:bidi w:val="0"/>
              <w:adjustRightInd/>
              <w:snapToGrid/>
              <w:spacing w:line="240" w:lineRule="auto"/>
              <w:jc w:val="center"/>
              <w:rPr>
                <w:rFonts w:ascii="宋体" w:eastAsia="宋体" w:hAnsi="宋体" w:asciiTheme="minorEastAsia" w:eastAsiaTheme="minorEastAsia" w:hAnsiTheme="minorEastAsia" w:cs="Arial" w:cstheme="minorEastAsia" w:hint="default"/>
                <w:color w:val="auto"/>
                <w:kern w:val="0"/>
                <w:sz w:val="22"/>
                <w:szCs w:val="22"/>
                <w:lang w:val="en-US" w:eastAsia="zh-CN"/>
              </w:rPr>
            </w:pPr>
            <w:r>
              <w:rPr>
                <w:rFonts w:ascii="宋体" w:hAnsi="宋体" w:cs="宋体" w:hint="eastAsia"/>
                <w:color w:val="auto"/>
                <w:kern w:val="0"/>
                <w:sz w:val="24"/>
                <w:szCs w:val="24"/>
                <w:lang w:val="en-US" w:eastAsia="zh-CN"/>
              </w:rPr>
              <w:t xml:space="preserve">高精度量具及附件</w:t>
            </w:r>
          </w:p>
        </w:tc>
        <w:tc>
          <w:tcPr>
            <w:tcW w:w="6874" w:type="dxa"/>
            <w:vAlign w:val="center"/>
          </w:tcPr>
          <w:p>
            <w:pPr>
              <w:pStyle w:val="TableParagraph"/>
              <w:keepNext w:val="0"/>
              <w:keepLines w:val="0"/>
              <w:pageBreakBefore w:val="0"/>
              <w:numPr>
                <w:ilvl w:val="0"/>
                <w:numId w:val="3"/>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b w:val="0"/>
                <w:bCs w:val="0"/>
                <w:color w:val="auto"/>
                <w:sz w:val="24"/>
                <w:szCs w:val="24"/>
                <w:lang w:val="en-US" w:eastAsia="zh-CN"/>
              </w:rPr>
            </w:pPr>
            <w:r>
              <w:rPr>
                <w:rFonts w:ascii="宋体" w:eastAsia="宋体" w:hAnsi="宋体" w:asciiTheme="minorEastAsia" w:eastAsiaTheme="minorEastAsia" w:hAnsiTheme="minorEastAsia" w:cs="Arial" w:cstheme="minorEastAsia" w:hint="eastAsia"/>
                <w:b w:val="0"/>
                <w:bCs w:val="0"/>
                <w:color w:val="auto"/>
                <w:sz w:val="24"/>
                <w:szCs w:val="24"/>
                <w:lang w:val="en-US" w:eastAsia="zh-CN"/>
              </w:rPr>
              <w:t xml:space="preserve">530-118/0-150/  数显数显卡尺    0--150mm   3把</w:t>
            </w:r>
          </w:p>
          <w:p>
            <w:pPr>
              <w:pStyle w:val="TableParagraph"/>
              <w:keepNext w:val="0"/>
              <w:keepLines w:val="0"/>
              <w:pageBreakBefore w:val="0"/>
              <w:numPr>
                <w:ilvl w:val="0"/>
                <w:numId w:val="3"/>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b w:val="0"/>
                <w:bCs w:val="0"/>
                <w:color w:val="auto"/>
                <w:sz w:val="24"/>
                <w:szCs w:val="24"/>
                <w:lang w:val="en-US" w:eastAsia="zh-CN"/>
              </w:rPr>
            </w:pPr>
            <w:r>
              <w:rPr>
                <w:rFonts w:ascii="宋体" w:eastAsia="宋体" w:hAnsi="宋体" w:asciiTheme="minorEastAsia" w:eastAsiaTheme="minorEastAsia" w:hAnsiTheme="minorEastAsia" w:cs="Arial" w:cstheme="minorEastAsia" w:hint="eastAsia"/>
                <w:b w:val="0"/>
                <w:bCs w:val="0"/>
                <w:color w:val="auto"/>
                <w:sz w:val="24"/>
                <w:szCs w:val="24"/>
                <w:lang w:val="en-US" w:eastAsia="zh-CN"/>
              </w:rPr>
              <w:t xml:space="preserve">129-111/0-100/  数显深度千分尺  0--200mm   3把</w:t>
            </w:r>
          </w:p>
          <w:p>
            <w:pPr>
              <w:pStyle w:val="TableParagraph"/>
              <w:keepNext w:val="0"/>
              <w:keepLines w:val="0"/>
              <w:pageBreakBefore w:val="0"/>
              <w:numPr>
                <w:ilvl w:val="0"/>
                <w:numId w:val="3"/>
              </w:numPr>
              <w:kinsoku/>
              <w:wordWrap/>
              <w:overflowPunct/>
              <w:topLinePunct w:val="0"/>
              <w:bidi w:val="0"/>
              <w:adjustRightInd/>
              <w:snapToGrid/>
              <w:spacing w:line="240" w:lineRule="auto"/>
              <w:ind w:left="0" w:firstLine="0" w:leftChars="0" w:firstLineChars="0"/>
              <w:jc w:val="both"/>
              <w:rPr>
                <w:rFonts w:ascii="宋体" w:eastAsia="宋体" w:hAnsi="宋体" w:asciiTheme="minorEastAsia" w:eastAsiaTheme="minorEastAsia" w:hAnsiTheme="minorEastAsia" w:cs="Arial" w:cstheme="minorEastAsia" w:hint="eastAsia"/>
                <w:b w:val="0"/>
                <w:bCs w:val="0"/>
                <w:color w:val="auto"/>
                <w:sz w:val="24"/>
                <w:szCs w:val="24"/>
                <w:lang w:val="en-US" w:eastAsia="zh-CN"/>
              </w:rPr>
            </w:pPr>
            <w:r>
              <w:rPr>
                <w:rFonts w:ascii="宋体" w:eastAsia="宋体" w:hAnsi="宋体" w:asciiTheme="minorEastAsia" w:eastAsiaTheme="minorEastAsia" w:hAnsiTheme="minorEastAsia" w:cs="Arial" w:cstheme="minorEastAsia" w:hint="eastAsia"/>
                <w:b w:val="0"/>
                <w:bCs w:val="0"/>
                <w:color w:val="auto"/>
                <w:sz w:val="24"/>
                <w:szCs w:val="24"/>
                <w:lang w:val="en-US" w:eastAsia="zh-CN"/>
              </w:rPr>
              <w:t xml:space="preserve">468-166/20-25   数显内径千分尺   20-25mm   3把</w:t>
            </w:r>
          </w:p>
          <w:p>
            <w:pPr>
              <w:pStyle w:val="TableParagraph"/>
              <w:keepNext w:val="0"/>
              <w:keepLines w:val="0"/>
              <w:pageBreakBefore w:val="0"/>
              <w:numPr>
                <w:ilvl w:val="0"/>
                <w:numId w:val="3"/>
              </w:numPr>
              <w:kinsoku/>
              <w:wordWrap/>
              <w:overflowPunct/>
              <w:topLinePunct w:val="0"/>
              <w:bidi w:val="0"/>
              <w:adjustRightInd/>
              <w:snapToGrid/>
              <w:spacing w:line="240" w:lineRule="auto"/>
              <w:ind w:left="0" w:firstLine="0" w:leftChars="0" w:firstLineChars="0"/>
              <w:jc w:val="both"/>
              <w:rPr>
                <w:rFonts w:ascii="宋体" w:eastAsia="宋体" w:hAnsi="宋体" w:asciiTheme="minorEastAsia" w:eastAsiaTheme="minorEastAsia" w:hAnsiTheme="minorEastAsia" w:cs="Arial" w:cstheme="minorEastAsia" w:hint="eastAsia"/>
                <w:b w:val="0"/>
                <w:bCs w:val="0"/>
                <w:color w:val="auto"/>
                <w:sz w:val="24"/>
                <w:szCs w:val="24"/>
                <w:lang w:val="en-US" w:eastAsia="zh-CN"/>
              </w:rPr>
            </w:pPr>
            <w:r>
              <w:rPr>
                <w:rFonts w:ascii="宋体" w:eastAsia="宋体" w:hAnsi="宋体" w:asciiTheme="minorEastAsia" w:eastAsiaTheme="minorEastAsia" w:hAnsiTheme="minorEastAsia" w:cs="Arial" w:cstheme="minorEastAsia" w:hint="eastAsia"/>
                <w:b w:val="0"/>
                <w:bCs w:val="0"/>
                <w:color w:val="auto"/>
                <w:sz w:val="24"/>
                <w:szCs w:val="24"/>
                <w:lang w:val="en-US" w:eastAsia="zh-CN"/>
              </w:rPr>
              <w:t xml:space="preserve">468-167/25-30   数显内径千分尺   25-30mm   3把</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b w:val="0"/>
                <w:bCs w:val="0"/>
                <w:color w:val="auto"/>
                <w:sz w:val="24"/>
                <w:szCs w:val="24"/>
                <w:lang w:val="en-US" w:eastAsia="zh-CN"/>
              </w:rPr>
            </w:pPr>
            <w:r>
              <w:rPr>
                <w:rFonts w:ascii="宋体" w:eastAsia="宋体" w:hAnsi="宋体" w:asciiTheme="minorEastAsia" w:eastAsiaTheme="minorEastAsia" w:hAnsiTheme="minorEastAsia" w:cs="Arial" w:cstheme="minorEastAsia" w:hint="eastAsia"/>
                <w:b w:val="0"/>
                <w:bCs w:val="0"/>
                <w:color w:val="auto"/>
                <w:sz w:val="24"/>
                <w:szCs w:val="24"/>
                <w:lang w:val="en-US" w:eastAsia="zh-CN"/>
              </w:rPr>
              <w:t xml:space="preserve">5、468-168/30-40   数显内径千分尺   30-40mm   3把</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b w:val="0"/>
                <w:bCs w:val="0"/>
                <w:color w:val="auto"/>
                <w:sz w:val="24"/>
                <w:szCs w:val="24"/>
                <w:lang w:val="en-US" w:eastAsia="zh-CN"/>
              </w:rPr>
            </w:pPr>
            <w:r>
              <w:rPr>
                <w:rFonts w:ascii="宋体" w:eastAsia="宋体" w:hAnsi="宋体" w:asciiTheme="minorEastAsia" w:eastAsiaTheme="minorEastAsia" w:hAnsiTheme="minorEastAsia" w:cs="Arial" w:cstheme="minorEastAsia" w:hint="eastAsia"/>
                <w:b w:val="0"/>
                <w:bCs w:val="0"/>
                <w:color w:val="auto"/>
                <w:sz w:val="24"/>
                <w:szCs w:val="24"/>
                <w:lang w:val="en-US" w:eastAsia="zh-CN"/>
              </w:rPr>
              <w:t xml:space="preserve">6、468-169/40-50   数显内径千分尺   40-50mm   3把</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b w:val="0"/>
                <w:bCs w:val="0"/>
                <w:color w:val="auto"/>
                <w:sz w:val="24"/>
                <w:szCs w:val="24"/>
                <w:lang w:val="en-US" w:eastAsia="zh-CN"/>
              </w:rPr>
            </w:pPr>
            <w:r>
              <w:rPr>
                <w:rFonts w:ascii="宋体" w:eastAsia="宋体" w:hAnsi="宋体" w:asciiTheme="minorEastAsia" w:eastAsiaTheme="minorEastAsia" w:hAnsiTheme="minorEastAsia" w:cs="Arial" w:cstheme="minorEastAsia" w:hint="eastAsia"/>
                <w:b w:val="0"/>
                <w:bCs w:val="0"/>
                <w:color w:val="auto"/>
                <w:sz w:val="24"/>
                <w:szCs w:val="24"/>
                <w:lang w:val="en-US" w:eastAsia="zh-CN"/>
              </w:rPr>
              <w:t xml:space="preserve">7、293-240-30/0-25 数显外径千分尺   0-25mm    3把</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b w:val="0"/>
                <w:bCs w:val="0"/>
                <w:color w:val="auto"/>
                <w:sz w:val="24"/>
                <w:szCs w:val="24"/>
                <w:lang w:val="en-US" w:eastAsia="zh-CN"/>
              </w:rPr>
            </w:pPr>
            <w:r>
              <w:rPr>
                <w:rFonts w:ascii="宋体" w:eastAsia="宋体" w:hAnsi="宋体" w:asciiTheme="minorEastAsia" w:eastAsiaTheme="minorEastAsia" w:hAnsiTheme="minorEastAsia" w:cs="Arial" w:cstheme="minorEastAsia" w:hint="eastAsia"/>
                <w:b w:val="0"/>
                <w:bCs w:val="0"/>
                <w:color w:val="auto"/>
                <w:sz w:val="24"/>
                <w:szCs w:val="24"/>
                <w:lang w:val="en-US" w:eastAsia="zh-CN"/>
              </w:rPr>
              <w:t xml:space="preserve">8、293-241-30/25-50数显外径千分尺    25-50mm  3把</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b w:val="0"/>
                <w:bCs w:val="0"/>
                <w:color w:val="auto"/>
                <w:sz w:val="24"/>
                <w:szCs w:val="24"/>
                <w:lang w:val="en-US" w:eastAsia="zh-CN"/>
              </w:rPr>
            </w:pPr>
            <w:r>
              <w:rPr>
                <w:rFonts w:ascii="宋体" w:eastAsia="宋体" w:hAnsi="宋体" w:asciiTheme="minorEastAsia" w:eastAsiaTheme="minorEastAsia" w:hAnsiTheme="minorEastAsia" w:cs="Arial" w:cstheme="minorEastAsia" w:hint="eastAsia"/>
                <w:b w:val="0"/>
                <w:bCs w:val="0"/>
                <w:color w:val="auto"/>
                <w:sz w:val="24"/>
                <w:szCs w:val="24"/>
                <w:lang w:val="en-US" w:eastAsia="zh-CN"/>
              </w:rPr>
              <w:t xml:space="preserve">9、293-242-30/50-75数显外径千分尺    50-75mm  3把</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b w:val="0"/>
                <w:bCs w:val="0"/>
                <w:color w:val="auto"/>
                <w:sz w:val="24"/>
                <w:szCs w:val="24"/>
                <w:lang w:val="en-US" w:eastAsia="zh-CN"/>
              </w:rPr>
            </w:pPr>
            <w:r>
              <w:rPr>
                <w:rFonts w:ascii="宋体" w:eastAsia="宋体" w:hAnsi="宋体" w:asciiTheme="minorEastAsia" w:eastAsiaTheme="minorEastAsia" w:hAnsiTheme="minorEastAsia" w:cs="Arial" w:cstheme="minorEastAsia" w:hint="eastAsia"/>
                <w:b w:val="0"/>
                <w:bCs w:val="0"/>
                <w:color w:val="auto"/>
                <w:sz w:val="24"/>
                <w:szCs w:val="24"/>
                <w:lang w:val="en-US" w:eastAsia="zh-CN"/>
              </w:rPr>
              <w:t xml:space="preserve">10、293-243-30/75-100/数显外径千分尺    75-100mm   3把</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b w:val="0"/>
                <w:bCs w:val="0"/>
                <w:color w:val="auto"/>
                <w:sz w:val="24"/>
                <w:szCs w:val="24"/>
                <w:lang w:val="en-US" w:eastAsia="zh-CN"/>
              </w:rPr>
            </w:pPr>
            <w:r>
              <w:rPr>
                <w:rFonts w:ascii="宋体" w:eastAsia="宋体" w:hAnsi="宋体" w:asciiTheme="minorEastAsia" w:eastAsiaTheme="minorEastAsia" w:hAnsiTheme="minorEastAsia" w:cs="Arial" w:cstheme="minorEastAsia" w:hint="eastAsia"/>
                <w:b w:val="0"/>
                <w:bCs w:val="0"/>
                <w:color w:val="auto"/>
                <w:sz w:val="24"/>
                <w:szCs w:val="24"/>
                <w:lang w:val="en-US" w:eastAsia="zh-CN"/>
              </w:rPr>
              <w:t xml:space="preserve">11、323-250-30/0-25mm/0.001mm/数显公法线千分尺     3把</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b w:val="0"/>
                <w:bCs w:val="0"/>
                <w:color w:val="auto"/>
                <w:sz w:val="24"/>
                <w:szCs w:val="24"/>
                <w:lang w:val="en-US" w:eastAsia="zh-CN"/>
              </w:rPr>
            </w:pPr>
            <w:r>
              <w:rPr>
                <w:rFonts w:ascii="宋体" w:eastAsia="宋体" w:hAnsi="宋体" w:asciiTheme="minorEastAsia" w:eastAsiaTheme="minorEastAsia" w:hAnsiTheme="minorEastAsia" w:cs="Arial" w:cstheme="minorEastAsia" w:hint="eastAsia"/>
                <w:b w:val="0"/>
                <w:bCs w:val="0"/>
                <w:color w:val="auto"/>
                <w:sz w:val="24"/>
                <w:szCs w:val="24"/>
                <w:lang w:val="en-US" w:eastAsia="zh-CN"/>
              </w:rPr>
              <w:t xml:space="preserve">12、323-251-30/25-50mm/0.001mm/数显公法线千分尺    3把</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b w:val="0"/>
                <w:bCs w:val="0"/>
                <w:color w:val="auto"/>
                <w:sz w:val="24"/>
                <w:szCs w:val="24"/>
                <w:lang w:val="en-US" w:eastAsia="zh-CN"/>
              </w:rPr>
            </w:pPr>
            <w:r>
              <w:rPr>
                <w:rFonts w:ascii="宋体" w:eastAsia="宋体" w:hAnsi="宋体" w:asciiTheme="minorEastAsia" w:eastAsiaTheme="minorEastAsia" w:hAnsiTheme="minorEastAsia" w:cs="Arial" w:cstheme="minorEastAsia" w:hint="eastAsia"/>
                <w:b w:val="0"/>
                <w:bCs w:val="0"/>
                <w:color w:val="auto"/>
                <w:sz w:val="24"/>
                <w:szCs w:val="24"/>
                <w:lang w:val="en-US" w:eastAsia="zh-CN"/>
              </w:rPr>
              <w:t xml:space="preserve">13、323-252-30/50-75mm/0.001mmm/数显公法线千分尺   3把</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b w:val="0"/>
                <w:bCs w:val="0"/>
                <w:color w:val="auto"/>
                <w:sz w:val="24"/>
                <w:szCs w:val="24"/>
                <w:lang w:val="en-US" w:eastAsia="zh-CN"/>
              </w:rPr>
              <w:t xml:space="preserve">14、</w:t>
            </w: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等高块   10套（18件套）</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15、磁力表座  10套</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16、精密台虎钳  10台（5寸）</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17、V型铁</w:t>
            </w:r>
            <w:r>
              <w:rPr>
                <w:rFonts w:ascii="宋体" w:eastAsia="宋体" w:hAnsi="宋体" w:asciiTheme="minorEastAsia" w:eastAsiaTheme="minorEastAsia" w:hAnsiTheme="minorEastAsia" w:cs="Arial" w:cstheme="minorEastAsia" w:hint="eastAsia"/>
                <w:color w:val="auto"/>
                <w:sz w:val="24"/>
                <w:szCs w:val="24"/>
                <w:vertAlign w:val="baseline"/>
                <w:lang w:val="en-US" w:eastAsia="zh-CN"/>
              </w:rPr>
              <w:t xml:space="preserve">100*100*60mm</w:t>
            </w: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  1套（20组）</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18、高度尺3-300mm  10个</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19、塞尺 0-100mm  10把</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default"/>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20、粗糙度仪2台</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1)Z轴测量范围：160um</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2)X轴测量范围：17.5mm</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3)测量原理：位移差动电感</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4）触针：金刚石</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5）导头：硬质合金</w:t>
            </w:r>
          </w:p>
          <w:p>
            <w:pPr>
              <w:pStyle w:val="TableParagraph"/>
              <w:keepNext w:val="0"/>
              <w:keepLines w:val="0"/>
              <w:pageBreakBefore w:val="0"/>
              <w:numPr>
                <w:ilvl w:val="0"/>
                <w:numId w:val="0"/>
              </w:numPr>
              <w:kinsoku/>
              <w:wordWrap/>
              <w:overflowPunct/>
              <w:topLinePunct w:val="0"/>
              <w:bidi w:val="0"/>
              <w:adjustRightInd/>
              <w:snapToGrid/>
              <w:spacing w:line="240" w:lineRule="auto"/>
              <w:ind w:leftChars="0"/>
              <w:jc w:val="both"/>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19、文件柜4个</w:t>
            </w:r>
          </w:p>
          <w:p>
            <w:pPr>
              <w:pStyle w:val="TableParagraph"/>
              <w:keepNext w:val="0"/>
              <w:keepLines w:val="0"/>
              <w:pageBreakBefore w:val="0"/>
              <w:numPr>
                <w:ilvl w:val="0"/>
                <w:numId w:val="0"/>
              </w:numPr>
              <w:kinsoku/>
              <w:wordWrap/>
              <w:overflowPunct/>
              <w:topLinePunct w:val="0"/>
              <w:bidi w:val="0"/>
              <w:adjustRightInd/>
              <w:snapToGrid/>
              <w:spacing w:line="240" w:lineRule="auto"/>
              <w:jc w:val="both"/>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21、配套测量软件1套</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cs="Times New Roman" w:hint="eastAsia"/>
                <w:color w:val="auto"/>
                <w:sz w:val="24"/>
                <w:szCs w:val="24"/>
              </w:rPr>
              <w:t xml:space="preserve">运行环境</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cs="Times New Roman" w:hint="eastAsia"/>
                <w:color w:val="auto"/>
                <w:sz w:val="24"/>
                <w:szCs w:val="24"/>
              </w:rPr>
              <w:t xml:space="preserve">1. 虚拟工量具软件部分可直接在WINDOWS上运行。</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cs="Times New Roman" w:hint="eastAsia"/>
                <w:color w:val="auto"/>
                <w:sz w:val="24"/>
                <w:szCs w:val="24"/>
              </w:rPr>
              <w:t xml:space="preserve">软件界面</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asciiTheme="minorEastAsia" w:eastAsiaTheme="minorEastAsia" w:hAnsiTheme="minorEastAsia" w:cs="Arial" w:cstheme="minorEastAsia" w:hint="eastAsia"/>
                <w:color w:val="auto"/>
                <w:kern w:val="0"/>
                <w:sz w:val="24"/>
                <w:szCs w:val="24"/>
              </w:rPr>
              <w:t xml:space="preserve">▲</w:t>
            </w:r>
            <w:r>
              <w:rPr>
                <w:rFonts w:ascii="宋体" w:eastAsia="宋体" w:hAnsi="宋体" w:cs="Times New Roman" w:hint="eastAsia"/>
                <w:color w:val="auto"/>
                <w:sz w:val="24"/>
                <w:szCs w:val="24"/>
              </w:rPr>
              <w:t xml:space="preserve">1.隐匿式菜单或工具条：软件界面上看不到菜单、功能图标，全部用于显示场景和虚拟设备，以保持界面的纯净。</w:t>
            </w:r>
            <w:r>
              <w:rPr>
                <w:rFonts w:ascii="宋体" w:eastAsia="宋体" w:hAnsi="宋体" w:asciiTheme="minorEastAsia" w:eastAsiaTheme="minorEastAsia" w:hAnsiTheme="minorEastAsia" w:cs="Arial" w:cstheme="minorEastAsia" w:hint="eastAsia"/>
                <w:color w:val="auto"/>
                <w:kern w:val="0"/>
                <w:sz w:val="24"/>
                <w:szCs w:val="24"/>
              </w:rPr>
              <w:t xml:space="preserve">（投标文件中提供功能界面截图）</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cs="Times New Roman" w:hint="eastAsia"/>
                <w:color w:val="auto"/>
                <w:sz w:val="24"/>
                <w:szCs w:val="24"/>
              </w:rPr>
              <w:t xml:space="preserve">2.整屏展示：使用完整的屏幕显示场景，而不是将屏幕切割成若干区域。</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cs="Times New Roman" w:hint="eastAsia"/>
                <w:color w:val="auto"/>
                <w:sz w:val="24"/>
                <w:szCs w:val="24"/>
              </w:rPr>
              <w:t xml:space="preserve">虚拟装备</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asciiTheme="minorEastAsia" w:eastAsiaTheme="minorEastAsia" w:hAnsiTheme="minorEastAsia" w:cs="Arial" w:cstheme="minorEastAsia" w:hint="eastAsia"/>
                <w:color w:val="auto"/>
                <w:kern w:val="0"/>
                <w:sz w:val="24"/>
                <w:szCs w:val="24"/>
              </w:rPr>
              <w:t xml:space="preserve">▲</w:t>
            </w:r>
            <w:r>
              <w:rPr>
                <w:rFonts w:ascii="宋体" w:eastAsia="宋体" w:hAnsi="宋体" w:cs="Times New Roman" w:hint="eastAsia"/>
                <w:color w:val="auto"/>
                <w:sz w:val="24"/>
                <w:szCs w:val="24"/>
              </w:rPr>
              <w:t xml:space="preserve">1. 工量具：包含游标卡尺、内径百分表、外径千分尺、万能角度尺、框式水平仪等常用工具。</w:t>
            </w:r>
            <w:r>
              <w:rPr>
                <w:rFonts w:ascii="宋体" w:eastAsia="宋体" w:hAnsi="宋体" w:asciiTheme="minorEastAsia" w:eastAsiaTheme="minorEastAsia" w:hAnsiTheme="minorEastAsia" w:cs="Arial" w:cstheme="minorEastAsia" w:hint="eastAsia"/>
                <w:color w:val="auto"/>
                <w:kern w:val="0"/>
                <w:sz w:val="24"/>
                <w:szCs w:val="24"/>
              </w:rPr>
              <w:t xml:space="preserve">（投标文件中提供功能界面截图）</w:t>
            </w:r>
            <w:r>
              <w:rPr>
                <w:rFonts w:ascii="宋体" w:eastAsia="宋体" w:hAnsi="宋体" w:cs="Times New Roman" w:hint="eastAsia"/>
                <w:color w:val="auto"/>
                <w:sz w:val="24"/>
                <w:szCs w:val="24"/>
              </w:rPr>
              <w:t xml:space="preserve"> </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cs="Times New Roman" w:hint="eastAsia"/>
                <w:color w:val="auto"/>
                <w:sz w:val="24"/>
                <w:szCs w:val="24"/>
              </w:rPr>
              <w:t xml:space="preserve">2.测量样件：针对每一种量具，设计开发其专用的虚拟测量工件，能够用于完成该量具常规测量任务。</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cs="Times New Roman" w:hint="eastAsia"/>
                <w:color w:val="auto"/>
                <w:sz w:val="24"/>
                <w:szCs w:val="24"/>
              </w:rPr>
              <w:t xml:space="preserve">3.配件：包括各种工量具的夹具、包装盒、擦拭布、工作台、工具箱（架）、样件箱（架）等。</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cs="Times New Roman" w:hint="eastAsia"/>
                <w:color w:val="auto"/>
                <w:sz w:val="24"/>
                <w:szCs w:val="24"/>
              </w:rPr>
              <w:t xml:space="preserve">教学</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cs="Times New Roman" w:hint="eastAsia"/>
                <w:color w:val="auto"/>
                <w:sz w:val="24"/>
                <w:szCs w:val="24"/>
              </w:rPr>
              <w:t xml:space="preserve">1.即学即练：可选择不同的实训项目，一步步演示虚拟工量具的操作过程，并同步伴随操作说明。演示过程中，无需任何切换，就可以操作练习，即演示和操作练习可以随时转换。 </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asciiTheme="minorEastAsia" w:eastAsiaTheme="minorEastAsia" w:hAnsiTheme="minorEastAsia" w:cs="Arial" w:cstheme="minorEastAsia" w:hint="eastAsia"/>
                <w:color w:val="auto"/>
                <w:kern w:val="0"/>
                <w:sz w:val="24"/>
                <w:szCs w:val="24"/>
              </w:rPr>
              <w:t xml:space="preserve">▲</w:t>
            </w:r>
            <w:r>
              <w:rPr>
                <w:rFonts w:ascii="宋体" w:eastAsia="宋体" w:hAnsi="宋体" w:cs="Times New Roman" w:hint="eastAsia"/>
                <w:color w:val="auto"/>
                <w:sz w:val="24"/>
                <w:szCs w:val="24"/>
              </w:rPr>
              <w:t xml:space="preserve">2. 项目化案例教学：虚拟工量具，设计了专用的测量任务，针对游标卡尺、千分尺、百分表分别设计了宽度、内径等测量任务；针对万能角度尺设计了角度测量任务；针对框式水平仪设计了测量车床导轨任务。</w:t>
            </w:r>
            <w:r>
              <w:rPr>
                <w:rFonts w:ascii="宋体" w:eastAsia="宋体" w:hAnsi="宋体" w:asciiTheme="minorEastAsia" w:eastAsiaTheme="minorEastAsia" w:hAnsiTheme="minorEastAsia" w:cs="Arial" w:cstheme="minorEastAsia" w:hint="eastAsia"/>
                <w:color w:val="auto"/>
                <w:kern w:val="0"/>
                <w:sz w:val="24"/>
                <w:szCs w:val="24"/>
              </w:rPr>
              <w:t xml:space="preserve">（投标文件中提供功能界面截图）</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cs="Times New Roman" w:hint="eastAsia"/>
                <w:color w:val="auto"/>
                <w:sz w:val="24"/>
                <w:szCs w:val="24"/>
              </w:rPr>
              <w:t xml:space="preserve">练习</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cs="Times New Roman" w:hint="eastAsia"/>
                <w:color w:val="auto"/>
                <w:sz w:val="24"/>
                <w:szCs w:val="24"/>
              </w:rPr>
              <w:t xml:space="preserve">1. 操作方式：人性化的操作方式，简便、快捷、明了，有充分的提示引导信息如以手形图标结合说明文字提示下一步操作。</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cs="Times New Roman" w:hint="eastAsia"/>
                <w:color w:val="auto"/>
                <w:sz w:val="24"/>
                <w:szCs w:val="24"/>
              </w:rPr>
              <w:t xml:space="preserve">考核</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cs="Times New Roman" w:hint="eastAsia"/>
                <w:color w:val="auto"/>
                <w:sz w:val="24"/>
                <w:szCs w:val="24"/>
              </w:rPr>
              <w:t xml:space="preserve">1. 智能考核：对学生的每一步操作的正确性、规范性、安全性进行自动记录、评估、计分，并输出和提交详细的考核记录单。</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cs="Times New Roman" w:hint="eastAsia"/>
                <w:color w:val="auto"/>
                <w:sz w:val="24"/>
                <w:szCs w:val="24"/>
              </w:rPr>
              <w:t xml:space="preserve">辅助功能</w:t>
            </w:r>
          </w:p>
          <w:p>
            <w:pPr>
              <w:keepNext w:val="0"/>
              <w:keepLines w:val="0"/>
              <w:pageBreakBefore w:val="0"/>
              <w:kinsoku/>
              <w:wordWrap/>
              <w:overflowPunct/>
              <w:topLinePunct w:val="0"/>
              <w:bidi w:val="0"/>
              <w:adjustRightInd/>
              <w:snapToGrid/>
              <w:spacing w:line="240" w:lineRule="auto"/>
              <w:rPr>
                <w:rFonts w:ascii="宋体" w:eastAsia="宋体" w:hAnsi="宋体" w:cs="Times New Roman"/>
                <w:color w:val="auto"/>
                <w:sz w:val="24"/>
                <w:szCs w:val="24"/>
              </w:rPr>
            </w:pPr>
            <w:r>
              <w:rPr>
                <w:rFonts w:ascii="宋体" w:eastAsia="宋体" w:hAnsi="宋体" w:cs="Times New Roman" w:hint="eastAsia"/>
                <w:color w:val="auto"/>
                <w:sz w:val="24"/>
                <w:szCs w:val="24"/>
              </w:rPr>
              <w:t xml:space="preserve">1.加密方式：提供注册文件、加密狗、网络三种可选解密方式，由采购人任意选择其中一种。</w:t>
            </w:r>
          </w:p>
          <w:p>
            <w:pPr>
              <w:keepNext w:val="0"/>
              <w:keepLines w:val="0"/>
              <w:pageBreakBefore w:val="0"/>
              <w:kinsoku/>
              <w:wordWrap/>
              <w:overflowPunct/>
              <w:topLinePunct w:val="0"/>
              <w:bidi w:val="0"/>
              <w:adjustRightInd/>
              <w:snapToGrid/>
              <w:spacing w:line="240" w:lineRule="auto"/>
              <w:rPr>
                <w:rFonts w:ascii="宋体" w:eastAsia="宋体" w:hAnsi="宋体" w:cs="Times New Roman" w:hint="eastAsia"/>
                <w:color w:val="auto"/>
                <w:sz w:val="24"/>
                <w:szCs w:val="24"/>
              </w:rPr>
            </w:pPr>
            <w:r>
              <w:rPr>
                <w:rFonts w:ascii="宋体" w:eastAsia="宋体" w:hAnsi="宋体" w:cs="Times New Roman" w:hint="eastAsia"/>
                <w:color w:val="auto"/>
                <w:sz w:val="24"/>
                <w:szCs w:val="24"/>
              </w:rPr>
              <w:t xml:space="preserve">2.  自主开发：所有能够由用户自定义的参数均应向用户开放，如所有的说明文字、配置参数均应采用EXCEL表驱动，甚至一些软件功能参数也可用EXCEL表驱动。</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auto"/>
                <w:kern w:val="0"/>
                <w:sz w:val="24"/>
                <w:szCs w:val="24"/>
                <w:lang w:eastAsia="zh-CN"/>
              </w:rPr>
            </w:pPr>
            <w:r>
              <w:rPr>
                <w:rFonts w:ascii="宋体" w:eastAsia="宋体" w:hAnsi="宋体" w:asciiTheme="minorEastAsia" w:eastAsiaTheme="minorEastAsia" w:hAnsiTheme="minorEastAsia" w:cs="Arial" w:cstheme="minorEastAsia" w:hint="eastAsia"/>
                <w:color w:val="auto"/>
                <w:kern w:val="0"/>
                <w:sz w:val="24"/>
                <w:szCs w:val="24"/>
              </w:rPr>
              <w:t xml:space="preserve">▲要求投标人承诺中标后三日内进行现场演示，中标人的演示内容须与招标文件要求内容一致，否则视为虚假响应，取消中标资格</w:t>
            </w:r>
            <w:r>
              <w:rPr>
                <w:rFonts w:ascii="宋体" w:eastAsia="宋体" w:hAnsi="宋体" w:asciiTheme="minorEastAsia" w:eastAsiaTheme="minorEastAsia" w:hAnsiTheme="minorEastAsia" w:cs="Arial" w:cstheme="minorEastAsia" w:hint="eastAsia"/>
                <w:color w:val="auto"/>
                <w:kern w:val="0"/>
                <w:sz w:val="24"/>
                <w:szCs w:val="24"/>
                <w:lang w:eastAsia="zh-CN"/>
              </w:rPr>
              <w:t xml:space="preserve">。</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default"/>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22、配套智慧用电管理平台系统1套</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1、电量图表分析：各个用电线路中的电量分析及每个设备用电情况等以图表的形式自动汇总和展现；系统以文字、折线图、饼状图等多形式呈现不同时间周期的告警信息及数量。（提供第三方有权检测机构出具的带有CMA标识的检测报告扫描件）</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▲2、功率分析和预警：可设定和检测用电线路的功率变化范围，实时监控用电线路的电量值，超出预设值可触发预警信息。（提供第三方有权检测机构出具的带有CMA标识的检测报告扫描件）</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▲3、状态控制：查看和管理所有智能断路器的状态及远程控制管理功能。（提供第三方有权检测机构出具的带有CMA标识的检测报告扫描件）</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5、用电区域分析：支持矢量地图，对辖区用电情况进行图形化管理。</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6、系统权限管理：权限管理功能中，具有多种系统默认的权限点；权限组是由多个权限点组合而成；新建用户后，可设置其具有该权限组的所有权限；并可指定用户的权限时段，可设置为永久有效、每天时间段有效和某个时间段有效。</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▲7、报警详情：对已发送报警事件，可查看报警时详细的数据信息。（提供第三方有权检测机构出具的带有CMA标识的检测报告扫描件）</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▲8、报警方式：具有网页弹框、短信通知、电话语音、邮件通知、现场声光、现场语音6种报警方式。（提供第三方有权检测机构出具的带有CMA标识的检测报告扫描件）</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9、项目统计分析：可统计整个项目下当月告警总数，各设备和线路用电量。</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▲10、能耗分析统计：可按日、月、年统计能耗，并按年、月、日对设备的用电量进行增减趋势分析，同时进行能耗排序。（提供第三方有权检测机构出具的带有CMA标识的检测报告扫描件）</w:t>
            </w:r>
          </w:p>
          <w:p>
            <w:pPr>
              <w:keepNext w:val="0"/>
              <w:keepLines w:val="0"/>
              <w:pageBreakBefore w:val="0"/>
              <w:kinsoku/>
              <w:wordWrap/>
              <w:overflowPunct/>
              <w:topLinePunct w:val="0"/>
              <w:bidi w:val="0"/>
              <w:adjustRightInd/>
              <w:snapToGrid/>
              <w:spacing w:line="240" w:lineRule="auto"/>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▲11、漏电管理：漏电自检操作，可提供设备远程手动和自动漏电自检功能（提供省级软件测评中心出具的具有CMA标识的检测报告）。</w:t>
            </w:r>
          </w:p>
          <w:p>
            <w:pPr>
              <w:keepNext w:val="0"/>
              <w:keepLines w:val="0"/>
              <w:pageBreakBefore w:val="0"/>
              <w:kinsoku/>
              <w:wordWrap/>
              <w:overflowPunct/>
              <w:topLinePunct w:val="0"/>
              <w:bidi w:val="0"/>
              <w:adjustRightInd/>
              <w:snapToGrid/>
              <w:spacing w:line="240" w:lineRule="auto"/>
              <w:rPr>
                <w:rFonts w:eastAsia="宋体" w:eastAsiaTheme="minorEastAsia" w:cs="宋体" w:hint="default"/>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▲12、系统云端定位：云端部署具备地图定位功能，实时定位到智能断路器的物理位置。（提供第三方有权检测机构出具的带有CMA标识的检测报告扫描件）</w:t>
            </w:r>
          </w:p>
        </w:tc>
        <w:tc>
          <w:tcPr>
            <w:tcW w:w="822" w:type="dxa"/>
            <w:vAlign w:val="center"/>
          </w:tcPr>
          <w:p>
            <w:pPr>
              <w:keepNext w:val="0"/>
              <w:keepLines w:val="0"/>
              <w:pageBreakBefore w:val="0"/>
              <w:widowControl/>
              <w:kinsoku/>
              <w:wordWrap/>
              <w:overflowPunct/>
              <w:topLinePunct w:val="0"/>
              <w:bidi w:val="0"/>
              <w:adjustRightInd/>
              <w:snapToGrid/>
              <w:spacing w:line="240" w:lineRule="auto"/>
              <w:jc w:val="center"/>
              <w:rPr>
                <w:rFonts w:ascii="宋体" w:eastAsia="宋体" w:hAnsi="宋体" w:asciiTheme="minorEastAsia" w:eastAsiaTheme="minorEastAsia" w:hAnsiTheme="minorEastAsia" w:cs="Arial" w:cstheme="minorEastAsia" w:hint="default"/>
                <w:bCs/>
                <w:color w:val="auto"/>
                <w:kern w:val="0"/>
                <w:sz w:val="22"/>
                <w:szCs w:val="22"/>
                <w:lang w:val="en-US" w:eastAsia="zh-CN"/>
              </w:rPr>
            </w:pPr>
            <w:r>
              <w:rPr>
                <w:rFonts w:ascii="宋体" w:eastAsia="宋体" w:hAnsi="宋体" w:asciiTheme="minorEastAsia" w:eastAsiaTheme="minorEastAsia" w:hAnsiTheme="minorEastAsia" w:cs="Arial" w:cstheme="minorEastAsia" w:hint="eastAsia"/>
                <w:bCs/>
                <w:color w:val="auto"/>
                <w:kern w:val="0"/>
                <w:sz w:val="24"/>
                <w:szCs w:val="24"/>
                <w:lang w:val="en-US" w:eastAsia="zh-CN"/>
              </w:rPr>
              <w:t xml:space="preserve">1批</w:t>
            </w:r>
          </w:p>
        </w:tc>
      </w:tr>
      <w:tr>
        <w:tblPrEx>
          <w:tblW w:w="938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507"/>
          <w:jc w:val="center"/>
        </w:trPr>
        <w:tc>
          <w:tcPr>
            <w:tcW w:w="894" w:type="dxa"/>
            <w:vAlign w:val="center"/>
          </w:tcPr>
          <w:p>
            <w:pPr>
              <w:widowControl/>
              <w:jc w:val="center"/>
              <w:rPr>
                <w:rFonts w:ascii="宋体" w:eastAsia="宋体" w:hAnsi="宋体" w:asciiTheme="minorEastAsia" w:eastAsiaTheme="minorEastAsia" w:hAnsiTheme="minorEastAsia" w:cs="Arial" w:cstheme="minorEastAsia" w:hint="default"/>
                <w:bCs/>
                <w:color w:val="auto"/>
                <w:kern w:val="0"/>
                <w:sz w:val="24"/>
                <w:szCs w:val="24"/>
                <w:lang w:val="en-US" w:eastAsia="zh-CN"/>
              </w:rPr>
            </w:pPr>
            <w:r>
              <w:rPr>
                <w:rFonts w:ascii="宋体" w:eastAsia="宋体" w:hAnsi="宋体" w:asciiTheme="minorEastAsia" w:eastAsiaTheme="minorEastAsia" w:hAnsiTheme="minorEastAsia" w:cs="Arial" w:cstheme="minorEastAsia" w:hint="eastAsia"/>
                <w:bCs/>
                <w:color w:val="auto"/>
                <w:kern w:val="0"/>
                <w:sz w:val="24"/>
                <w:szCs w:val="24"/>
                <w:lang w:val="en-US" w:eastAsia="zh-CN"/>
              </w:rPr>
              <w:t xml:space="preserve">2</w:t>
            </w:r>
          </w:p>
        </w:tc>
        <w:tc>
          <w:tcPr>
            <w:tcW w:w="798" w:type="dxa"/>
            <w:vAlign w:val="center"/>
          </w:tcPr>
          <w:p>
            <w:pPr>
              <w:widowControl/>
              <w:jc w:val="center"/>
              <w:rPr>
                <w:rFonts w:ascii="宋体" w:hAnsi="宋体" w:cs="宋体" w:hint="default"/>
                <w:color w:val="auto"/>
                <w:kern w:val="0"/>
                <w:sz w:val="24"/>
                <w:szCs w:val="24"/>
                <w:lang w:val="en-US" w:eastAsia="zh-CN"/>
              </w:rPr>
            </w:pPr>
            <w:r>
              <w:rPr>
                <w:rFonts w:ascii="宋体" w:hAnsi="宋体" w:cs="宋体" w:hint="eastAsia"/>
                <w:color w:val="auto"/>
                <w:kern w:val="0"/>
                <w:sz w:val="24"/>
                <w:szCs w:val="24"/>
                <w:lang w:val="en-US" w:eastAsia="zh-CN"/>
              </w:rPr>
              <w:t xml:space="preserve">拆装用单级圆柱齿轮减速器</w:t>
            </w:r>
          </w:p>
        </w:tc>
        <w:tc>
          <w:tcPr>
            <w:tcW w:w="6874" w:type="dxa"/>
            <w:vAlign w:val="center"/>
          </w:tcPr>
          <w:p>
            <w:pPr>
              <w:pStyle w:val="BlockText"/>
              <w:ind w:left="0" w:firstLine="0" w:leftChars="0" w:firstLineChars="0"/>
              <w:jc w:val="both"/>
              <w:rPr>
                <w:rFonts w:hint="default"/>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规格尺寸：≥220*190*170mm </w:t>
            </w:r>
            <w:r>
              <w:rPr>
                <w:rFonts w:hint="eastAsia"/>
                <w:color w:val="auto"/>
                <w:sz w:val="24"/>
                <w:szCs w:val="24"/>
                <w:lang w:val="en-US" w:eastAsia="zh-CN"/>
              </w:rPr>
              <w:t xml:space="preserve"> </w:t>
            </w:r>
          </w:p>
          <w:p>
            <w:pPr>
              <w:pStyle w:val="BlockText"/>
              <w:ind w:left="0" w:right="-61" w:firstLine="0" w:leftChars="0" w:rightChars="-29" w:firstLineChars="0"/>
              <w:jc w:val="both"/>
              <w:rPr>
                <w:rFonts w:hint="default"/>
                <w:color w:val="auto"/>
                <w:sz w:val="24"/>
                <w:szCs w:val="24"/>
                <w:lang w:val="en-US" w:eastAsia="zh-CN"/>
              </w:rPr>
            </w:pPr>
            <w:r>
              <w:rPr>
                <w:rFonts w:hint="eastAsia"/>
                <w:color w:val="auto"/>
                <w:sz w:val="24"/>
                <w:szCs w:val="24"/>
                <w:lang w:val="en-US" w:eastAsia="zh-CN"/>
              </w:rPr>
              <w:t xml:space="preserve">要求：为全铝材料，可反复拆装，满足日常教学测绘等学习内容。</w:t>
            </w:r>
          </w:p>
        </w:tc>
        <w:tc>
          <w:tcPr>
            <w:tcW w:w="822" w:type="dxa"/>
            <w:vAlign w:val="center"/>
          </w:tcPr>
          <w:p>
            <w:pPr>
              <w:widowControl/>
              <w:jc w:val="center"/>
              <w:rPr>
                <w:rFonts w:ascii="宋体" w:eastAsia="宋体" w:hAnsi="宋体" w:asciiTheme="minorEastAsia" w:eastAsiaTheme="minorEastAsia" w:hAnsiTheme="minorEastAsia" w:cs="Arial" w:cstheme="minorEastAsia" w:hint="default"/>
                <w:bCs/>
                <w:color w:val="auto"/>
                <w:kern w:val="0"/>
                <w:sz w:val="24"/>
                <w:szCs w:val="24"/>
                <w:lang w:val="en-US" w:eastAsia="zh-CN"/>
              </w:rPr>
            </w:pPr>
            <w:r>
              <w:rPr>
                <w:rFonts w:ascii="宋体" w:eastAsia="宋体" w:hAnsi="宋体" w:asciiTheme="minorEastAsia" w:eastAsiaTheme="minorEastAsia" w:hAnsiTheme="minorEastAsia" w:cs="Arial" w:cstheme="minorEastAsia" w:hint="eastAsia"/>
                <w:bCs/>
                <w:color w:val="auto"/>
                <w:kern w:val="0"/>
                <w:sz w:val="24"/>
                <w:szCs w:val="24"/>
                <w:lang w:val="en-US" w:eastAsia="zh-CN"/>
              </w:rPr>
              <w:t xml:space="preserve">10套</w:t>
            </w:r>
          </w:p>
        </w:tc>
      </w:tr>
      <w:tr>
        <w:tblPrEx>
          <w:tblW w:w="938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507"/>
          <w:jc w:val="center"/>
        </w:trPr>
        <w:tc>
          <w:tcPr>
            <w:tcW w:w="894" w:type="dxa"/>
            <w:vAlign w:val="center"/>
          </w:tcPr>
          <w:p>
            <w:pPr>
              <w:widowControl/>
              <w:jc w:val="center"/>
              <w:rPr>
                <w:rFonts w:ascii="宋体" w:eastAsia="宋体" w:hAnsi="宋体" w:asciiTheme="minorEastAsia" w:eastAsiaTheme="minorEastAsia" w:hAnsiTheme="minorEastAsia" w:cs="Arial" w:cstheme="minorEastAsia" w:hint="eastAsia"/>
                <w:bCs/>
                <w:color w:val="auto"/>
                <w:kern w:val="0"/>
                <w:sz w:val="24"/>
                <w:szCs w:val="24"/>
                <w:lang w:val="en-US" w:eastAsia="zh-CN"/>
              </w:rPr>
            </w:pPr>
            <w:r>
              <w:rPr>
                <w:rFonts w:ascii="宋体" w:eastAsia="宋体" w:hAnsi="宋体" w:asciiTheme="minorEastAsia" w:eastAsiaTheme="minorEastAsia" w:hAnsiTheme="minorEastAsia" w:cs="Arial" w:cstheme="minorEastAsia" w:hint="eastAsia"/>
                <w:bCs/>
                <w:color w:val="auto"/>
                <w:kern w:val="0"/>
                <w:sz w:val="24"/>
                <w:szCs w:val="24"/>
                <w:lang w:val="en-US" w:eastAsia="zh-CN"/>
              </w:rPr>
              <w:t xml:space="preserve">3</w:t>
            </w:r>
          </w:p>
        </w:tc>
        <w:tc>
          <w:tcPr>
            <w:tcW w:w="798" w:type="dxa"/>
            <w:vAlign w:val="center"/>
          </w:tcPr>
          <w:p>
            <w:pPr>
              <w:widowControl/>
              <w:jc w:val="center"/>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机械机构展示装置</w:t>
            </w:r>
          </w:p>
        </w:tc>
        <w:tc>
          <w:tcPr>
            <w:tcW w:w="6874" w:type="dxa"/>
            <w:vAlign w:val="center"/>
          </w:tcPr>
          <w:p>
            <w:pPr>
              <w:spacing w:after="0"/>
              <w:jc w:val="both"/>
              <w:rPr>
                <w:rFonts w:ascii="宋体" w:eastAsia="宋体" w:hAnsi="宋体" w:asciiTheme="minorEastAsia" w:eastAsiaTheme="minorEastAsia" w:hAnsiTheme="minorEastAsia" w:cs="Arial" w:cstheme="minorEastAsia" w:hint="eastAsia"/>
                <w:b/>
                <w:bCs/>
                <w:color w:val="auto"/>
                <w:sz w:val="24"/>
                <w:szCs w:val="24"/>
                <w:lang w:val="en-US" w:eastAsia="zh-CN"/>
              </w:rPr>
            </w:pPr>
            <w:r>
              <w:rPr>
                <w:rFonts w:ascii="宋体" w:eastAsia="宋体" w:hAnsi="宋体" w:asciiTheme="minorEastAsia" w:eastAsiaTheme="minorEastAsia" w:hAnsiTheme="minorEastAsia" w:cs="Arial" w:cstheme="minorEastAsia" w:hint="eastAsia"/>
                <w:b/>
                <w:bCs/>
                <w:color w:val="auto"/>
                <w:sz w:val="24"/>
                <w:szCs w:val="24"/>
              </w:rPr>
              <w:t xml:space="preserve">第</w:t>
            </w:r>
            <w:r>
              <w:rPr>
                <w:rFonts w:ascii="宋体" w:eastAsia="宋体" w:hAnsi="宋体" w:asciiTheme="minorEastAsia" w:eastAsiaTheme="minorEastAsia" w:hAnsiTheme="minorEastAsia" w:cs="Arial" w:cstheme="minorEastAsia" w:hint="eastAsia"/>
                <w:b/>
                <w:bCs/>
                <w:color w:val="auto"/>
                <w:sz w:val="24"/>
                <w:szCs w:val="24"/>
                <w:lang w:val="en-US" w:eastAsia="zh-CN"/>
              </w:rPr>
              <w:t xml:space="preserve">一</w:t>
            </w:r>
            <w:r>
              <w:rPr>
                <w:rFonts w:ascii="宋体" w:eastAsia="宋体" w:hAnsi="宋体" w:asciiTheme="minorEastAsia" w:eastAsiaTheme="minorEastAsia" w:hAnsiTheme="minorEastAsia" w:cs="Arial" w:cstheme="minorEastAsia" w:hint="eastAsia"/>
                <w:b/>
                <w:bCs/>
                <w:color w:val="auto"/>
                <w:sz w:val="24"/>
                <w:szCs w:val="24"/>
              </w:rPr>
              <w:t xml:space="preserve">柜</w:t>
            </w:r>
            <w:r>
              <w:rPr>
                <w:rFonts w:ascii="宋体" w:eastAsia="宋体" w:hAnsi="宋体" w:asciiTheme="minorEastAsia" w:eastAsiaTheme="minorEastAsia" w:hAnsiTheme="minorEastAsia" w:cs="Arial" w:cstheme="minorEastAsia" w:hint="eastAsia"/>
                <w:b/>
                <w:bCs/>
                <w:color w:val="auto"/>
                <w:sz w:val="24"/>
                <w:szCs w:val="24"/>
                <w:lang w:eastAsia="zh-CN"/>
              </w:rPr>
              <w:t xml:space="preserve">：</w:t>
            </w:r>
            <w:r>
              <w:rPr>
                <w:rFonts w:ascii="宋体" w:eastAsia="宋体" w:hAnsi="宋体" w:asciiTheme="minorEastAsia" w:eastAsiaTheme="minorEastAsia" w:hAnsiTheme="minorEastAsia" w:cs="Arial" w:cstheme="minorEastAsia" w:hint="eastAsia"/>
                <w:b/>
                <w:bCs/>
                <w:color w:val="auto"/>
                <w:sz w:val="24"/>
                <w:szCs w:val="24"/>
              </w:rPr>
              <w:t xml:space="preserve">齿轮与蜗杆传动 齿轮的结构</w:t>
            </w:r>
          </w:p>
          <w:p>
            <w:pPr>
              <w:spacing w:after="0"/>
              <w:textAlignment w:val="center"/>
              <w:rPr>
                <w:rFonts w:ascii="宋体" w:eastAsia="宋体" w:hAnsi="宋体" w:asciiTheme="minorEastAsia" w:eastAsiaTheme="minorEastAsia" w:hAnsiTheme="minorEastAsia" w:cs="Arial" w:cstheme="minorEastAsia" w:hint="eastAsia"/>
                <w:color w:val="auto"/>
                <w:sz w:val="24"/>
                <w:szCs w:val="24"/>
              </w:rPr>
            </w:pPr>
            <w:r>
              <w:rPr>
                <w:rFonts w:ascii="宋体" w:eastAsia="宋体" w:hAnsi="宋体" w:asciiTheme="minorEastAsia" w:eastAsiaTheme="minorEastAsia" w:hAnsiTheme="minorEastAsia" w:cs="Arial" w:cstheme="minorEastAsia" w:hint="eastAsia"/>
                <w:color w:val="auto"/>
                <w:sz w:val="24"/>
                <w:szCs w:val="24"/>
              </w:rPr>
              <w:t xml:space="preserve">齿轮轴2件、实心式齿轮2件、腹板式齿轮2件、轮幅式齿轮。</w:t>
            </w:r>
          </w:p>
          <w:p>
            <w:pPr>
              <w:spacing w:after="0"/>
              <w:textAlignment w:val="center"/>
              <w:rPr>
                <w:rFonts w:ascii="宋体" w:eastAsia="宋体" w:hAnsi="宋体" w:asciiTheme="minorEastAsia" w:eastAsiaTheme="minorEastAsia" w:hAnsiTheme="minorEastAsia" w:cs="Arial" w:cstheme="minorEastAsia" w:hint="eastAsia"/>
                <w:color w:val="auto"/>
                <w:sz w:val="24"/>
                <w:szCs w:val="24"/>
              </w:rPr>
            </w:pPr>
            <w:r>
              <w:rPr>
                <w:rFonts w:ascii="宋体" w:eastAsia="宋体" w:hAnsi="宋体" w:asciiTheme="minorEastAsia" w:eastAsiaTheme="minorEastAsia" w:hAnsiTheme="minorEastAsia" w:cs="Arial" w:cstheme="minorEastAsia" w:hint="eastAsia"/>
                <w:color w:val="auto"/>
                <w:sz w:val="24"/>
                <w:szCs w:val="24"/>
              </w:rPr>
              <w:t xml:space="preserve">蜗杆的类型：阿基米德圆柱蜗杆、法向直廓蜗杆、直线型环面蜗杆。</w:t>
            </w:r>
          </w:p>
          <w:p>
            <w:pPr>
              <w:spacing w:after="0"/>
              <w:jc w:val="both"/>
              <w:rPr>
                <w:rFonts w:ascii="宋体" w:eastAsia="宋体" w:hAnsi="宋体" w:asciiTheme="minorEastAsia" w:eastAsiaTheme="minorEastAsia" w:hAnsiTheme="minorEastAsia" w:cs="Arial" w:cstheme="minorEastAsia" w:hint="eastAsia"/>
                <w:bCs/>
                <w:color w:val="auto"/>
                <w:sz w:val="24"/>
                <w:szCs w:val="24"/>
              </w:rPr>
            </w:pPr>
            <w:r>
              <w:rPr>
                <w:rFonts w:ascii="宋体" w:eastAsia="宋体" w:hAnsi="宋体" w:asciiTheme="minorEastAsia" w:eastAsiaTheme="minorEastAsia" w:hAnsiTheme="minorEastAsia" w:cs="Arial" w:cstheme="minorEastAsia" w:hint="eastAsia"/>
                <w:color w:val="auto"/>
                <w:sz w:val="24"/>
                <w:szCs w:val="24"/>
              </w:rPr>
              <w:t xml:space="preserve">蜗杆的结构：整体式蜗轮、轮箍式蜗轮、螺栓联接式蜗轮、镶铸式蜗轮、蜗杆传动、齿轮传动。</w:t>
            </w:r>
          </w:p>
          <w:p>
            <w:pPr>
              <w:spacing w:after="0"/>
              <w:jc w:val="both"/>
              <w:rPr>
                <w:rFonts w:ascii="宋体" w:eastAsia="宋体" w:hAnsi="宋体" w:asciiTheme="minorEastAsia" w:eastAsiaTheme="minorEastAsia" w:hAnsiTheme="minorEastAsia" w:cs="Arial" w:cstheme="minorEastAsia" w:hint="eastAsia"/>
                <w:b/>
                <w:bCs w:val="0"/>
                <w:color w:val="auto"/>
                <w:sz w:val="24"/>
                <w:szCs w:val="24"/>
              </w:rPr>
            </w:pPr>
            <w:r>
              <w:rPr>
                <w:rFonts w:ascii="宋体" w:eastAsia="宋体" w:hAnsi="宋体" w:asciiTheme="minorEastAsia" w:eastAsiaTheme="minorEastAsia" w:hAnsiTheme="minorEastAsia" w:cs="Arial" w:cstheme="minorEastAsia" w:hint="eastAsia"/>
                <w:b/>
                <w:bCs w:val="0"/>
                <w:color w:val="auto"/>
                <w:sz w:val="24"/>
                <w:szCs w:val="24"/>
              </w:rPr>
              <w:t xml:space="preserve">第</w:t>
            </w:r>
            <w:r>
              <w:rPr>
                <w:rFonts w:ascii="宋体" w:eastAsia="宋体" w:hAnsi="宋体" w:asciiTheme="minorEastAsia" w:eastAsiaTheme="minorEastAsia" w:hAnsiTheme="minorEastAsia" w:cs="Arial" w:cstheme="minorEastAsia" w:hint="eastAsia"/>
                <w:b/>
                <w:bCs w:val="0"/>
                <w:color w:val="auto"/>
                <w:sz w:val="24"/>
                <w:szCs w:val="24"/>
                <w:lang w:val="en-US" w:eastAsia="zh-CN"/>
              </w:rPr>
              <w:t xml:space="preserve">二</w:t>
            </w:r>
            <w:r>
              <w:rPr>
                <w:rFonts w:ascii="宋体" w:eastAsia="宋体" w:hAnsi="宋体" w:asciiTheme="minorEastAsia" w:eastAsiaTheme="minorEastAsia" w:hAnsiTheme="minorEastAsia" w:cs="Arial" w:cstheme="minorEastAsia" w:hint="eastAsia"/>
                <w:b/>
                <w:bCs w:val="0"/>
                <w:color w:val="auto"/>
                <w:sz w:val="24"/>
                <w:szCs w:val="24"/>
              </w:rPr>
              <w:t xml:space="preserve">柜</w:t>
            </w:r>
            <w:r>
              <w:rPr>
                <w:rFonts w:ascii="宋体" w:eastAsia="宋体" w:hAnsi="宋体" w:asciiTheme="minorEastAsia" w:eastAsiaTheme="minorEastAsia" w:hAnsiTheme="minorEastAsia" w:cs="Arial" w:cstheme="minorEastAsia" w:hint="eastAsia"/>
                <w:b/>
                <w:bCs w:val="0"/>
                <w:color w:val="auto"/>
                <w:sz w:val="24"/>
                <w:szCs w:val="24"/>
                <w:lang w:eastAsia="zh-CN"/>
              </w:rPr>
              <w:t xml:space="preserve">：</w:t>
            </w:r>
            <w:r>
              <w:rPr>
                <w:rFonts w:ascii="宋体" w:eastAsia="宋体" w:hAnsi="宋体" w:asciiTheme="minorEastAsia" w:eastAsiaTheme="minorEastAsia" w:hAnsiTheme="minorEastAsia" w:cs="Arial" w:cstheme="minorEastAsia" w:hint="eastAsia"/>
                <w:b/>
                <w:bCs w:val="0"/>
                <w:color w:val="auto"/>
                <w:sz w:val="24"/>
                <w:szCs w:val="24"/>
              </w:rPr>
              <w:t xml:space="preserve">夹具</w:t>
            </w:r>
          </w:p>
          <w:p>
            <w:pPr>
              <w:spacing w:after="0"/>
              <w:jc w:val="both"/>
              <w:rPr>
                <w:rFonts w:ascii="宋体" w:eastAsia="宋体" w:hAnsi="宋体" w:asciiTheme="minorEastAsia" w:eastAsiaTheme="minorEastAsia" w:hAnsiTheme="minorEastAsia" w:cs="Arial" w:cstheme="minorEastAsia" w:hint="eastAsia"/>
                <w:bCs/>
                <w:color w:val="auto"/>
                <w:sz w:val="24"/>
                <w:szCs w:val="24"/>
                <w:lang w:eastAsia="zh-CN"/>
              </w:rPr>
            </w:pPr>
            <w:r>
              <w:rPr>
                <w:rFonts w:ascii="宋体" w:eastAsia="宋体" w:hAnsi="宋体" w:asciiTheme="minorEastAsia" w:eastAsiaTheme="minorEastAsia" w:hAnsiTheme="minorEastAsia" w:cs="Arial" w:cstheme="minorEastAsia" w:hint="eastAsia"/>
                <w:bCs/>
                <w:color w:val="auto"/>
                <w:sz w:val="24"/>
                <w:szCs w:val="24"/>
              </w:rPr>
              <w:t xml:space="preserve">机虎钳和扳手、浮动式铰刀夹头、钻夹头和钥匙、快换钻夹头 、固定式钻床夹具、螺旋压板夹紧、弹性回转顶尖、自动夹紧卡爪钻头套（4种）、普通顶尖、半顶尖、反顶尖、大头顶尖、长颈顶尖、硬质合金顶尖</w:t>
            </w:r>
            <w:r>
              <w:rPr>
                <w:rFonts w:ascii="宋体" w:eastAsia="宋体" w:hAnsi="宋体" w:asciiTheme="minorEastAsia" w:eastAsiaTheme="minorEastAsia" w:hAnsiTheme="minorEastAsia" w:cs="Arial" w:cstheme="minorEastAsia" w:hint="eastAsia"/>
                <w:bCs/>
                <w:color w:val="auto"/>
                <w:sz w:val="24"/>
                <w:szCs w:val="24"/>
                <w:lang w:eastAsia="zh-CN"/>
              </w:rPr>
              <w:t xml:space="preserve">。</w:t>
            </w:r>
          </w:p>
          <w:p>
            <w:pPr>
              <w:spacing w:after="0"/>
              <w:jc w:val="both"/>
              <w:rPr>
                <w:rFonts w:ascii="宋体" w:eastAsia="宋体" w:hAnsi="宋体" w:asciiTheme="minorEastAsia" w:eastAsiaTheme="minorEastAsia" w:hAnsiTheme="minorEastAsia" w:cs="Arial" w:cstheme="minorEastAsia" w:hint="eastAsia"/>
                <w:b/>
                <w:bCs w:val="0"/>
                <w:color w:val="auto"/>
                <w:sz w:val="24"/>
                <w:szCs w:val="24"/>
              </w:rPr>
            </w:pPr>
            <w:r>
              <w:rPr>
                <w:rFonts w:ascii="宋体" w:eastAsia="宋体" w:hAnsi="宋体" w:asciiTheme="minorEastAsia" w:eastAsiaTheme="minorEastAsia" w:hAnsiTheme="minorEastAsia" w:cs="Arial" w:cstheme="minorEastAsia" w:hint="eastAsia"/>
                <w:b/>
                <w:bCs w:val="0"/>
                <w:color w:val="auto"/>
                <w:sz w:val="24"/>
                <w:szCs w:val="24"/>
              </w:rPr>
              <w:t xml:space="preserve">第</w:t>
            </w:r>
            <w:r>
              <w:rPr>
                <w:rFonts w:ascii="宋体" w:eastAsia="宋体" w:hAnsi="宋体" w:asciiTheme="minorEastAsia" w:eastAsiaTheme="minorEastAsia" w:hAnsiTheme="minorEastAsia" w:cs="Arial" w:cstheme="minorEastAsia" w:hint="eastAsia"/>
                <w:b/>
                <w:bCs w:val="0"/>
                <w:color w:val="auto"/>
                <w:sz w:val="24"/>
                <w:szCs w:val="24"/>
                <w:lang w:val="en-US" w:eastAsia="zh-CN"/>
              </w:rPr>
              <w:t xml:space="preserve">三</w:t>
            </w:r>
            <w:r>
              <w:rPr>
                <w:rFonts w:ascii="宋体" w:eastAsia="宋体" w:hAnsi="宋体" w:asciiTheme="minorEastAsia" w:eastAsiaTheme="minorEastAsia" w:hAnsiTheme="minorEastAsia" w:cs="Arial" w:cstheme="minorEastAsia" w:hint="eastAsia"/>
                <w:b/>
                <w:bCs w:val="0"/>
                <w:color w:val="auto"/>
                <w:sz w:val="24"/>
                <w:szCs w:val="24"/>
              </w:rPr>
              <w:t xml:space="preserve">柜</w:t>
            </w:r>
            <w:r>
              <w:rPr>
                <w:rFonts w:ascii="宋体" w:eastAsia="宋体" w:hAnsi="宋体" w:asciiTheme="minorEastAsia" w:eastAsiaTheme="minorEastAsia" w:hAnsiTheme="minorEastAsia" w:cs="Arial" w:cstheme="minorEastAsia" w:hint="eastAsia"/>
                <w:b/>
                <w:bCs w:val="0"/>
                <w:color w:val="auto"/>
                <w:sz w:val="24"/>
                <w:szCs w:val="24"/>
                <w:lang w:eastAsia="zh-CN"/>
              </w:rPr>
              <w:t xml:space="preserve">：</w:t>
            </w:r>
            <w:r>
              <w:rPr>
                <w:rFonts w:ascii="宋体" w:eastAsia="宋体" w:hAnsi="宋体" w:asciiTheme="minorEastAsia" w:eastAsiaTheme="minorEastAsia" w:hAnsiTheme="minorEastAsia" w:cs="Arial" w:cstheme="minorEastAsia" w:hint="eastAsia"/>
                <w:b/>
                <w:bCs w:val="0"/>
                <w:color w:val="auto"/>
                <w:sz w:val="24"/>
                <w:szCs w:val="24"/>
              </w:rPr>
              <w:t xml:space="preserve">钻削、铣削加工应用</w:t>
            </w:r>
          </w:p>
          <w:p>
            <w:pPr>
              <w:spacing w:after="0"/>
              <w:jc w:val="both"/>
              <w:rPr>
                <w:rFonts w:ascii="宋体" w:eastAsia="宋体" w:hAnsi="宋体" w:asciiTheme="minorEastAsia" w:eastAsiaTheme="minorEastAsia" w:hAnsiTheme="minorEastAsia" w:cs="Arial" w:cstheme="minorEastAsia" w:hint="eastAsia"/>
                <w:bCs/>
                <w:color w:val="auto"/>
                <w:sz w:val="24"/>
                <w:szCs w:val="24"/>
                <w:lang w:eastAsia="zh-CN"/>
              </w:rPr>
            </w:pPr>
            <w:r>
              <w:rPr>
                <w:rFonts w:ascii="宋体" w:eastAsia="宋体" w:hAnsi="宋体" w:asciiTheme="minorEastAsia" w:eastAsiaTheme="minorEastAsia" w:hAnsiTheme="minorEastAsia" w:cs="Arial" w:cstheme="minorEastAsia" w:hint="eastAsia"/>
                <w:bCs/>
                <w:color w:val="auto"/>
                <w:sz w:val="24"/>
                <w:szCs w:val="24"/>
              </w:rPr>
              <w:t xml:space="preserve">钻孔、镗孔、扩孔、铰孔、攻螺纹、直柄莫氏圆锥铰刀、圆柱形铣刀、铣平面、锯齿铣刀、立铣刀、键槽铣刀、半圆键槽铣刀、 角度铣刀、三面刃铣刀、错齿三面刃铣刀、整体端铣刀、硬质合金端铣刀、成形铣刀、锪圆柱形沉孔、 锪锥形沉孔、锪凸台平面</w:t>
            </w:r>
            <w:r>
              <w:rPr>
                <w:rFonts w:ascii="宋体" w:eastAsia="宋体" w:hAnsi="宋体" w:asciiTheme="minorEastAsia" w:eastAsiaTheme="minorEastAsia" w:hAnsiTheme="minorEastAsia" w:cs="Arial" w:cstheme="minorEastAsia" w:hint="eastAsia"/>
                <w:bCs/>
                <w:color w:val="auto"/>
                <w:sz w:val="24"/>
                <w:szCs w:val="24"/>
                <w:lang w:eastAsia="zh-CN"/>
              </w:rPr>
              <w:t xml:space="preserve">。</w:t>
            </w:r>
          </w:p>
          <w:p>
            <w:pPr>
              <w:spacing w:after="0"/>
              <w:jc w:val="both"/>
              <w:rPr>
                <w:rFonts w:ascii="宋体" w:eastAsia="宋体" w:hAnsi="宋体" w:asciiTheme="minorEastAsia" w:eastAsiaTheme="minorEastAsia" w:hAnsiTheme="minorEastAsia" w:cs="Arial" w:cstheme="minorEastAsia" w:hint="eastAsia"/>
                <w:b/>
                <w:bCs w:val="0"/>
                <w:color w:val="auto"/>
                <w:sz w:val="24"/>
                <w:szCs w:val="24"/>
              </w:rPr>
            </w:pPr>
            <w:r>
              <w:rPr>
                <w:rFonts w:ascii="宋体" w:eastAsia="宋体" w:hAnsi="宋体" w:asciiTheme="minorEastAsia" w:eastAsiaTheme="minorEastAsia" w:hAnsiTheme="minorEastAsia" w:cs="Arial" w:cstheme="minorEastAsia" w:hint="eastAsia"/>
                <w:b/>
                <w:bCs w:val="0"/>
                <w:color w:val="auto"/>
                <w:sz w:val="24"/>
                <w:szCs w:val="24"/>
              </w:rPr>
              <w:t xml:space="preserve">第</w:t>
            </w:r>
            <w:r>
              <w:rPr>
                <w:rFonts w:ascii="宋体" w:eastAsia="宋体" w:hAnsi="宋体" w:asciiTheme="minorEastAsia" w:eastAsiaTheme="minorEastAsia" w:hAnsiTheme="minorEastAsia" w:cs="Arial" w:cstheme="minorEastAsia" w:hint="eastAsia"/>
                <w:b/>
                <w:bCs w:val="0"/>
                <w:color w:val="auto"/>
                <w:sz w:val="24"/>
                <w:szCs w:val="24"/>
                <w:lang w:val="en-US" w:eastAsia="zh-CN"/>
              </w:rPr>
              <w:t xml:space="preserve">四</w:t>
            </w:r>
            <w:r>
              <w:rPr>
                <w:rFonts w:ascii="宋体" w:eastAsia="宋体" w:hAnsi="宋体" w:asciiTheme="minorEastAsia" w:eastAsiaTheme="minorEastAsia" w:hAnsiTheme="minorEastAsia" w:cs="Arial" w:cstheme="minorEastAsia" w:hint="eastAsia"/>
                <w:b/>
                <w:bCs w:val="0"/>
                <w:color w:val="auto"/>
                <w:sz w:val="24"/>
                <w:szCs w:val="24"/>
              </w:rPr>
              <w:t xml:space="preserve">柜</w:t>
            </w:r>
            <w:r>
              <w:rPr>
                <w:rFonts w:ascii="宋体" w:eastAsia="宋体" w:hAnsi="宋体" w:asciiTheme="minorEastAsia" w:eastAsiaTheme="minorEastAsia" w:hAnsiTheme="minorEastAsia" w:cs="Arial" w:cstheme="minorEastAsia" w:hint="eastAsia"/>
                <w:b/>
                <w:bCs w:val="0"/>
                <w:color w:val="auto"/>
                <w:sz w:val="24"/>
                <w:szCs w:val="24"/>
                <w:lang w:val="en-US" w:eastAsia="zh-CN"/>
              </w:rPr>
              <w:t xml:space="preserve"> ：</w:t>
            </w:r>
            <w:r>
              <w:rPr>
                <w:rFonts w:ascii="宋体" w:eastAsia="宋体" w:hAnsi="宋体" w:asciiTheme="minorEastAsia" w:eastAsiaTheme="minorEastAsia" w:hAnsiTheme="minorEastAsia" w:cs="Arial" w:cstheme="minorEastAsia" w:hint="eastAsia"/>
                <w:b/>
                <w:bCs w:val="0"/>
                <w:color w:val="auto"/>
                <w:sz w:val="24"/>
                <w:szCs w:val="24"/>
              </w:rPr>
              <w:t xml:space="preserve">平面加工</w:t>
            </w:r>
          </w:p>
          <w:p>
            <w:pPr>
              <w:spacing w:after="0"/>
              <w:jc w:val="both"/>
              <w:rPr>
                <w:rFonts w:ascii="宋体" w:eastAsia="宋体" w:hAnsi="宋体" w:asciiTheme="minorEastAsia" w:eastAsiaTheme="minorEastAsia" w:hAnsiTheme="minorEastAsia" w:cs="Arial" w:cstheme="minorEastAsia" w:hint="eastAsia"/>
                <w:bCs/>
                <w:color w:val="auto"/>
                <w:sz w:val="24"/>
                <w:szCs w:val="24"/>
                <w:lang w:eastAsia="zh-CN"/>
              </w:rPr>
            </w:pPr>
            <w:r>
              <w:rPr>
                <w:rFonts w:ascii="宋体" w:eastAsia="宋体" w:hAnsi="宋体" w:asciiTheme="minorEastAsia" w:eastAsiaTheme="minorEastAsia" w:hAnsiTheme="minorEastAsia" w:cs="Arial" w:cstheme="minorEastAsia" w:hint="eastAsia"/>
                <w:bCs/>
                <w:color w:val="auto"/>
                <w:sz w:val="24"/>
                <w:szCs w:val="24"/>
              </w:rPr>
              <w:t xml:space="preserve">车外圆、车端面、车手柄 、车螺纹、刨平面、刨削孔内加工、刨齿条、铣阶台 、铣v形槽 、铣齿轮 、铣特形面、插齿轮、插销键、插花键、插内齿圈、平面磨削 、平面磨削、花键磨削、螺纹磨削</w:t>
            </w:r>
            <w:r>
              <w:rPr>
                <w:rFonts w:ascii="宋体" w:eastAsia="宋体" w:hAnsi="宋体" w:asciiTheme="minorEastAsia" w:eastAsiaTheme="minorEastAsia" w:hAnsiTheme="minorEastAsia" w:cs="Arial" w:cstheme="minorEastAsia" w:hint="eastAsia"/>
                <w:bCs/>
                <w:color w:val="auto"/>
                <w:sz w:val="24"/>
                <w:szCs w:val="24"/>
                <w:lang w:eastAsia="zh-CN"/>
              </w:rPr>
              <w:t xml:space="preserve">。</w:t>
            </w:r>
          </w:p>
          <w:p>
            <w:pPr>
              <w:spacing w:after="0"/>
              <w:jc w:val="both"/>
              <w:rPr>
                <w:rFonts w:ascii="宋体" w:eastAsia="宋体" w:hAnsi="宋体" w:asciiTheme="minorEastAsia" w:eastAsiaTheme="minorEastAsia" w:hAnsiTheme="minorEastAsia" w:cs="Arial" w:cstheme="minorEastAsia" w:hint="eastAsia"/>
                <w:b/>
                <w:bCs w:val="0"/>
                <w:color w:val="auto"/>
                <w:sz w:val="24"/>
                <w:szCs w:val="24"/>
              </w:rPr>
            </w:pPr>
            <w:r>
              <w:rPr>
                <w:rFonts w:ascii="宋体" w:eastAsia="宋体" w:hAnsi="宋体" w:asciiTheme="minorEastAsia" w:eastAsiaTheme="minorEastAsia" w:hAnsiTheme="minorEastAsia" w:cs="Arial" w:cstheme="minorEastAsia" w:hint="eastAsia"/>
                <w:b/>
                <w:bCs w:val="0"/>
                <w:color w:val="auto"/>
                <w:sz w:val="24"/>
                <w:szCs w:val="24"/>
              </w:rPr>
              <w:t xml:space="preserve">第</w:t>
            </w:r>
            <w:r>
              <w:rPr>
                <w:rFonts w:ascii="宋体" w:eastAsia="宋体" w:hAnsi="宋体" w:asciiTheme="minorEastAsia" w:eastAsiaTheme="minorEastAsia" w:hAnsiTheme="minorEastAsia" w:cs="Arial" w:cstheme="minorEastAsia" w:hint="eastAsia"/>
                <w:b/>
                <w:bCs w:val="0"/>
                <w:color w:val="auto"/>
                <w:sz w:val="24"/>
                <w:szCs w:val="24"/>
                <w:lang w:val="en-US" w:eastAsia="zh-CN"/>
              </w:rPr>
              <w:t xml:space="preserve">五</w:t>
            </w:r>
            <w:r>
              <w:rPr>
                <w:rFonts w:ascii="宋体" w:eastAsia="宋体" w:hAnsi="宋体" w:asciiTheme="minorEastAsia" w:eastAsiaTheme="minorEastAsia" w:hAnsiTheme="minorEastAsia" w:cs="Arial" w:cstheme="minorEastAsia" w:hint="eastAsia"/>
                <w:b/>
                <w:bCs w:val="0"/>
                <w:color w:val="auto"/>
                <w:sz w:val="24"/>
                <w:szCs w:val="24"/>
              </w:rPr>
              <w:t xml:space="preserve">柜</w:t>
            </w:r>
            <w:r>
              <w:rPr>
                <w:rFonts w:ascii="宋体" w:eastAsia="宋体" w:hAnsi="宋体" w:asciiTheme="minorEastAsia" w:eastAsiaTheme="minorEastAsia" w:hAnsiTheme="minorEastAsia" w:cs="Arial" w:cstheme="minorEastAsia" w:hint="eastAsia"/>
                <w:b/>
                <w:bCs w:val="0"/>
                <w:color w:val="auto"/>
                <w:sz w:val="24"/>
                <w:szCs w:val="24"/>
                <w:lang w:eastAsia="zh-CN"/>
              </w:rPr>
              <w:t xml:space="preserve">：</w:t>
            </w:r>
            <w:r>
              <w:rPr>
                <w:rFonts w:ascii="宋体" w:eastAsia="宋体" w:hAnsi="宋体" w:asciiTheme="minorEastAsia" w:eastAsiaTheme="minorEastAsia" w:hAnsiTheme="minorEastAsia" w:cs="Arial" w:cstheme="minorEastAsia" w:hint="eastAsia"/>
                <w:b/>
                <w:bCs w:val="0"/>
                <w:color w:val="auto"/>
                <w:sz w:val="24"/>
                <w:szCs w:val="24"/>
              </w:rPr>
              <w:t xml:space="preserve">外圆内孔加工法</w:t>
            </w:r>
          </w:p>
          <w:p>
            <w:pPr>
              <w:spacing w:after="0"/>
              <w:jc w:val="both"/>
              <w:rPr>
                <w:rFonts w:ascii="宋体" w:eastAsia="宋体" w:hAnsi="宋体" w:asciiTheme="minorEastAsia" w:eastAsiaTheme="minorEastAsia" w:hAnsiTheme="minorEastAsia" w:cs="Arial" w:cstheme="minorEastAsia" w:hint="eastAsia"/>
                <w:bCs/>
                <w:color w:val="auto"/>
                <w:sz w:val="24"/>
                <w:szCs w:val="24"/>
              </w:rPr>
            </w:pPr>
            <w:r>
              <w:rPr>
                <w:rFonts w:ascii="宋体" w:eastAsia="宋体" w:hAnsi="宋体" w:asciiTheme="minorEastAsia" w:eastAsiaTheme="minorEastAsia" w:hAnsiTheme="minorEastAsia" w:cs="Arial" w:cstheme="minorEastAsia" w:hint="eastAsia"/>
                <w:bCs/>
                <w:color w:val="auto"/>
                <w:sz w:val="24"/>
                <w:szCs w:val="24"/>
              </w:rPr>
              <w:t xml:space="preserve">车圆柱、车圆锥、车通孔内圆、车不通孔内圆、外圆磨削、内圆磨削、成形磨削、无心磨削、镗削通孔、镗削不通孔、拉削矩形花键、 拉削内孔、平体形成形车刀、棱形成形车刀、圆形成形车刀</w:t>
            </w:r>
          </w:p>
          <w:p>
            <w:pPr>
              <w:spacing w:after="0"/>
              <w:jc w:val="both"/>
              <w:rPr>
                <w:rFonts w:ascii="宋体" w:eastAsia="宋体" w:hAnsi="宋体" w:asciiTheme="minorEastAsia" w:eastAsiaTheme="minorEastAsia" w:hAnsiTheme="minorEastAsia" w:cs="Arial" w:cstheme="minorEastAsia" w:hint="eastAsia"/>
                <w:b/>
                <w:bCs w:val="0"/>
                <w:color w:val="auto"/>
                <w:sz w:val="24"/>
                <w:szCs w:val="24"/>
              </w:rPr>
            </w:pPr>
            <w:r>
              <w:rPr>
                <w:rFonts w:ascii="宋体" w:eastAsia="宋体" w:hAnsi="宋体" w:asciiTheme="minorEastAsia" w:eastAsiaTheme="minorEastAsia" w:hAnsiTheme="minorEastAsia" w:cs="Arial" w:cstheme="minorEastAsia" w:hint="eastAsia"/>
                <w:b/>
                <w:bCs w:val="0"/>
                <w:color w:val="auto"/>
                <w:sz w:val="24"/>
                <w:szCs w:val="24"/>
              </w:rPr>
              <w:t xml:space="preserve">第</w:t>
            </w:r>
            <w:r>
              <w:rPr>
                <w:rFonts w:ascii="宋体" w:eastAsia="宋体" w:hAnsi="宋体" w:asciiTheme="minorEastAsia" w:eastAsiaTheme="minorEastAsia" w:hAnsiTheme="minorEastAsia" w:cs="Arial" w:cstheme="minorEastAsia" w:hint="eastAsia"/>
                <w:b/>
                <w:bCs w:val="0"/>
                <w:color w:val="auto"/>
                <w:sz w:val="24"/>
                <w:szCs w:val="24"/>
                <w:lang w:val="en-US" w:eastAsia="zh-CN"/>
              </w:rPr>
              <w:t xml:space="preserve">六</w:t>
            </w:r>
            <w:r>
              <w:rPr>
                <w:rFonts w:ascii="宋体" w:eastAsia="宋体" w:hAnsi="宋体" w:asciiTheme="minorEastAsia" w:eastAsiaTheme="minorEastAsia" w:hAnsiTheme="minorEastAsia" w:cs="Arial" w:cstheme="minorEastAsia" w:hint="eastAsia"/>
                <w:b/>
                <w:bCs w:val="0"/>
                <w:color w:val="auto"/>
                <w:sz w:val="24"/>
                <w:szCs w:val="24"/>
              </w:rPr>
              <w:t xml:space="preserve">柜</w:t>
            </w:r>
            <w:r>
              <w:rPr>
                <w:rFonts w:ascii="宋体" w:eastAsia="宋体" w:hAnsi="宋体" w:asciiTheme="minorEastAsia" w:eastAsiaTheme="minorEastAsia" w:hAnsiTheme="minorEastAsia" w:cs="Arial" w:cstheme="minorEastAsia" w:hint="eastAsia"/>
                <w:b/>
                <w:bCs w:val="0"/>
                <w:color w:val="auto"/>
                <w:sz w:val="24"/>
                <w:szCs w:val="24"/>
                <w:lang w:eastAsia="zh-CN"/>
              </w:rPr>
              <w:t xml:space="preserve">：</w:t>
            </w:r>
            <w:r>
              <w:rPr>
                <w:rFonts w:ascii="宋体" w:eastAsia="宋体" w:hAnsi="宋体" w:asciiTheme="minorEastAsia" w:eastAsiaTheme="minorEastAsia" w:hAnsiTheme="minorEastAsia" w:cs="Arial" w:cstheme="minorEastAsia" w:hint="eastAsia"/>
                <w:b/>
                <w:bCs w:val="0"/>
                <w:color w:val="auto"/>
                <w:sz w:val="24"/>
                <w:szCs w:val="24"/>
                <w:lang w:val="en-US" w:eastAsia="zh-CN"/>
              </w:rPr>
              <w:t xml:space="preserve">螺</w:t>
            </w:r>
            <w:r>
              <w:rPr>
                <w:rFonts w:ascii="宋体" w:eastAsia="宋体" w:hAnsi="宋体" w:asciiTheme="minorEastAsia" w:eastAsiaTheme="minorEastAsia" w:hAnsiTheme="minorEastAsia" w:cs="Arial" w:cstheme="minorEastAsia" w:hint="eastAsia"/>
                <w:b/>
                <w:bCs w:val="0"/>
                <w:color w:val="auto"/>
                <w:sz w:val="24"/>
                <w:szCs w:val="24"/>
              </w:rPr>
              <w:t xml:space="preserve">纹加工法</w:t>
            </w:r>
          </w:p>
          <w:p>
            <w:pPr>
              <w:spacing w:after="0"/>
              <w:jc w:val="both"/>
              <w:rPr>
                <w:rFonts w:ascii="宋体" w:eastAsia="宋体" w:hAnsi="宋体" w:asciiTheme="minorEastAsia" w:eastAsiaTheme="minorEastAsia" w:hAnsiTheme="minorEastAsia" w:cs="Arial" w:cstheme="minorEastAsia" w:hint="eastAsia"/>
                <w:bCs/>
                <w:color w:val="auto"/>
                <w:sz w:val="24"/>
                <w:szCs w:val="24"/>
              </w:rPr>
            </w:pPr>
            <w:r>
              <w:rPr>
                <w:rFonts w:ascii="宋体" w:eastAsia="宋体" w:hAnsi="宋体" w:asciiTheme="minorEastAsia" w:eastAsiaTheme="minorEastAsia" w:hAnsiTheme="minorEastAsia" w:cs="Arial" w:cstheme="minorEastAsia" w:hint="eastAsia"/>
                <w:bCs/>
                <w:color w:val="auto"/>
                <w:sz w:val="24"/>
                <w:szCs w:val="24"/>
              </w:rPr>
              <w:t xml:space="preserve">8种螺纹牙型、手用丝锥 、机用丝锥、螺帽丝锥、锥形丝锥、 板牙丝锥、螺旋槽丝锥、 圆板牙、旋风切削装置、滚螺纹原理 、搓螺纹原理、梳形螺纹铣刀</w:t>
            </w:r>
          </w:p>
          <w:p>
            <w:pPr>
              <w:spacing w:after="0"/>
              <w:jc w:val="both"/>
              <w:rPr>
                <w:rFonts w:ascii="宋体" w:eastAsia="宋体" w:hAnsi="宋体" w:asciiTheme="minorEastAsia" w:eastAsiaTheme="minorEastAsia" w:hAnsiTheme="minorEastAsia" w:cs="Arial" w:cstheme="minorEastAsia" w:hint="eastAsia"/>
                <w:b/>
                <w:bCs w:val="0"/>
                <w:color w:val="auto"/>
                <w:sz w:val="24"/>
                <w:szCs w:val="24"/>
              </w:rPr>
            </w:pPr>
            <w:r>
              <w:rPr>
                <w:rFonts w:ascii="宋体" w:eastAsia="宋体" w:hAnsi="宋体" w:asciiTheme="minorEastAsia" w:eastAsiaTheme="minorEastAsia" w:hAnsiTheme="minorEastAsia" w:cs="Arial" w:cstheme="minorEastAsia" w:hint="eastAsia"/>
                <w:b/>
                <w:bCs w:val="0"/>
                <w:color w:val="auto"/>
                <w:sz w:val="24"/>
                <w:szCs w:val="24"/>
              </w:rPr>
              <w:t xml:space="preserve">第</w:t>
            </w:r>
            <w:r>
              <w:rPr>
                <w:rFonts w:ascii="宋体" w:eastAsia="宋体" w:hAnsi="宋体" w:asciiTheme="minorEastAsia" w:eastAsiaTheme="minorEastAsia" w:hAnsiTheme="minorEastAsia" w:cs="Arial" w:cstheme="minorEastAsia" w:hint="eastAsia"/>
                <w:b/>
                <w:bCs w:val="0"/>
                <w:color w:val="auto"/>
                <w:sz w:val="24"/>
                <w:szCs w:val="24"/>
                <w:lang w:val="en-US" w:eastAsia="zh-CN"/>
              </w:rPr>
              <w:t xml:space="preserve">七</w:t>
            </w:r>
            <w:r>
              <w:rPr>
                <w:rFonts w:ascii="宋体" w:eastAsia="宋体" w:hAnsi="宋体" w:asciiTheme="minorEastAsia" w:eastAsiaTheme="minorEastAsia" w:hAnsiTheme="minorEastAsia" w:cs="Arial" w:cstheme="minorEastAsia" w:hint="eastAsia"/>
                <w:b/>
                <w:bCs w:val="0"/>
                <w:color w:val="auto"/>
                <w:sz w:val="24"/>
                <w:szCs w:val="24"/>
              </w:rPr>
              <w:t xml:space="preserve">柜</w:t>
            </w:r>
            <w:r>
              <w:rPr>
                <w:rFonts w:ascii="宋体" w:eastAsia="宋体" w:hAnsi="宋体" w:asciiTheme="minorEastAsia" w:eastAsiaTheme="minorEastAsia" w:hAnsiTheme="minorEastAsia" w:cs="Arial" w:cstheme="minorEastAsia" w:hint="eastAsia"/>
                <w:b/>
                <w:bCs w:val="0"/>
                <w:color w:val="auto"/>
                <w:sz w:val="24"/>
                <w:szCs w:val="24"/>
                <w:lang w:eastAsia="zh-CN"/>
              </w:rPr>
              <w:t xml:space="preserve">：</w:t>
            </w:r>
            <w:r>
              <w:rPr>
                <w:rFonts w:ascii="宋体" w:eastAsia="宋体" w:hAnsi="宋体" w:asciiTheme="minorEastAsia" w:eastAsiaTheme="minorEastAsia" w:hAnsiTheme="minorEastAsia" w:cs="Arial" w:cstheme="minorEastAsia" w:hint="eastAsia"/>
                <w:b/>
                <w:bCs w:val="0"/>
                <w:color w:val="auto"/>
                <w:sz w:val="24"/>
                <w:szCs w:val="24"/>
              </w:rPr>
              <w:t xml:space="preserve">切削原理</w:t>
            </w:r>
          </w:p>
          <w:p>
            <w:pPr>
              <w:spacing w:after="0"/>
              <w:jc w:val="both"/>
              <w:rPr>
                <w:rFonts w:ascii="宋体" w:eastAsia="宋体" w:hAnsi="宋体" w:asciiTheme="minorEastAsia" w:eastAsiaTheme="minorEastAsia" w:hAnsiTheme="minorEastAsia" w:cs="Arial" w:cstheme="minorEastAsia" w:hint="eastAsia"/>
                <w:bCs/>
                <w:color w:val="auto"/>
                <w:sz w:val="24"/>
                <w:szCs w:val="24"/>
              </w:rPr>
            </w:pPr>
            <w:r>
              <w:rPr>
                <w:rFonts w:ascii="宋体" w:eastAsia="宋体" w:hAnsi="宋体" w:asciiTheme="minorEastAsia" w:eastAsiaTheme="minorEastAsia" w:hAnsiTheme="minorEastAsia" w:cs="Arial" w:cstheme="minorEastAsia" w:hint="eastAsia"/>
                <w:bCs/>
                <w:color w:val="auto"/>
                <w:sz w:val="24"/>
                <w:szCs w:val="24"/>
              </w:rPr>
              <w:t xml:space="preserve">车刀的刃倾角、车削时切削分力、切削平面和基面（横车）、切削平面和基面（纵车）、积屑瘤产生与成长（3件）、鳞刺的形成（4件）、热产生温度在刀具和工件上布、切削基本形态（4件）、常用车刀得用途、刀具磨损形式（3件）</w:t>
            </w:r>
          </w:p>
          <w:p>
            <w:pPr>
              <w:spacing w:after="0"/>
              <w:jc w:val="both"/>
              <w:rPr>
                <w:rFonts w:ascii="宋体" w:eastAsia="宋体" w:hAnsi="宋体" w:asciiTheme="minorEastAsia" w:eastAsiaTheme="minorEastAsia" w:hAnsiTheme="minorEastAsia" w:cs="Arial" w:cstheme="minorEastAsia" w:hint="eastAsia"/>
                <w:b/>
                <w:bCs w:val="0"/>
                <w:color w:val="auto"/>
                <w:sz w:val="24"/>
                <w:szCs w:val="24"/>
              </w:rPr>
            </w:pPr>
            <w:r>
              <w:rPr>
                <w:rFonts w:ascii="宋体" w:eastAsia="宋体" w:hAnsi="宋体" w:asciiTheme="minorEastAsia" w:eastAsiaTheme="minorEastAsia" w:hAnsiTheme="minorEastAsia" w:cs="Arial" w:cstheme="minorEastAsia" w:hint="eastAsia"/>
                <w:b/>
                <w:bCs w:val="0"/>
                <w:color w:val="auto"/>
                <w:sz w:val="24"/>
                <w:szCs w:val="24"/>
              </w:rPr>
              <w:t xml:space="preserve">第</w:t>
            </w:r>
            <w:r>
              <w:rPr>
                <w:rFonts w:ascii="宋体" w:eastAsia="宋体" w:hAnsi="宋体" w:asciiTheme="minorEastAsia" w:eastAsiaTheme="minorEastAsia" w:hAnsiTheme="minorEastAsia" w:cs="Arial" w:cstheme="minorEastAsia" w:hint="eastAsia"/>
                <w:b/>
                <w:bCs w:val="0"/>
                <w:color w:val="auto"/>
                <w:sz w:val="24"/>
                <w:szCs w:val="24"/>
                <w:lang w:val="en-US" w:eastAsia="zh-CN"/>
              </w:rPr>
              <w:t xml:space="preserve">八</w:t>
            </w:r>
            <w:r>
              <w:rPr>
                <w:rFonts w:ascii="宋体" w:eastAsia="宋体" w:hAnsi="宋体" w:asciiTheme="minorEastAsia" w:eastAsiaTheme="minorEastAsia" w:hAnsiTheme="minorEastAsia" w:cs="Arial" w:cstheme="minorEastAsia" w:hint="eastAsia"/>
                <w:b/>
                <w:bCs w:val="0"/>
                <w:color w:val="auto"/>
                <w:sz w:val="24"/>
                <w:szCs w:val="24"/>
              </w:rPr>
              <w:t xml:space="preserve">柜</w:t>
            </w:r>
            <w:r>
              <w:rPr>
                <w:rFonts w:ascii="宋体" w:eastAsia="宋体" w:hAnsi="宋体" w:asciiTheme="minorEastAsia" w:eastAsiaTheme="minorEastAsia" w:hAnsiTheme="minorEastAsia" w:cs="Arial" w:cstheme="minorEastAsia" w:hint="eastAsia"/>
                <w:b/>
                <w:bCs w:val="0"/>
                <w:color w:val="auto"/>
                <w:sz w:val="24"/>
                <w:szCs w:val="24"/>
                <w:lang w:eastAsia="zh-CN"/>
              </w:rPr>
              <w:t xml:space="preserve">：</w:t>
            </w:r>
            <w:r>
              <w:rPr>
                <w:rFonts w:ascii="宋体" w:eastAsia="宋体" w:hAnsi="宋体" w:asciiTheme="minorEastAsia" w:eastAsiaTheme="minorEastAsia" w:hAnsiTheme="minorEastAsia" w:cs="Arial" w:cstheme="minorEastAsia" w:hint="eastAsia"/>
                <w:b/>
                <w:bCs w:val="0"/>
                <w:color w:val="auto"/>
                <w:sz w:val="24"/>
                <w:szCs w:val="24"/>
              </w:rPr>
              <w:t xml:space="preserve">百分表类</w:t>
            </w:r>
          </w:p>
          <w:p>
            <w:pPr>
              <w:spacing w:after="0"/>
              <w:jc w:val="both"/>
              <w:rPr>
                <w:rFonts w:ascii="宋体" w:eastAsia="宋体" w:hAnsi="宋体" w:asciiTheme="minorEastAsia" w:eastAsiaTheme="minorEastAsia" w:hAnsiTheme="minorEastAsia" w:cs="Arial" w:cstheme="minorEastAsia" w:hint="eastAsia"/>
                <w:bCs/>
                <w:color w:val="auto"/>
                <w:sz w:val="24"/>
                <w:szCs w:val="24"/>
              </w:rPr>
            </w:pPr>
            <w:r>
              <w:rPr>
                <w:rFonts w:ascii="宋体" w:eastAsia="宋体" w:hAnsi="宋体" w:asciiTheme="minorEastAsia" w:eastAsiaTheme="minorEastAsia" w:hAnsiTheme="minorEastAsia" w:cs="Arial" w:cstheme="minorEastAsia" w:hint="eastAsia"/>
                <w:color w:val="auto"/>
                <w:sz w:val="24"/>
                <w:szCs w:val="24"/>
              </w:rPr>
              <w:t xml:space="preserve">1、百分表   2、杠杆式百分表  3、内径百分表</w:t>
            </w:r>
          </w:p>
          <w:p>
            <w:pPr>
              <w:spacing w:after="0"/>
              <w:jc w:val="both"/>
              <w:rPr>
                <w:rFonts w:ascii="宋体" w:eastAsia="宋体" w:hAnsi="宋体" w:asciiTheme="minorEastAsia" w:eastAsiaTheme="minorEastAsia" w:hAnsiTheme="minorEastAsia" w:cs="Arial" w:cstheme="minorEastAsia" w:hint="eastAsia"/>
                <w:b/>
                <w:bCs w:val="0"/>
                <w:color w:val="auto"/>
                <w:sz w:val="24"/>
                <w:szCs w:val="24"/>
              </w:rPr>
            </w:pPr>
            <w:r>
              <w:rPr>
                <w:rFonts w:ascii="宋体" w:eastAsia="宋体" w:hAnsi="宋体" w:asciiTheme="minorEastAsia" w:eastAsiaTheme="minorEastAsia" w:hAnsiTheme="minorEastAsia" w:cs="Arial" w:cstheme="minorEastAsia" w:hint="eastAsia"/>
                <w:b/>
                <w:bCs w:val="0"/>
                <w:color w:val="auto"/>
                <w:sz w:val="24"/>
                <w:szCs w:val="24"/>
              </w:rPr>
              <w:t xml:space="preserve">第</w:t>
            </w:r>
            <w:r>
              <w:rPr>
                <w:rFonts w:ascii="宋体" w:eastAsia="宋体" w:hAnsi="宋体" w:asciiTheme="minorEastAsia" w:eastAsiaTheme="minorEastAsia" w:hAnsiTheme="minorEastAsia" w:cs="Arial" w:cstheme="minorEastAsia" w:hint="eastAsia"/>
                <w:b/>
                <w:bCs w:val="0"/>
                <w:color w:val="auto"/>
                <w:sz w:val="24"/>
                <w:szCs w:val="24"/>
                <w:lang w:val="en-US" w:eastAsia="zh-CN"/>
              </w:rPr>
              <w:t xml:space="preserve">九</w:t>
            </w:r>
            <w:r>
              <w:rPr>
                <w:rFonts w:ascii="宋体" w:eastAsia="宋体" w:hAnsi="宋体" w:asciiTheme="minorEastAsia" w:eastAsiaTheme="minorEastAsia" w:hAnsiTheme="minorEastAsia" w:cs="Arial" w:cstheme="minorEastAsia" w:hint="eastAsia"/>
                <w:b/>
                <w:bCs w:val="0"/>
                <w:color w:val="auto"/>
                <w:sz w:val="24"/>
                <w:szCs w:val="24"/>
              </w:rPr>
              <w:t xml:space="preserve">柜</w:t>
            </w:r>
            <w:r>
              <w:rPr>
                <w:rFonts w:ascii="宋体" w:eastAsia="宋体" w:hAnsi="宋体" w:asciiTheme="minorEastAsia" w:eastAsiaTheme="minorEastAsia" w:hAnsiTheme="minorEastAsia" w:cs="Arial" w:cstheme="minorEastAsia" w:hint="eastAsia"/>
                <w:b/>
                <w:bCs w:val="0"/>
                <w:color w:val="auto"/>
                <w:sz w:val="24"/>
                <w:szCs w:val="24"/>
                <w:lang w:eastAsia="zh-CN"/>
              </w:rPr>
              <w:t xml:space="preserve">：</w:t>
            </w:r>
            <w:r>
              <w:rPr>
                <w:rFonts w:ascii="宋体" w:eastAsia="宋体" w:hAnsi="宋体" w:asciiTheme="minorEastAsia" w:eastAsiaTheme="minorEastAsia" w:hAnsiTheme="minorEastAsia" w:cs="Arial" w:cstheme="minorEastAsia" w:hint="eastAsia"/>
                <w:b/>
                <w:bCs w:val="0"/>
                <w:color w:val="auto"/>
                <w:sz w:val="24"/>
                <w:szCs w:val="24"/>
              </w:rPr>
              <w:t xml:space="preserve">量角器与量角尺</w:t>
            </w:r>
          </w:p>
          <w:p>
            <w:pPr>
              <w:rPr>
                <w:rFonts w:ascii="宋体" w:eastAsia="宋体" w:hAnsi="宋体" w:asciiTheme="minorEastAsia" w:eastAsiaTheme="minorEastAsia" w:hAnsiTheme="minorEastAsia" w:cs="Arial" w:cstheme="minorEastAsia" w:hint="eastAsia"/>
                <w:color w:val="auto"/>
                <w:sz w:val="24"/>
                <w:szCs w:val="24"/>
              </w:rPr>
            </w:pPr>
            <w:r>
              <w:rPr>
                <w:rFonts w:ascii="宋体" w:eastAsia="宋体" w:hAnsi="宋体" w:asciiTheme="minorEastAsia" w:eastAsiaTheme="minorEastAsia" w:hAnsiTheme="minorEastAsia" w:cs="Arial" w:cstheme="minorEastAsia" w:hint="eastAsia"/>
                <w:color w:val="auto"/>
                <w:sz w:val="24"/>
                <w:szCs w:val="24"/>
              </w:rPr>
              <w:t xml:space="preserve">1、活动量角器  2、万能角度尺Ⅰ  3、万能角度尺Ⅱ 4、活络角尺</w:t>
            </w:r>
          </w:p>
          <w:p>
            <w:pPr>
              <w:spacing w:after="0"/>
              <w:jc w:val="both"/>
              <w:rPr>
                <w:rFonts w:ascii="宋体" w:eastAsia="宋体" w:hAnsi="宋体" w:asciiTheme="minorEastAsia" w:eastAsiaTheme="minorEastAsia" w:hAnsiTheme="minorEastAsia" w:cs="Arial" w:cstheme="minorEastAsia" w:hint="eastAsia"/>
                <w:b/>
                <w:bCs w:val="0"/>
                <w:color w:val="auto"/>
                <w:sz w:val="24"/>
                <w:szCs w:val="24"/>
                <w:lang w:eastAsia="zh-CN"/>
              </w:rPr>
            </w:pPr>
            <w:r>
              <w:rPr>
                <w:rFonts w:ascii="宋体" w:eastAsia="宋体" w:hAnsi="宋体" w:asciiTheme="minorEastAsia" w:eastAsiaTheme="minorEastAsia" w:hAnsiTheme="minorEastAsia" w:cs="Arial" w:cstheme="minorEastAsia" w:hint="eastAsia"/>
                <w:b/>
                <w:bCs w:val="0"/>
                <w:color w:val="auto"/>
                <w:sz w:val="24"/>
                <w:szCs w:val="24"/>
              </w:rPr>
              <w:t xml:space="preserve">第</w:t>
            </w:r>
            <w:r>
              <w:rPr>
                <w:rFonts w:ascii="宋体" w:eastAsia="宋体" w:hAnsi="宋体" w:asciiTheme="minorEastAsia" w:eastAsiaTheme="minorEastAsia" w:hAnsiTheme="minorEastAsia" w:cs="Arial" w:cstheme="minorEastAsia" w:hint="eastAsia"/>
                <w:b/>
                <w:bCs w:val="0"/>
                <w:color w:val="auto"/>
                <w:sz w:val="24"/>
                <w:szCs w:val="24"/>
                <w:lang w:val="en-US" w:eastAsia="zh-CN"/>
              </w:rPr>
              <w:t xml:space="preserve">十</w:t>
            </w:r>
            <w:r>
              <w:rPr>
                <w:rFonts w:ascii="宋体" w:eastAsia="宋体" w:hAnsi="宋体" w:asciiTheme="minorEastAsia" w:eastAsiaTheme="minorEastAsia" w:hAnsiTheme="minorEastAsia" w:cs="Arial" w:cstheme="minorEastAsia" w:hint="eastAsia"/>
                <w:b/>
                <w:bCs w:val="0"/>
                <w:color w:val="auto"/>
                <w:sz w:val="24"/>
                <w:szCs w:val="24"/>
              </w:rPr>
              <w:t xml:space="preserve">柜</w:t>
            </w:r>
            <w:r>
              <w:rPr>
                <w:rFonts w:ascii="宋体" w:eastAsia="宋体" w:hAnsi="宋体" w:asciiTheme="minorEastAsia" w:eastAsiaTheme="minorEastAsia" w:hAnsiTheme="minorEastAsia" w:cs="Arial" w:cstheme="minorEastAsia" w:hint="eastAsia"/>
                <w:b/>
                <w:bCs w:val="0"/>
                <w:color w:val="auto"/>
                <w:sz w:val="24"/>
                <w:szCs w:val="24"/>
                <w:lang w:eastAsia="zh-CN"/>
              </w:rPr>
              <w:t xml:space="preserve">：</w:t>
            </w:r>
            <w:r>
              <w:rPr>
                <w:rFonts w:ascii="宋体" w:eastAsia="宋体" w:hAnsi="宋体" w:asciiTheme="minorEastAsia" w:eastAsiaTheme="minorEastAsia" w:hAnsiTheme="minorEastAsia" w:cs="Arial" w:cstheme="minorEastAsia" w:hint="eastAsia"/>
                <w:b/>
                <w:bCs w:val="0"/>
                <w:color w:val="auto"/>
                <w:sz w:val="24"/>
                <w:szCs w:val="24"/>
              </w:rPr>
              <w:t xml:space="preserve">游标卡尺种类</w:t>
            </w:r>
          </w:p>
          <w:p>
            <w:pPr>
              <w:spacing w:after="0"/>
              <w:jc w:val="both"/>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rPr>
              <w:t xml:space="preserve">1、外径游标卡尺  2、带测深杆的游标卡尺  3、单面游标卡尺  4、高度游标卡尺  5、深度游标卡尺  6、双面游标卡尺  7、弯脚游标卡尺  8、勾头游标卡尺</w:t>
            </w:r>
            <w:r>
              <w:rPr>
                <w:rFonts w:ascii="宋体" w:eastAsia="宋体" w:hAnsi="宋体" w:asciiTheme="minorEastAsia" w:eastAsiaTheme="minorEastAsia" w:hAnsiTheme="minorEastAsia" w:cs="Arial" w:cstheme="minorEastAsia" w:hint="eastAsia"/>
                <w:color w:val="auto"/>
                <w:sz w:val="24"/>
                <w:szCs w:val="24"/>
                <w:lang w:val="en-US" w:eastAsia="zh-CN"/>
              </w:rPr>
              <w:t xml:space="preserve">  </w:t>
            </w:r>
          </w:p>
          <w:p>
            <w:pPr>
              <w:spacing w:after="0"/>
              <w:jc w:val="both"/>
              <w:rPr>
                <w:rFonts w:ascii="宋体" w:eastAsia="宋体" w:hAnsi="宋体" w:asciiTheme="minorEastAsia" w:eastAsiaTheme="minorEastAsia" w:hAnsiTheme="minorEastAsia" w:cs="Arial" w:cstheme="minorEastAsia" w:hint="default"/>
                <w:bCs/>
                <w:color w:val="auto"/>
                <w:sz w:val="24"/>
                <w:szCs w:val="24"/>
                <w:lang w:val="en-US" w:eastAsia="zh-CN"/>
              </w:rPr>
            </w:pPr>
            <w:r>
              <w:rPr>
                <w:rFonts w:ascii="宋体" w:eastAsia="宋体" w:hAnsi="宋体" w:asciiTheme="minorEastAsia" w:eastAsiaTheme="minorEastAsia" w:hAnsiTheme="minorEastAsia" w:cs="Arial" w:cstheme="minorEastAsia" w:hint="eastAsia"/>
                <w:b/>
                <w:bCs/>
                <w:color w:val="auto"/>
                <w:sz w:val="24"/>
                <w:szCs w:val="24"/>
                <w:lang w:val="en-US" w:eastAsia="zh-CN"/>
              </w:rPr>
              <w:t xml:space="preserve">注：1柜1套，共计10套。</w:t>
            </w:r>
          </w:p>
        </w:tc>
        <w:tc>
          <w:tcPr>
            <w:tcW w:w="822" w:type="dxa"/>
            <w:vAlign w:val="center"/>
          </w:tcPr>
          <w:p>
            <w:pPr>
              <w:widowControl/>
              <w:jc w:val="center"/>
              <w:rPr>
                <w:rFonts w:ascii="宋体" w:eastAsia="宋体" w:hAnsi="宋体" w:asciiTheme="minorEastAsia" w:eastAsiaTheme="minorEastAsia" w:hAnsiTheme="minorEastAsia" w:cs="Arial" w:cstheme="minorEastAsia" w:hint="eastAsia"/>
                <w:bCs/>
                <w:color w:val="auto"/>
                <w:kern w:val="0"/>
                <w:sz w:val="24"/>
                <w:szCs w:val="24"/>
                <w:lang w:val="en-US" w:eastAsia="zh-CN"/>
              </w:rPr>
            </w:pPr>
            <w:r>
              <w:rPr>
                <w:rFonts w:ascii="宋体" w:eastAsia="宋体" w:hAnsi="宋体" w:asciiTheme="minorEastAsia" w:eastAsiaTheme="minorEastAsia" w:hAnsiTheme="minorEastAsia" w:cs="Arial" w:cstheme="minorEastAsia" w:hint="eastAsia"/>
                <w:bCs/>
                <w:color w:val="auto"/>
                <w:kern w:val="0"/>
                <w:sz w:val="24"/>
                <w:szCs w:val="24"/>
                <w:lang w:val="en-US" w:eastAsia="zh-CN"/>
              </w:rPr>
              <w:t xml:space="preserve">10套</w:t>
            </w:r>
          </w:p>
        </w:tc>
      </w:tr>
      <w:tr>
        <w:tblPrEx>
          <w:tblW w:w="938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507"/>
          <w:jc w:val="center"/>
        </w:trPr>
        <w:tc>
          <w:tcPr>
            <w:tcW w:w="894" w:type="dxa"/>
            <w:vAlign w:val="center"/>
          </w:tcPr>
          <w:p>
            <w:pPr>
              <w:widowControl/>
              <w:jc w:val="center"/>
              <w:rPr>
                <w:rFonts w:ascii="宋体" w:eastAsia="宋体" w:hAnsi="宋体" w:asciiTheme="minorEastAsia" w:eastAsiaTheme="minorEastAsia" w:hAnsiTheme="minorEastAsia" w:cs="Arial" w:cstheme="minorEastAsia" w:hint="eastAsia"/>
                <w:bCs/>
                <w:color w:val="auto"/>
                <w:kern w:val="0"/>
                <w:sz w:val="24"/>
                <w:szCs w:val="24"/>
                <w:lang w:val="en-US" w:eastAsia="zh-CN"/>
              </w:rPr>
            </w:pPr>
            <w:r>
              <w:rPr>
                <w:rFonts w:ascii="宋体" w:eastAsia="宋体" w:hAnsi="宋体" w:asciiTheme="minorEastAsia" w:eastAsiaTheme="minorEastAsia" w:hAnsiTheme="minorEastAsia" w:cs="Arial" w:cstheme="minorEastAsia" w:hint="eastAsia"/>
                <w:bCs/>
                <w:color w:val="auto"/>
                <w:kern w:val="0"/>
                <w:sz w:val="24"/>
                <w:szCs w:val="24"/>
                <w:lang w:val="en-US" w:eastAsia="zh-CN"/>
              </w:rPr>
              <w:t xml:space="preserve">4</w:t>
            </w:r>
          </w:p>
        </w:tc>
        <w:tc>
          <w:tcPr>
            <w:tcW w:w="798" w:type="dxa"/>
            <w:vAlign w:val="center"/>
          </w:tcPr>
          <w:p>
            <w:pPr>
              <w:widowControl/>
              <w:jc w:val="center"/>
              <w:rPr>
                <w:rFonts w:ascii="宋体" w:eastAsia="宋体" w:hAnsi="宋体" w:asciiTheme="minorEastAsia" w:eastAsiaTheme="minorEastAsia" w:hAnsiTheme="minorEastAsia" w:cs="Arial" w:cstheme="minorEastAsia"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auto"/>
                <w:kern w:val="0"/>
                <w:sz w:val="24"/>
                <w:szCs w:val="24"/>
                <w:lang w:val="en-US" w:eastAsia="zh-CN"/>
              </w:rPr>
              <w:t xml:space="preserve">拆装工具</w:t>
            </w:r>
          </w:p>
        </w:tc>
        <w:tc>
          <w:tcPr>
            <w:tcW w:w="6874" w:type="dxa"/>
            <w:vAlign w:val="center"/>
          </w:tcPr>
          <w:p>
            <w:pPr>
              <w:numPr>
                <w:ilvl w:val="0"/>
                <w:numId w:val="4"/>
              </w:numPr>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1/2加长套筒（10、12、13、14、17、19mm） 各1个</w:t>
            </w:r>
          </w:p>
          <w:p>
            <w:pPr>
              <w:numPr>
                <w:ilvl w:val="0"/>
                <w:numId w:val="4"/>
              </w:numPr>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3/8加长套筒（10、11、12、13、14、15mm）  各1个</w:t>
            </w:r>
          </w:p>
          <w:p>
            <w:pPr>
              <w:numPr>
                <w:ilvl w:val="0"/>
                <w:numId w:val="4"/>
              </w:numPr>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1/4加长套筒（4、5、6、7、8、9mm）  各1个</w:t>
            </w:r>
          </w:p>
          <w:p>
            <w:pPr>
              <w:numPr>
                <w:ilvl w:val="0"/>
                <w:numId w:val="4"/>
              </w:numPr>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1/2短套筒（10、11、12、13、14、15、16、17、18、19、20、21、       22、24、27、30、32mm）  各1个</w:t>
            </w:r>
          </w:p>
          <w:p>
            <w:pPr>
              <w:numPr>
                <w:ilvl w:val="0"/>
                <w:numId w:val="4"/>
              </w:numPr>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3/8花塞套筒（16、21、13、14、17、19mm）  各1个</w:t>
            </w:r>
          </w:p>
          <w:p>
            <w:pPr>
              <w:numPr>
                <w:ilvl w:val="0"/>
                <w:numId w:val="4"/>
              </w:numPr>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1/4加长套筒（4、4.5、5、5.5、6、7、8、9、10、11、12、13、14mm）  各1个</w:t>
            </w:r>
          </w:p>
          <w:p>
            <w:pPr>
              <w:numPr>
                <w:ilvl w:val="0"/>
                <w:numId w:val="4"/>
              </w:numPr>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3/8火花塞套筒（16、21mm）  各1个</w:t>
            </w:r>
          </w:p>
          <w:p>
            <w:pPr>
              <w:numPr>
                <w:ilvl w:val="0"/>
                <w:numId w:val="4"/>
              </w:numPr>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E型套筒（4、5、6、7、8、10、11、12、14、16、18、20、22mm） 各1个</w:t>
            </w:r>
          </w:p>
          <w:p>
            <w:pPr>
              <w:numPr>
                <w:ilvl w:val="0"/>
                <w:numId w:val="4"/>
              </w:numPr>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风炮套筒（7、19、21、23mm）  各1个</w:t>
            </w:r>
          </w:p>
          <w:p>
            <w:pPr>
              <w:numPr>
                <w:ilvl w:val="0"/>
                <w:numId w:val="4"/>
              </w:numPr>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双向棘轮扳手（8-10、 12-13、 17-19mm）  各1个</w:t>
            </w:r>
          </w:p>
          <w:p>
            <w:pPr>
              <w:numPr>
                <w:ilvl w:val="0"/>
                <w:numId w:val="4"/>
              </w:numPr>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两用扳手（8、9、10、11、12、13、14、15、16、17、18、19mm）各1个</w:t>
            </w:r>
          </w:p>
          <w:p>
            <w:pPr>
              <w:numPr>
                <w:ilvl w:val="0"/>
                <w:numId w:val="4"/>
              </w:numPr>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3/8旋具批头（一字4.5、6.5，米字1、2、3，十字1、2、3，六角3、4、5、6、8、10，花型T30、T40、T50、T55）各1个</w:t>
            </w:r>
          </w:p>
          <w:p>
            <w:pPr>
              <w:numPr>
                <w:ilvl w:val="0"/>
                <w:numId w:val="4"/>
              </w:numPr>
              <w:ind w:left="0" w:firstLine="0" w:leftChars="0" w:firstLineChars="0"/>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1/4批头（T10、T15、T20、T25、T27、T30、T40）各1个</w:t>
            </w:r>
          </w:p>
          <w:p>
            <w:pPr>
              <w:numPr>
                <w:ilvl w:val="0"/>
                <w:numId w:val="4"/>
              </w:numPr>
              <w:ind w:left="0" w:firstLine="0" w:leftChars="0" w:firstLineChars="0"/>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球形内六角扳手（1.5、2、2.5、3、4、5、6、8、10mm）各1个</w:t>
            </w:r>
          </w:p>
          <w:p>
            <w:pPr>
              <w:numPr>
                <w:ilvl w:val="0"/>
                <w:numId w:val="4"/>
              </w:numPr>
              <w:ind w:left="0" w:firstLine="0" w:leftChars="0" w:firstLineChars="0"/>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1/2接杆（5寸）  各1个</w:t>
            </w:r>
          </w:p>
          <w:p>
            <w:pPr>
              <w:numPr>
                <w:ilvl w:val="0"/>
                <w:numId w:val="4"/>
              </w:numPr>
              <w:ind w:left="0" w:firstLine="0" w:leftChars="0" w:firstLineChars="0"/>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3/8接杆  各1个</w:t>
            </w:r>
          </w:p>
          <w:p>
            <w:pPr>
              <w:numPr>
                <w:ilvl w:val="0"/>
                <w:numId w:val="4"/>
              </w:numPr>
              <w:ind w:left="0" w:firstLine="0" w:leftChars="0" w:firstLineChars="0"/>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1/4滑杆  各1个</w:t>
            </w:r>
          </w:p>
          <w:p>
            <w:pPr>
              <w:numPr>
                <w:ilvl w:val="0"/>
                <w:numId w:val="4"/>
              </w:numPr>
              <w:ind w:left="0" w:firstLine="0" w:leftChars="0" w:firstLineChars="0"/>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1/4接杆  各1个</w:t>
            </w:r>
          </w:p>
          <w:p>
            <w:pPr>
              <w:numPr>
                <w:ilvl w:val="0"/>
                <w:numId w:val="4"/>
              </w:numPr>
              <w:ind w:left="0" w:firstLine="0" w:leftChars="0" w:firstLineChars="0"/>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万向接头  各1个</w:t>
            </w:r>
          </w:p>
          <w:p>
            <w:pPr>
              <w:numPr>
                <w:ilvl w:val="0"/>
                <w:numId w:val="4"/>
              </w:numPr>
              <w:ind w:left="0" w:firstLine="0" w:leftChars="0" w:firstLineChars="0"/>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1/4弹套+内六角扳手  各1个</w:t>
            </w:r>
          </w:p>
          <w:p>
            <w:pPr>
              <w:numPr>
                <w:ilvl w:val="0"/>
                <w:numId w:val="4"/>
              </w:numPr>
              <w:ind w:left="0" w:firstLine="0" w:leftChars="0" w:firstLineChars="0"/>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1/4小方杆  各1个</w:t>
            </w:r>
          </w:p>
          <w:p>
            <w:pPr>
              <w:numPr>
                <w:ilvl w:val="0"/>
                <w:numId w:val="4"/>
              </w:numPr>
              <w:ind w:left="0" w:firstLine="0" w:leftChars="0" w:firstLineChars="0"/>
              <w:rPr>
                <w:rFonts w:ascii="宋体" w:eastAsia="宋体" w:hAnsi="宋体" w:asciiTheme="minorEastAsia" w:eastAsiaTheme="minorEastAsia" w:hAnsiTheme="minorEastAsia" w:cs="Arial" w:cstheme="minorEastAsia" w:hint="eastAsia"/>
                <w:color w:val="auto"/>
                <w:sz w:val="24"/>
                <w:szCs w:val="24"/>
                <w:lang w:val="en-US" w:eastAsia="zh-CN"/>
              </w:rPr>
            </w:pPr>
            <w:r>
              <w:rPr>
                <w:rFonts w:ascii="宋体" w:eastAsia="宋体" w:hAnsi="宋体" w:asciiTheme="minorEastAsia" w:eastAsiaTheme="minorEastAsia" w:hAnsiTheme="minorEastAsia" w:cs="Arial" w:cstheme="minorEastAsia" w:hint="eastAsia"/>
                <w:color w:val="auto"/>
                <w:sz w:val="24"/>
                <w:szCs w:val="24"/>
                <w:lang w:val="en-US" w:eastAsia="zh-CN"/>
              </w:rPr>
              <w:t xml:space="preserve">联轴器10个（数控专业，不同类型联轴器）</w:t>
            </w:r>
          </w:p>
        </w:tc>
        <w:tc>
          <w:tcPr>
            <w:tcW w:w="822" w:type="dxa"/>
            <w:vAlign w:val="center"/>
          </w:tcPr>
          <w:p>
            <w:pPr>
              <w:widowControl/>
              <w:jc w:val="center"/>
              <w:rPr>
                <w:rFonts w:ascii="宋体" w:eastAsia="宋体" w:hAnsi="宋体" w:asciiTheme="minorEastAsia" w:eastAsiaTheme="minorEastAsia" w:hAnsiTheme="minorEastAsia" w:cs="Arial" w:cstheme="minorEastAsia" w:hint="eastAsia"/>
                <w:bCs/>
                <w:color w:val="auto"/>
                <w:kern w:val="0"/>
                <w:sz w:val="24"/>
                <w:szCs w:val="24"/>
                <w:lang w:val="en-US" w:eastAsia="zh-CN"/>
              </w:rPr>
            </w:pPr>
            <w:r>
              <w:rPr>
                <w:rFonts w:ascii="宋体" w:eastAsia="宋体" w:hAnsi="宋体" w:asciiTheme="minorEastAsia" w:eastAsiaTheme="minorEastAsia" w:hAnsiTheme="minorEastAsia" w:cs="Arial" w:cstheme="minorEastAsia" w:hint="eastAsia"/>
                <w:bCs/>
                <w:color w:val="auto"/>
                <w:kern w:val="0"/>
                <w:sz w:val="24"/>
                <w:szCs w:val="24"/>
                <w:lang w:val="en-US" w:eastAsia="zh-CN"/>
              </w:rPr>
              <w:t xml:space="preserve">10套</w:t>
            </w:r>
          </w:p>
        </w:tc>
      </w:tr>
      <w:tr>
        <w:tblPrEx>
          <w:tblW w:w="938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507"/>
          <w:jc w:val="center"/>
        </w:trPr>
        <w:tc>
          <w:tcPr>
            <w:tcW w:w="894" w:type="dxa"/>
            <w:vAlign w:val="center"/>
          </w:tcPr>
          <w:p>
            <w:pPr>
              <w:widowControl/>
              <w:jc w:val="center"/>
              <w:rPr>
                <w:rFonts w:ascii="宋体" w:hAnsi="宋体" w:cs="宋体" w:hint="default"/>
                <w:bCs/>
                <w:color w:val="auto"/>
                <w:kern w:val="0"/>
                <w:sz w:val="24"/>
                <w:szCs w:val="24"/>
                <w:lang w:val="en-US" w:eastAsia="zh-CN"/>
              </w:rPr>
            </w:pPr>
            <w:r>
              <w:rPr>
                <w:rFonts w:ascii="宋体" w:hAnsi="宋体" w:cs="宋体" w:hint="eastAsia"/>
                <w:bCs/>
                <w:color w:val="auto"/>
                <w:kern w:val="0"/>
                <w:sz w:val="24"/>
                <w:szCs w:val="24"/>
                <w:lang w:val="en-US" w:eastAsia="zh-CN"/>
              </w:rPr>
              <w:t xml:space="preserve">5</w:t>
            </w:r>
          </w:p>
        </w:tc>
        <w:tc>
          <w:tcPr>
            <w:tcW w:w="798" w:type="dxa"/>
            <w:vAlign w:val="center"/>
          </w:tcPr>
          <w:p>
            <w:pPr>
              <w:widowControl/>
              <w:jc w:val="center"/>
              <w:rPr>
                <w:rFonts w:ascii="宋体" w:eastAsia="宋体" w:hAnsi="宋体" w:cs="宋体" w:hint="eastAsia"/>
                <w:color w:val="auto"/>
                <w:kern w:val="0"/>
                <w:sz w:val="24"/>
                <w:szCs w:val="24"/>
                <w:lang w:val="en-US" w:eastAsia="zh-CN"/>
              </w:rPr>
            </w:pPr>
            <w:r>
              <w:rPr>
                <w:rFonts w:ascii="宋体" w:hAnsi="宋体" w:cs="宋体" w:hint="eastAsia"/>
                <w:color w:val="auto"/>
                <w:kern w:val="0"/>
                <w:sz w:val="24"/>
                <w:szCs w:val="24"/>
                <w:lang w:val="en-US" w:eastAsia="zh-CN"/>
              </w:rPr>
              <w:t xml:space="preserve">三导轨偏摆仪</w:t>
            </w:r>
          </w:p>
        </w:tc>
        <w:tc>
          <w:tcPr>
            <w:tcW w:w="6874" w:type="dxa"/>
            <w:vAlign w:val="center"/>
          </w:tcPr>
          <w:p>
            <w:pPr>
              <w:rPr>
                <w:rFonts w:ascii="宋体" w:eastAsia="宋体" w:hAnsi="宋体" w:asciiTheme="minorEastAsia" w:eastAsiaTheme="minorEastAsia" w:hAnsiTheme="minorEastAsia" w:cs="Arial" w:cstheme="minorEastAsia" w:hint="eastAsia"/>
                <w:b w:val="0"/>
                <w:bCs w:val="0"/>
                <w:color w:val="auto"/>
                <w:kern w:val="2"/>
                <w:sz w:val="24"/>
                <w:szCs w:val="24"/>
                <w:lang w:val="en-US" w:eastAsia="zh-CN" w:bidi="ar-SA"/>
              </w:rPr>
            </w:pPr>
            <w:r>
              <w:rPr>
                <w:rFonts w:ascii="宋体" w:eastAsia="宋体" w:hAnsi="宋体" w:asciiTheme="minorEastAsia" w:eastAsiaTheme="minorEastAsia" w:hAnsiTheme="minorEastAsia" w:cs="Arial" w:cstheme="minorEastAsia" w:hint="eastAsia"/>
                <w:b w:val="0"/>
                <w:bCs w:val="0"/>
                <w:color w:val="auto"/>
                <w:kern w:val="2"/>
                <w:sz w:val="24"/>
                <w:szCs w:val="24"/>
                <w:lang w:val="en-US" w:eastAsia="zh-CN" w:bidi="ar-SA"/>
              </w:rPr>
              <w:t xml:space="preserve">1、可实现快速装夹；</w:t>
            </w:r>
          </w:p>
          <w:p>
            <w:pPr>
              <w:rPr>
                <w:rFonts w:ascii="宋体" w:eastAsia="宋体" w:hAnsi="宋体" w:asciiTheme="minorEastAsia" w:eastAsiaTheme="minorEastAsia" w:hAnsiTheme="minorEastAsia" w:cs="Arial" w:cstheme="minorEastAsia" w:hint="eastAsia"/>
                <w:b w:val="0"/>
                <w:bCs w:val="0"/>
                <w:color w:val="auto"/>
                <w:kern w:val="2"/>
                <w:sz w:val="24"/>
                <w:szCs w:val="24"/>
                <w:lang w:val="en-US" w:eastAsia="zh-CN" w:bidi="ar-SA"/>
              </w:rPr>
            </w:pPr>
            <w:r>
              <w:rPr>
                <w:rFonts w:ascii="宋体" w:eastAsia="宋体" w:hAnsi="宋体" w:asciiTheme="minorEastAsia" w:eastAsiaTheme="minorEastAsia" w:hAnsiTheme="minorEastAsia" w:cs="Arial" w:cstheme="minorEastAsia" w:hint="eastAsia"/>
                <w:b w:val="0"/>
                <w:bCs w:val="0"/>
                <w:color w:val="auto"/>
                <w:kern w:val="2"/>
                <w:sz w:val="24"/>
                <w:szCs w:val="24"/>
                <w:lang w:val="en-US" w:eastAsia="zh-CN" w:bidi="ar-SA"/>
              </w:rPr>
              <w:t xml:space="preserve">2、钨钢合金顶尖；</w:t>
            </w:r>
          </w:p>
          <w:p>
            <w:pPr>
              <w:rPr>
                <w:rFonts w:ascii="宋体" w:eastAsia="宋体" w:hAnsi="宋体" w:asciiTheme="minorEastAsia" w:eastAsiaTheme="minorEastAsia" w:hAnsiTheme="minorEastAsia" w:cs="Arial" w:cstheme="minorEastAsia" w:hint="eastAsia"/>
                <w:b w:val="0"/>
                <w:bCs w:val="0"/>
                <w:color w:val="auto"/>
                <w:kern w:val="2"/>
                <w:sz w:val="24"/>
                <w:szCs w:val="24"/>
                <w:lang w:val="en-US" w:eastAsia="zh-CN" w:bidi="ar-SA"/>
              </w:rPr>
            </w:pPr>
            <w:r>
              <w:rPr>
                <w:rFonts w:ascii="宋体" w:eastAsia="宋体" w:hAnsi="宋体" w:asciiTheme="minorEastAsia" w:eastAsiaTheme="minorEastAsia" w:hAnsiTheme="minorEastAsia" w:cs="Arial" w:cstheme="minorEastAsia" w:hint="eastAsia"/>
                <w:b w:val="0"/>
                <w:bCs w:val="0"/>
                <w:color w:val="auto"/>
                <w:kern w:val="2"/>
                <w:sz w:val="24"/>
                <w:szCs w:val="24"/>
                <w:lang w:val="en-US" w:eastAsia="zh-CN" w:bidi="ar-SA"/>
              </w:rPr>
              <w:t xml:space="preserve">3、带固定万向表座装置和万向支架；</w:t>
            </w:r>
          </w:p>
          <w:p>
            <w:pPr>
              <w:rPr>
                <w:rFonts w:ascii="宋体" w:eastAsia="宋体" w:hAnsi="宋体" w:cs="宋体" w:hint="default"/>
                <w:color w:val="auto"/>
                <w:kern w:val="0"/>
                <w:sz w:val="24"/>
                <w:szCs w:val="24"/>
                <w:lang w:val="en-US" w:eastAsia="zh-CN"/>
              </w:rPr>
            </w:pPr>
            <w:r>
              <w:rPr>
                <w:rFonts w:ascii="宋体" w:eastAsia="宋体" w:hAnsi="宋体" w:asciiTheme="minorEastAsia" w:eastAsiaTheme="minorEastAsia" w:hAnsiTheme="minorEastAsia" w:cs="Arial" w:cstheme="minorEastAsia" w:hint="eastAsia"/>
                <w:b w:val="0"/>
                <w:bCs w:val="0"/>
                <w:color w:val="auto"/>
                <w:kern w:val="2"/>
                <w:sz w:val="24"/>
                <w:szCs w:val="24"/>
                <w:lang w:val="en-US" w:eastAsia="zh-CN" w:bidi="ar-SA"/>
              </w:rPr>
              <w:t xml:space="preserve">4、偏摆仪规格：</w:t>
            </w:r>
            <w:r>
              <w:rPr>
                <w:rFonts w:ascii="宋体" w:hAnsi="宋体" w:cs="宋体" w:hint="eastAsia"/>
                <w:color w:val="auto"/>
                <w:kern w:val="0"/>
                <w:sz w:val="24"/>
                <w:szCs w:val="24"/>
                <w:lang w:val="en-US" w:eastAsia="zh-CN"/>
              </w:rPr>
              <w:t xml:space="preserve">测量直径120mm，测量长度500mm。</w:t>
            </w:r>
          </w:p>
        </w:tc>
        <w:tc>
          <w:tcPr>
            <w:tcW w:w="822" w:type="dxa"/>
            <w:vAlign w:val="center"/>
          </w:tcPr>
          <w:p>
            <w:pPr>
              <w:widowControl/>
              <w:jc w:val="center"/>
              <w:rPr>
                <w:rFonts w:ascii="宋体" w:eastAsia="宋体" w:hAnsi="宋体" w:cs="宋体" w:hint="default"/>
                <w:bCs/>
                <w:color w:val="auto"/>
                <w:kern w:val="0"/>
                <w:sz w:val="24"/>
                <w:szCs w:val="24"/>
                <w:lang w:val="en-US" w:eastAsia="zh-CN"/>
              </w:rPr>
            </w:pPr>
            <w:r>
              <w:rPr>
                <w:rFonts w:ascii="宋体" w:hAnsi="宋体" w:cs="宋体" w:hint="eastAsia"/>
                <w:bCs/>
                <w:color w:val="auto"/>
                <w:kern w:val="0"/>
                <w:sz w:val="24"/>
                <w:szCs w:val="24"/>
                <w:lang w:val="en-US" w:eastAsia="zh-CN"/>
              </w:rPr>
              <w:t xml:space="preserve">2台</w:t>
            </w:r>
          </w:p>
        </w:tc>
      </w:tr>
      <w:tr>
        <w:tblPrEx>
          <w:tblW w:w="938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top w:w="0" w:type="dxa"/>
            <w:left w:w="108" w:type="dxa"/>
            <w:bottom w:w="0" w:type="dxa"/>
            <w:right w:w="108" w:type="dxa"/>
          </w:tblCellMar>
        </w:tblPrEx>
        <w:trPr>
          <w:trHeight w:val="507"/>
          <w:jc w:val="center"/>
        </w:trPr>
        <w:tc>
          <w:tcPr>
            <w:tcW w:w="894" w:type="dxa"/>
            <w:vAlign w:val="center"/>
          </w:tcPr>
          <w:p>
            <w:pPr>
              <w:widowControl/>
              <w:jc w:val="center"/>
              <w:rPr>
                <w:rFonts w:ascii="宋体" w:eastAsia="宋体" w:hAnsi="宋体" w:cs="宋体" w:hint="default"/>
                <w:bCs/>
                <w:color w:val="auto"/>
                <w:kern w:val="0"/>
                <w:sz w:val="24"/>
                <w:szCs w:val="24"/>
                <w:lang w:val="en-US" w:eastAsia="zh-CN"/>
              </w:rPr>
            </w:pPr>
            <w:r>
              <w:rPr>
                <w:rFonts w:ascii="宋体" w:hAnsi="宋体" w:cs="宋体" w:hint="eastAsia"/>
                <w:bCs/>
                <w:color w:val="auto"/>
                <w:kern w:val="0"/>
                <w:sz w:val="24"/>
                <w:szCs w:val="24"/>
                <w:lang w:val="en-US" w:eastAsia="zh-CN"/>
              </w:rPr>
              <w:t xml:space="preserve">6</w:t>
            </w:r>
          </w:p>
        </w:tc>
        <w:tc>
          <w:tcPr>
            <w:tcW w:w="798" w:type="dxa"/>
            <w:vAlign w:val="center"/>
          </w:tcPr>
          <w:p>
            <w:pPr>
              <w:widowControl/>
              <w:jc w:val="center"/>
              <w:rPr>
                <w:rFonts w:ascii="宋体" w:eastAsia="宋体" w:hAnsi="宋体" w:cs="宋体" w:hint="eastAsia"/>
                <w:color w:val="auto"/>
                <w:kern w:val="0"/>
                <w:sz w:val="24"/>
                <w:szCs w:val="24"/>
                <w:lang w:val="en-US" w:eastAsia="zh-CN"/>
              </w:rPr>
            </w:pPr>
            <w:r>
              <w:rPr>
                <w:rFonts w:ascii="宋体" w:eastAsia="宋体" w:hAnsi="宋体" w:cs="宋体" w:hint="eastAsia"/>
                <w:color w:val="auto"/>
                <w:kern w:val="0"/>
                <w:sz w:val="24"/>
                <w:szCs w:val="24"/>
                <w:lang w:val="en-US" w:eastAsia="zh-CN"/>
              </w:rPr>
              <w:t xml:space="preserve">实训操作桌</w:t>
            </w:r>
          </w:p>
        </w:tc>
        <w:tc>
          <w:tcPr>
            <w:tcW w:w="6874" w:type="dxa"/>
            <w:vAlign w:val="center"/>
          </w:tcPr>
          <w:p>
            <w:pPr>
              <w:pStyle w:val="BodyTextFirstIndent"/>
              <w:numPr>
                <w:ilvl w:val="0"/>
                <w:numId w:val="0"/>
              </w:numPr>
              <w:ind w:leftChars="0"/>
              <w:rPr>
                <w:rFonts w:ascii="宋体" w:eastAsia="宋体" w:hAnsi="宋体" w:cs="宋体" w:hint="default"/>
                <w:color w:val="auto"/>
                <w:kern w:val="0"/>
                <w:sz w:val="24"/>
                <w:szCs w:val="24"/>
                <w:lang w:val="en-US" w:eastAsia="zh-CN"/>
              </w:rPr>
            </w:pPr>
            <w:r>
              <w:rPr>
                <w:rFonts w:ascii="宋体" w:eastAsia="宋体" w:hAnsi="宋体" w:cs="宋体" w:hint="eastAsia"/>
                <w:color w:val="auto"/>
                <w:kern w:val="0"/>
                <w:sz w:val="24"/>
                <w:szCs w:val="24"/>
                <w:lang w:val="en-US" w:eastAsia="zh-CN"/>
              </w:rPr>
              <w:t xml:space="preserve">桌≧2400*1200*780</w:t>
            </w:r>
            <w:r>
              <w:rPr>
                <w:rFonts w:ascii="宋体" w:hAnsi="宋体" w:cs="宋体" w:hint="eastAsia"/>
                <w:color w:val="auto"/>
                <w:kern w:val="0"/>
                <w:sz w:val="24"/>
                <w:szCs w:val="24"/>
                <w:lang w:val="en-US" w:eastAsia="zh-CN"/>
              </w:rPr>
              <w:t xml:space="preserve">mm</w:t>
            </w:r>
            <w:r>
              <w:rPr>
                <w:rFonts w:ascii="宋体" w:eastAsia="宋体" w:hAnsi="宋体" w:cs="宋体" w:hint="eastAsia"/>
                <w:color w:val="auto"/>
                <w:kern w:val="0"/>
                <w:sz w:val="24"/>
                <w:szCs w:val="24"/>
                <w:lang w:val="en-US" w:eastAsia="zh-CN"/>
              </w:rPr>
              <w:t xml:space="preserve">，不锈钢面板壁厚≧1mm，面板有木工板支撑。配不锈钢面板长凳子，尺寸≧1400*200*350</w:t>
            </w:r>
            <w:r>
              <w:rPr>
                <w:rFonts w:ascii="宋体" w:hAnsi="宋体" w:cs="宋体" w:hint="eastAsia"/>
                <w:color w:val="auto"/>
                <w:kern w:val="0"/>
                <w:sz w:val="24"/>
                <w:szCs w:val="24"/>
                <w:lang w:val="en-US" w:eastAsia="zh-CN"/>
              </w:rPr>
              <w:t xml:space="preserve">mm</w:t>
            </w:r>
          </w:p>
          <w:p>
            <w:pPr>
              <w:pStyle w:val="BodyTextFirstIndent"/>
              <w:numPr>
                <w:ilvl w:val="0"/>
                <w:numId w:val="0"/>
              </w:numPr>
              <w:ind w:leftChars="0"/>
              <w:rPr>
                <w:rFonts w:ascii="宋体" w:eastAsia="宋体" w:hAnsi="宋体" w:asciiTheme="minorEastAsia" w:eastAsiaTheme="minorEastAsia" w:hAnsiTheme="minorEastAsia" w:cs="Arial" w:cstheme="minorEastAsia" w:hint="default"/>
                <w:color w:val="auto"/>
                <w:sz w:val="24"/>
                <w:szCs w:val="24"/>
                <w:lang w:val="en-US" w:eastAsia="zh-CN"/>
              </w:rPr>
            </w:pPr>
            <w:r>
              <w:rPr>
                <w:rFonts w:ascii="宋体" w:eastAsia="宋体" w:hAnsi="宋体" w:asciiTheme="minorEastAsia" w:eastAsiaTheme="minorEastAsia" w:hAnsiTheme="minorEastAsia" w:cs="Arial" w:cstheme="minorEastAsia" w:hint="eastAsia"/>
                <w:color w:val="000000" w:themeColor="text1"/>
                <w:kern w:val="0"/>
                <w:sz w:val="24"/>
                <w:szCs w:val="24"/>
                <w:lang w:val="en-US" w:eastAsia="zh-CN"/>
                <w14:textFill>
                  <w14:solidFill>
                    <w14:schemeClr w14:val="tx1"/>
                  </w14:solidFill>
                </w14:textFill>
              </w:rPr>
              <w:t xml:space="preserve">▲</w:t>
            </w:r>
            <w:r>
              <w:rPr>
                <w:rFonts w:ascii="宋体" w:eastAsia="宋体" w:hAnsi="宋体" w:asciiTheme="minorEastAsia" w:eastAsiaTheme="minorEastAsia" w:hAnsiTheme="minorEastAsia" w:cs="Arial" w:cstheme="minorEastAsia" w:hint="eastAsia"/>
                <w:color w:val="auto"/>
                <w:sz w:val="24"/>
                <w:szCs w:val="24"/>
                <w:lang w:val="en-US" w:eastAsia="zh-CN"/>
              </w:rPr>
              <w:t xml:space="preserve">1</w:t>
            </w:r>
            <w:r>
              <w:rPr>
                <w:rFonts w:ascii="宋体" w:eastAsia="宋体" w:hAnsi="宋体" w:asciiTheme="minorEastAsia" w:eastAsiaTheme="minorEastAsia" w:hAnsiTheme="minorEastAsia" w:cs="Arial" w:cstheme="minorEastAsia" w:hint="default"/>
                <w:color w:val="auto"/>
                <w:sz w:val="24"/>
                <w:szCs w:val="24"/>
                <w:lang w:val="en-US" w:eastAsia="zh-CN"/>
              </w:rPr>
              <w:t xml:space="preserve">、为保障产品的使用安全性，生产厂家所使用的木板：所含铅、镉、汞、六价铬、多溴联苯等符合GB/T26572-2011标准（投标文件中提供第三方有权机构出具的封面有“CMA”或“CNAS”标识的检测报告扫描件）</w:t>
            </w:r>
            <w:r>
              <w:rPr>
                <w:rFonts w:ascii="宋体" w:eastAsia="宋体" w:hAnsi="宋体" w:asciiTheme="minorEastAsia" w:eastAsiaTheme="minorEastAsia" w:hAnsiTheme="minorEastAsia" w:cs="Arial" w:cstheme="minorEastAsia" w:hint="eastAsia"/>
                <w:color w:val="auto"/>
                <w:sz w:val="24"/>
                <w:szCs w:val="24"/>
                <w:lang w:val="en-US" w:eastAsia="zh-CN"/>
              </w:rPr>
              <w:t xml:space="preserve">。</w:t>
            </w:r>
            <w:r>
              <w:rPr>
                <w:rFonts w:ascii="宋体" w:eastAsia="宋体" w:hAnsi="宋体" w:asciiTheme="minorEastAsia" w:eastAsiaTheme="minorEastAsia" w:hAnsiTheme="minorEastAsia" w:cs="Arial" w:cstheme="minorEastAsia" w:hint="default"/>
                <w:color w:val="auto"/>
                <w:sz w:val="24"/>
                <w:szCs w:val="24"/>
                <w:lang w:val="en-US" w:eastAsia="zh-CN"/>
              </w:rPr>
              <w:t xml:space="preserve">              </w:t>
            </w:r>
          </w:p>
          <w:p>
            <w:pPr>
              <w:pStyle w:val="BodyTextFirstIndent"/>
              <w:numPr>
                <w:ilvl w:val="0"/>
                <w:numId w:val="0"/>
              </w:numPr>
              <w:ind w:leftChars="0"/>
              <w:rPr>
                <w:rFonts w:ascii="宋体" w:eastAsia="宋体" w:hAnsi="宋体" w:cs="宋体" w:hint="eastAsia"/>
                <w:color w:val="auto"/>
                <w:kern w:val="0"/>
                <w:sz w:val="24"/>
                <w:szCs w:val="24"/>
                <w:lang w:val="en-US" w:eastAsia="zh-CN"/>
              </w:rPr>
            </w:pPr>
            <w:r>
              <w:rPr>
                <w:rFonts w:ascii="宋体" w:eastAsia="宋体" w:hAnsi="宋体" w:asciiTheme="minorEastAsia" w:eastAsiaTheme="minorEastAsia" w:hAnsiTheme="minorEastAsia" w:cs="Arial" w:cstheme="minorEastAsia" w:hint="eastAsia"/>
                <w:color w:val="000000" w:themeColor="text1"/>
                <w:kern w:val="0"/>
                <w:sz w:val="24"/>
                <w:szCs w:val="24"/>
                <w:lang w:val="en-US" w:eastAsia="zh-CN"/>
                <w14:textFill>
                  <w14:solidFill>
                    <w14:schemeClr w14:val="tx1"/>
                  </w14:solidFill>
                </w14:textFill>
              </w:rPr>
              <w:t xml:space="preserve">▲</w:t>
            </w:r>
            <w:r>
              <w:rPr>
                <w:rFonts w:ascii="宋体" w:eastAsia="宋体" w:hAnsi="宋体" w:asciiTheme="minorEastAsia" w:eastAsiaTheme="minorEastAsia" w:hAnsiTheme="minorEastAsia" w:cs="Arial" w:cstheme="minorEastAsia" w:hint="eastAsia"/>
                <w:color w:val="auto"/>
                <w:sz w:val="24"/>
                <w:szCs w:val="24"/>
                <w:lang w:val="en-US" w:eastAsia="zh-CN"/>
              </w:rPr>
              <w:t xml:space="preserve">2</w:t>
            </w:r>
            <w:r>
              <w:rPr>
                <w:rFonts w:ascii="宋体" w:eastAsia="宋体" w:hAnsi="宋体" w:asciiTheme="minorEastAsia" w:eastAsiaTheme="minorEastAsia" w:hAnsiTheme="minorEastAsia" w:cs="Arial" w:cstheme="minorEastAsia" w:hint="default"/>
                <w:color w:val="auto"/>
                <w:sz w:val="24"/>
                <w:szCs w:val="24"/>
                <w:lang w:val="en-US" w:eastAsia="zh-CN"/>
              </w:rPr>
              <w:t xml:space="preserve">、为保障产品的使用安全性和耐久性，生产厂家所使用的冷轧钢架：所含铅、镉、汞、六价铬、多溴联苯等符合GB/T26572-2011标准（投标文件中提供第三方有权机构出具的封面有“CMA”或“CNAS”标识的检测报告扫描件）</w:t>
            </w:r>
            <w:r>
              <w:rPr>
                <w:rFonts w:ascii="宋体" w:eastAsia="宋体" w:hAnsi="宋体" w:asciiTheme="minorEastAsia" w:eastAsiaTheme="minorEastAsia" w:hAnsiTheme="minorEastAsia" w:cs="Arial" w:cstheme="minorEastAsia" w:hint="eastAsia"/>
                <w:color w:val="auto"/>
                <w:sz w:val="24"/>
                <w:szCs w:val="24"/>
                <w:lang w:val="en-US" w:eastAsia="zh-CN"/>
              </w:rPr>
              <w:t xml:space="preserve">。</w:t>
            </w:r>
          </w:p>
        </w:tc>
        <w:tc>
          <w:tcPr>
            <w:tcW w:w="822" w:type="dxa"/>
            <w:vAlign w:val="center"/>
          </w:tcPr>
          <w:p>
            <w:pPr>
              <w:widowControl/>
              <w:jc w:val="center"/>
              <w:rPr>
                <w:rFonts w:ascii="宋体" w:eastAsia="宋体" w:hAnsi="宋体" w:cs="宋体" w:hint="eastAsia"/>
                <w:bCs/>
                <w:color w:val="auto"/>
                <w:kern w:val="0"/>
                <w:sz w:val="24"/>
                <w:szCs w:val="24"/>
                <w:lang w:val="en-US" w:eastAsia="zh-CN"/>
              </w:rPr>
            </w:pPr>
            <w:r>
              <w:rPr>
                <w:rFonts w:ascii="宋体" w:eastAsia="宋体" w:hAnsi="宋体" w:cs="宋体" w:hint="eastAsia"/>
                <w:bCs/>
                <w:color w:val="auto"/>
                <w:kern w:val="0"/>
                <w:sz w:val="24"/>
                <w:szCs w:val="24"/>
                <w:lang w:val="en-US" w:eastAsia="zh-CN"/>
              </w:rPr>
              <w:t xml:space="preserve">10</w:t>
            </w:r>
            <w:r>
              <w:rPr>
                <w:rFonts w:ascii="宋体" w:hAnsi="宋体" w:cs="宋体" w:hint="eastAsia"/>
                <w:bCs/>
                <w:color w:val="auto"/>
                <w:kern w:val="0"/>
                <w:sz w:val="24"/>
                <w:szCs w:val="24"/>
                <w:lang w:val="en-US" w:eastAsia="zh-CN"/>
              </w:rPr>
              <w:t xml:space="preserve">套</w:t>
            </w:r>
          </w:p>
        </w:tc>
      </w:tr>
    </w:tbl>
    <w:p>
      <w:pPr>
        <w:pStyle w:val="PlainText"/>
        <w:outlineLvl w:val="0"/>
        <w:rPr>
          <w:b/>
          <w:bCs/>
          <w:sz w:val="36"/>
          <w:szCs w:val="36"/>
        </w:rPr>
      </w:pPr>
    </w:p>
    <w:p>
      <w:pPr>
        <w:pStyle w:val="PlainText"/>
        <w:outlineLvl w:val="0"/>
        <w:rPr>
          <w:b/>
          <w:bCs/>
          <w:sz w:val="36"/>
          <w:szCs w:val="36"/>
        </w:rPr>
      </w:pPr>
    </w:p>
    <w:p>
      <w:pPr>
        <w:pStyle w:val="PlainText"/>
        <w:jc w:val="center"/>
        <w:outlineLvl w:val="0"/>
        <w:rPr>
          <w:rFonts w:hAnsi="宋体" w:cs="宋体"/>
          <w:b/>
          <w:bCs/>
          <w:sz w:val="52"/>
        </w:rPr>
      </w:pPr>
      <w:r>
        <w:rPr>
          <w:rFonts w:hAnsi="宋体" w:cs="宋体" w:hint="eastAsia"/>
          <w:b/>
          <w:bCs/>
          <w:sz w:val="52"/>
        </w:rPr>
        <w:t xml:space="preserve">第二章 投标文件</w:t>
      </w:r>
    </w:p>
    <w:p>
      <w:pPr>
        <w:pStyle w:val="PlainText"/>
        <w:spacing w:line="400" w:lineRule="exact"/>
        <w:rPr>
          <w:rFonts w:hAnsi="宋体" w:cs="宋体"/>
          <w:b/>
          <w:bCs/>
          <w:sz w:val="52"/>
        </w:rPr>
      </w:pPr>
    </w:p>
    <w:p>
      <w:pPr>
        <w:pStyle w:val="PlainText"/>
        <w:spacing w:line="400" w:lineRule="exact"/>
        <w:rPr>
          <w:rFonts w:hAnsi="宋体" w:cs="宋体"/>
          <w:b/>
          <w:bCs/>
          <w:sz w:val="52"/>
        </w:rPr>
      </w:pPr>
    </w:p>
    <w:p>
      <w:pPr>
        <w:jc w:val="center"/>
        <w:outlineLvl w:val="0"/>
        <w:rPr>
          <w:rFonts w:ascii="宋体" w:hAnsi="宋体" w:cs="宋体"/>
          <w:b/>
          <w:sz w:val="72"/>
        </w:rPr>
      </w:pPr>
      <w:r>
        <w:rPr>
          <w:rFonts w:ascii="宋体" w:hAnsi="宋体" w:cs="宋体" w:hint="eastAsia"/>
          <w:b/>
          <w:sz w:val="72"/>
        </w:rPr>
        <w:t xml:space="preserve">投  标  文  件</w:t>
      </w:r>
    </w:p>
    <w:p>
      <w:pPr>
        <w:spacing w:line="400" w:lineRule="exact"/>
        <w:jc w:val="center"/>
        <w:rPr>
          <w:rFonts w:ascii="宋体" w:hAnsi="宋体" w:cs="宋体"/>
          <w:b/>
          <w:sz w:val="72"/>
        </w:rPr>
      </w:pPr>
    </w:p>
    <w:p>
      <w:pPr>
        <w:pStyle w:val="BodyTextFirstIndent2"/>
        <w:spacing w:line="400" w:lineRule="exact"/>
        <w:ind w:left="0" w:firstLine="0" w:leftChars="0" w:firstLineChars="0"/>
        <w:rPr>
          <w:rFonts w:ascii="宋体" w:eastAsia="宋体" w:hAnsi="宋体" w:cs="宋体"/>
          <w:color w:val="auto"/>
        </w:rPr>
      </w:pPr>
      <w:r>
        <w:rPr>
          <w:rFonts w:ascii="宋体" w:eastAsia="宋体" w:hAnsi="宋体" w:cs="宋体" w:hint="eastAsia"/>
          <w:color w:val="auto"/>
        </w:rPr>
        <w:t xml:space="preserve">      </w:t>
      </w:r>
    </w:p>
    <w:p>
      <w:pPr>
        <w:pStyle w:val="BodyTextFirstIndent2"/>
        <w:spacing w:line="400" w:lineRule="exact"/>
        <w:ind w:left="0" w:firstLine="0" w:leftChars="0" w:firstLineChars="0"/>
        <w:rPr>
          <w:rFonts w:ascii="宋体" w:eastAsia="宋体" w:hAnsi="宋体" w:cs="宋体"/>
          <w:color w:val="auto"/>
        </w:rPr>
      </w:pPr>
    </w:p>
    <w:p>
      <w:pPr>
        <w:pStyle w:val="BodyTextFirstIndent2"/>
        <w:spacing w:line="400" w:lineRule="exact"/>
        <w:ind w:left="0" w:firstLine="0" w:leftChars="0" w:firstLineChars="0"/>
        <w:rPr>
          <w:rFonts w:ascii="宋体" w:eastAsia="宋体" w:hAnsi="宋体" w:cs="宋体"/>
          <w:color w:val="auto"/>
        </w:rPr>
      </w:pPr>
    </w:p>
    <w:p>
      <w:pPr>
        <w:spacing w:line="400" w:lineRule="exact"/>
        <w:jc w:val="center"/>
        <w:rPr>
          <w:rFonts w:ascii="宋体" w:hAnsi="宋体" w:cs="宋体"/>
          <w:b/>
          <w:sz w:val="36"/>
        </w:rPr>
      </w:pPr>
    </w:p>
    <w:p>
      <w:pPr>
        <w:pStyle w:val="BodyText"/>
      </w:pPr>
    </w:p>
    <w:p>
      <w:pPr>
        <w:pStyle w:val="BodyText2"/>
      </w:pPr>
    </w:p>
    <w:p>
      <w:pPr>
        <w:spacing w:line="480" w:lineRule="auto"/>
        <w:ind w:firstLine="1080" w:firstLineChars="300"/>
        <w:outlineLvl w:val="0"/>
        <w:rPr>
          <w:rFonts w:ascii="宋体" w:hAnsi="宋体" w:cs="宋体"/>
          <w:b/>
          <w:sz w:val="36"/>
        </w:rPr>
      </w:pPr>
      <w:r>
        <w:rPr>
          <w:rFonts w:ascii="宋体" w:hAnsi="宋体" w:cs="宋体" w:hint="eastAsia"/>
          <w:b/>
          <w:sz w:val="36"/>
        </w:rPr>
        <w:t xml:space="preserve">项 目 名 称:</w:t>
      </w:r>
      <w:r>
        <w:rPr>
          <w:rFonts w:ascii="宋体" w:hAnsi="宋体" w:cs="宋体" w:hint="eastAsia"/>
          <w:b/>
          <w:sz w:val="36"/>
          <w:u w:val="single"/>
        </w:rPr>
        <w:t xml:space="preserve">               </w:t>
      </w:r>
    </w:p>
    <w:p>
      <w:pPr>
        <w:spacing w:line="480" w:lineRule="auto"/>
        <w:ind w:firstLine="1080" w:firstLineChars="300"/>
        <w:outlineLvl w:val="0"/>
        <w:rPr>
          <w:rFonts w:ascii="宋体" w:hAnsi="宋体" w:cs="宋体"/>
          <w:b/>
          <w:sz w:val="36"/>
          <w:u w:val="single"/>
        </w:rPr>
      </w:pPr>
      <w:r>
        <w:rPr>
          <w:rFonts w:ascii="宋体" w:hAnsi="宋体" w:cs="宋体" w:hint="eastAsia"/>
          <w:b/>
          <w:sz w:val="36"/>
        </w:rPr>
        <w:t xml:space="preserve">招 标 编 号:</w:t>
      </w:r>
      <w:r>
        <w:rPr>
          <w:rFonts w:ascii="宋体" w:hAnsi="宋体" w:cs="宋体" w:hint="eastAsia"/>
          <w:b/>
          <w:sz w:val="36"/>
          <w:u w:val="single"/>
        </w:rPr>
        <w:t xml:space="preserve">               </w:t>
      </w:r>
    </w:p>
    <w:p>
      <w:pPr>
        <w:spacing w:line="480" w:lineRule="auto"/>
        <w:outlineLvl w:val="0"/>
        <w:rPr>
          <w:rFonts w:ascii="宋体" w:hAnsi="宋体" w:cs="宋体"/>
          <w:b/>
          <w:sz w:val="36"/>
          <w:u w:val="single"/>
        </w:rPr>
      </w:pPr>
      <w:r>
        <w:rPr>
          <w:rFonts w:ascii="宋体" w:hAnsi="宋体" w:cs="宋体" w:hint="eastAsia"/>
          <w:b/>
          <w:sz w:val="36"/>
        </w:rPr>
        <w:t xml:space="preserve">      投标人名称 :</w:t>
      </w:r>
      <w:r>
        <w:rPr>
          <w:rFonts w:ascii="宋体" w:hAnsi="宋体" w:cs="宋体" w:hint="eastAsia"/>
          <w:b/>
          <w:sz w:val="36"/>
          <w:u w:val="single"/>
        </w:rPr>
        <w:t xml:space="preserve">               </w:t>
      </w:r>
    </w:p>
    <w:p>
      <w:pPr>
        <w:spacing w:line="480" w:lineRule="auto"/>
        <w:outlineLvl w:val="0"/>
        <w:rPr>
          <w:rFonts w:ascii="宋体" w:hAnsi="宋体" w:cs="宋体"/>
          <w:b/>
          <w:sz w:val="36"/>
        </w:rPr>
      </w:pPr>
      <w:r>
        <w:rPr>
          <w:rFonts w:ascii="宋体" w:hAnsi="宋体" w:cs="宋体" w:hint="eastAsia"/>
          <w:b/>
          <w:sz w:val="36"/>
        </w:rPr>
        <w:t xml:space="preserve">      日      期 :</w:t>
      </w:r>
      <w:r>
        <w:rPr>
          <w:rFonts w:ascii="宋体" w:hAnsi="宋体" w:cs="宋体" w:hint="eastAsia"/>
          <w:b/>
          <w:sz w:val="36"/>
          <w:u w:val="single"/>
        </w:rPr>
        <w:t xml:space="preserve">               </w:t>
      </w:r>
    </w:p>
    <w:p>
      <w:pPr>
        <w:pStyle w:val="BodyText"/>
      </w:pPr>
    </w:p>
    <w:p>
      <w:pPr>
        <w:pStyle w:val="BodyText"/>
      </w:pPr>
    </w:p>
    <w:p>
      <w:pPr>
        <w:pStyle w:val="BodyText"/>
        <w:spacing w:before="40" w:line="400" w:lineRule="exact"/>
        <w:rPr>
          <w:rFonts w:ascii="宋体" w:eastAsia="宋体" w:cs="宋体"/>
          <w:color w:val="auto"/>
        </w:rPr>
      </w:pPr>
      <w:r>
        <w:rPr>
          <w:rFonts w:ascii="宋体" w:eastAsia="宋体" w:cs="宋体" w:hint="eastAsia"/>
          <w:color w:val="auto"/>
        </w:rPr>
        <w:t xml:space="preserve">尊敬的供应商:</w:t>
      </w:r>
    </w:p>
    <w:p>
      <w:pPr>
        <w:pStyle w:val="BodyText"/>
        <w:spacing w:before="246" w:line="400" w:lineRule="exact"/>
        <w:ind w:right="949" w:firstLine="560" w:firstLineChars="200"/>
        <w:rPr>
          <w:rFonts w:ascii="宋体" w:eastAsia="宋体" w:cs="宋体"/>
          <w:color w:val="auto"/>
        </w:rPr>
      </w:pPr>
      <w:r>
        <w:rPr>
          <w:rFonts w:ascii="宋体" w:eastAsia="宋体" w:cs="宋体" w:hint="eastAsia"/>
          <w:color w:val="auto"/>
          <w:spacing w:val="-13"/>
        </w:rPr>
        <w:t xml:space="preserve">请按照以下文件的格式要求、内容、顺序制作投标文件，并请编制目录</w:t>
      </w:r>
      <w:r>
        <w:rPr>
          <w:rFonts w:ascii="宋体" w:eastAsia="宋体" w:cs="宋体" w:hint="eastAsia"/>
          <w:color w:val="auto"/>
          <w:spacing w:val="-5"/>
        </w:rPr>
        <w:t xml:space="preserve">及页码，否则可能将影响对投标文件的评价。</w:t>
      </w:r>
    </w:p>
    <w:p>
      <w:pPr>
        <w:pStyle w:val="Heading4"/>
        <w:spacing w:before="2" w:line="400" w:lineRule="exact"/>
        <w:ind w:right="815" w:firstLine="560" w:firstLineChars="200"/>
        <w:rPr>
          <w:rFonts w:hAnsi="宋体" w:cs="宋体" w:hint="eastAsia"/>
          <w:b/>
          <w:sz w:val="32"/>
        </w:rPr>
      </w:pPr>
      <w:bookmarkStart w:id="40" w:name="投标文件格式中所有要求签字和盖章的部分，电子投标文件中只需加盖电子签章。"/>
      <w:bookmarkEnd w:id="40"/>
      <w:r>
        <w:rPr>
          <w:rFonts w:ascii="宋体" w:eastAsia="宋体" w:hAnsi="宋体" w:cs="宋体" w:hint="eastAsia"/>
          <w:spacing w:val="-5"/>
        </w:rPr>
        <w:t xml:space="preserve">投标文件格式中所有要求签字和盖章的部分，电子投标文件中只需加盖电子签章。</w:t>
      </w:r>
    </w:p>
    <w:p>
      <w:pPr>
        <w:pStyle w:val="PlainText"/>
        <w:ind w:firstLine="3200" w:firstLineChars="1000"/>
        <w:outlineLvl w:val="0"/>
        <w:rPr>
          <w:rFonts w:hAnsi="宋体" w:cs="宋体" w:hint="eastAsia"/>
          <w:b/>
          <w:sz w:val="32"/>
        </w:rPr>
      </w:pPr>
    </w:p>
    <w:p>
      <w:pPr>
        <w:pStyle w:val="PlainText"/>
        <w:ind w:firstLine="3200" w:firstLineChars="1000"/>
        <w:outlineLvl w:val="0"/>
        <w:rPr>
          <w:rFonts w:hAnsi="宋体" w:cs="宋体"/>
          <w:b/>
          <w:sz w:val="32"/>
        </w:rPr>
      </w:pPr>
      <w:r>
        <w:rPr>
          <w:rFonts w:hAnsi="宋体" w:cs="宋体" w:hint="eastAsia"/>
          <w:b/>
          <w:sz w:val="32"/>
        </w:rPr>
        <w:t xml:space="preserve">一、投标函格式</w:t>
      </w:r>
    </w:p>
    <w:p>
      <w:pPr>
        <w:pStyle w:val="PlainText"/>
        <w:spacing w:line="420" w:lineRule="exact"/>
        <w:ind w:firstLine="560" w:firstLineChars="200"/>
        <w:rPr>
          <w:rFonts w:eastAsia="宋体" w:hAnsi="宋体" w:cs="宋体" w:hint="default"/>
          <w:sz w:val="28"/>
          <w:szCs w:val="24"/>
          <w:u w:val="single"/>
          <w:lang w:val="en-US" w:eastAsia="zh-CN"/>
        </w:rPr>
      </w:pPr>
      <w:r>
        <w:rPr>
          <w:rFonts w:hAnsi="宋体" w:cs="宋体" w:hint="eastAsia"/>
          <w:sz w:val="28"/>
          <w:szCs w:val="24"/>
        </w:rPr>
        <w:t xml:space="preserve">致:</w:t>
      </w:r>
      <w:r>
        <w:rPr>
          <w:rFonts w:hAnsi="宋体" w:cs="宋体" w:hint="eastAsia"/>
          <w:sz w:val="28"/>
          <w:szCs w:val="24"/>
          <w:lang w:val="en-US" w:eastAsia="zh-CN"/>
        </w:rPr>
        <w:t xml:space="preserve"> </w:t>
      </w:r>
      <w:r>
        <w:rPr>
          <w:rFonts w:ascii="宋体" w:hAnsi="宋体" w:cs="宋体" w:hint="eastAsia"/>
          <w:sz w:val="28"/>
          <w:szCs w:val="28"/>
          <w:u w:val="single"/>
          <w:lang w:val="en-US" w:eastAsia="zh-CN"/>
        </w:rPr>
        <w:t xml:space="preserve">    </w:t>
      </w:r>
      <w:r>
        <w:rPr>
          <w:rFonts w:hAnsi="宋体" w:cs="宋体" w:hint="eastAsia"/>
          <w:sz w:val="28"/>
          <w:szCs w:val="24"/>
          <w:u w:val="single"/>
          <w:lang w:val="en-US" w:eastAsia="zh-CN"/>
        </w:rPr>
        <w:t xml:space="preserve">                          </w:t>
      </w:r>
    </w:p>
    <w:p>
      <w:pPr>
        <w:tabs>
          <w:tab w:val="left" w:pos="900"/>
        </w:tabs>
        <w:spacing w:line="420" w:lineRule="exact"/>
        <w:ind w:firstLine="560" w:firstLineChars="200"/>
        <w:rPr>
          <w:rFonts w:ascii="宋体" w:hAnsi="宋体" w:cs="宋体"/>
          <w:sz w:val="28"/>
        </w:rPr>
      </w:pPr>
      <w:r>
        <w:rPr>
          <w:rFonts w:ascii="宋体" w:hAnsi="宋体" w:cs="宋体" w:hint="eastAsia"/>
          <w:sz w:val="28"/>
        </w:rPr>
        <w:t xml:space="preserve">关于</w:t>
      </w:r>
      <w:r>
        <w:rPr>
          <w:rFonts w:ascii="宋体" w:hAnsi="宋体" w:cs="宋体" w:hint="eastAsia"/>
          <w:sz w:val="28"/>
          <w:szCs w:val="28"/>
          <w:u w:val="single"/>
          <w:lang w:val="en-US" w:eastAsia="zh-CN"/>
        </w:rPr>
        <w:t xml:space="preserve">              </w:t>
      </w:r>
      <w:r>
        <w:rPr>
          <w:rFonts w:ascii="宋体" w:hAnsi="宋体" w:cs="宋体" w:hint="eastAsia"/>
          <w:sz w:val="28"/>
          <w:szCs w:val="28"/>
        </w:rPr>
        <w:t xml:space="preserve">（编号:</w:t>
      </w:r>
      <w:r>
        <w:rPr>
          <w:rFonts w:ascii="Arial" w:hAnsi="Arial" w:cs="Arial"/>
          <w:color w:val="5C5C5C"/>
          <w:szCs w:val="21"/>
        </w:rPr>
        <w:t xml:space="preserve"> </w:t>
      </w:r>
      <w:r>
        <w:rPr>
          <w:rFonts w:hAnsi="宋体" w:cs="宋体" w:hint="eastAsia"/>
          <w:color w:val="FF0000"/>
          <w:sz w:val="28"/>
          <w:szCs w:val="28"/>
          <w:u w:val="single"/>
          <w:lang w:val="en-US" w:eastAsia="zh-CN"/>
        </w:rPr>
        <w:t xml:space="preserve">         </w:t>
      </w:r>
      <w:r>
        <w:rPr>
          <w:rFonts w:ascii="宋体" w:hAnsi="宋体" w:cs="宋体" w:hint="eastAsia"/>
          <w:sz w:val="28"/>
          <w:szCs w:val="28"/>
        </w:rPr>
        <w:t xml:space="preserve">招标文件，同时正</w:t>
      </w:r>
      <w:r>
        <w:rPr>
          <w:rFonts w:ascii="宋体" w:hAnsi="宋体" w:cs="宋体" w:hint="eastAsia"/>
          <w:sz w:val="28"/>
        </w:rPr>
        <w:t xml:space="preserve">式授权下述签字人</w:t>
      </w:r>
      <w:r>
        <w:rPr>
          <w:rFonts w:ascii="宋体" w:hAnsi="宋体" w:cs="宋体" w:hint="eastAsia"/>
          <w:sz w:val="28"/>
          <w:u w:val="single"/>
        </w:rPr>
        <w:t xml:space="preserve">       </w:t>
      </w:r>
      <w:r>
        <w:rPr>
          <w:rFonts w:ascii="宋体" w:hAnsi="宋体" w:cs="宋体" w:hint="eastAsia"/>
          <w:sz w:val="28"/>
        </w:rPr>
        <w:t xml:space="preserve">（姓名和职务）代表投标人</w:t>
      </w:r>
      <w:r>
        <w:rPr>
          <w:rFonts w:ascii="宋体" w:hAnsi="宋体" w:cs="宋体" w:hint="eastAsia"/>
          <w:sz w:val="28"/>
          <w:u w:val="single"/>
        </w:rPr>
        <w:t xml:space="preserve">     </w:t>
      </w:r>
      <w:r>
        <w:rPr>
          <w:rFonts w:ascii="宋体" w:hAnsi="宋体" w:cs="宋体" w:hint="eastAsia"/>
          <w:sz w:val="28"/>
        </w:rPr>
        <w:t xml:space="preserve">（投标人名称），全权处理本次项目投标的有关事宜。</w:t>
      </w:r>
    </w:p>
    <w:p>
      <w:pPr>
        <w:pStyle w:val="PlainText"/>
        <w:spacing w:line="420" w:lineRule="exact"/>
        <w:ind w:firstLine="560" w:firstLineChars="200"/>
        <w:rPr>
          <w:rFonts w:hAnsi="宋体" w:cs="宋体"/>
          <w:sz w:val="28"/>
          <w:szCs w:val="24"/>
        </w:rPr>
      </w:pPr>
      <w:r>
        <w:rPr>
          <w:rFonts w:hAnsi="宋体" w:cs="宋体" w:hint="eastAsia"/>
          <w:sz w:val="28"/>
          <w:szCs w:val="24"/>
        </w:rPr>
        <w:t xml:space="preserve"> （1）按照招标文件规定的各项要求，我方愿以总报价为（大写、人民币）</w:t>
      </w:r>
      <w:r>
        <w:rPr>
          <w:rFonts w:hAnsi="宋体" w:cs="宋体" w:hint="eastAsia"/>
          <w:sz w:val="28"/>
          <w:szCs w:val="24"/>
          <w:u w:val="single"/>
        </w:rPr>
        <w:t xml:space="preserve">           </w:t>
      </w:r>
      <w:r>
        <w:rPr>
          <w:rFonts w:hAnsi="宋体" w:cs="宋体" w:hint="eastAsia"/>
          <w:sz w:val="28"/>
          <w:szCs w:val="24"/>
        </w:rPr>
        <w:t xml:space="preserve">（CNY ￥</w:t>
      </w:r>
      <w:r>
        <w:rPr>
          <w:rFonts w:hAnsi="宋体" w:cs="宋体" w:hint="eastAsia"/>
          <w:sz w:val="28"/>
          <w:szCs w:val="24"/>
          <w:u w:val="single"/>
        </w:rPr>
        <w:t xml:space="preserve">            </w:t>
      </w:r>
      <w:r>
        <w:rPr>
          <w:rFonts w:hAnsi="宋体" w:cs="宋体" w:hint="eastAsia"/>
          <w:sz w:val="28"/>
          <w:szCs w:val="24"/>
        </w:rPr>
        <w:t xml:space="preserve">元）</w:t>
      </w:r>
    </w:p>
    <w:p>
      <w:pPr>
        <w:pStyle w:val="PlainText"/>
        <w:spacing w:line="420" w:lineRule="exact"/>
        <w:ind w:firstLine="560" w:firstLineChars="200"/>
        <w:rPr>
          <w:rFonts w:hAnsi="宋体" w:cs="宋体"/>
          <w:sz w:val="28"/>
        </w:rPr>
      </w:pPr>
      <w:r>
        <w:rPr>
          <w:rFonts w:hAnsi="宋体" w:cs="宋体" w:hint="eastAsia"/>
          <w:sz w:val="28"/>
          <w:szCs w:val="24"/>
        </w:rPr>
        <w:t xml:space="preserve">的投标报价并按招标文件的规定要求提供所有货物及服务</w:t>
      </w:r>
      <w:r>
        <w:rPr>
          <w:rFonts w:hAnsi="宋体" w:cs="宋体" w:hint="eastAsia"/>
          <w:sz w:val="28"/>
        </w:rPr>
        <w:t xml:space="preserve">。</w:t>
      </w:r>
    </w:p>
    <w:p>
      <w:pPr>
        <w:pStyle w:val="PlainText"/>
        <w:spacing w:line="420" w:lineRule="exact"/>
        <w:ind w:firstLine="560" w:firstLineChars="200"/>
        <w:rPr>
          <w:rFonts w:hAnsi="宋体" w:cs="宋体"/>
          <w:sz w:val="28"/>
          <w:szCs w:val="24"/>
        </w:rPr>
      </w:pPr>
      <w:r>
        <w:rPr>
          <w:rFonts w:hAnsi="宋体" w:cs="宋体" w:hint="eastAsia"/>
          <w:sz w:val="28"/>
          <w:szCs w:val="24"/>
        </w:rPr>
        <w:t xml:space="preserve">（2）我们完全理解贵方不一定要以最低报价确定中标。</w:t>
      </w:r>
    </w:p>
    <w:p>
      <w:pPr>
        <w:pStyle w:val="PlainText"/>
        <w:spacing w:line="420" w:lineRule="exact"/>
        <w:ind w:firstLine="560" w:firstLineChars="200"/>
        <w:rPr>
          <w:rFonts w:hAnsi="宋体" w:cs="宋体"/>
          <w:sz w:val="28"/>
          <w:szCs w:val="24"/>
        </w:rPr>
      </w:pPr>
      <w:r>
        <w:rPr>
          <w:rFonts w:hAnsi="宋体" w:cs="宋体" w:hint="eastAsia"/>
          <w:sz w:val="28"/>
          <w:szCs w:val="24"/>
        </w:rPr>
        <w:t xml:space="preserve">（3）我们已详细审核全部招标文件及其有效补充文件（如果有），我们知道必须放弃提出含糊不清或误解的问题的权利。</w:t>
      </w:r>
    </w:p>
    <w:p>
      <w:pPr>
        <w:pStyle w:val="PlainText"/>
        <w:spacing w:line="420" w:lineRule="exact"/>
        <w:ind w:firstLine="560" w:firstLineChars="200"/>
        <w:rPr>
          <w:rFonts w:hAnsi="宋体" w:cs="宋体"/>
          <w:sz w:val="28"/>
          <w:szCs w:val="24"/>
        </w:rPr>
      </w:pPr>
      <w:r>
        <w:rPr>
          <w:rFonts w:hAnsi="宋体" w:cs="宋体" w:hint="eastAsia"/>
          <w:sz w:val="28"/>
          <w:szCs w:val="24"/>
        </w:rPr>
        <w:t xml:space="preserve">（4）我们同意从规定的开标日期起遵循本投标文件，并在规定的投标有效期期满之前均具有约束力。</w:t>
      </w:r>
    </w:p>
    <w:p>
      <w:pPr>
        <w:pStyle w:val="PlainText"/>
        <w:spacing w:line="420" w:lineRule="exact"/>
        <w:ind w:firstLine="560" w:firstLineChars="200"/>
        <w:rPr>
          <w:rFonts w:hAnsi="宋体" w:cs="宋体"/>
          <w:sz w:val="28"/>
        </w:rPr>
      </w:pPr>
      <w:r>
        <w:rPr>
          <w:rFonts w:hAnsi="宋体" w:cs="宋体" w:hint="eastAsia"/>
          <w:sz w:val="28"/>
          <w:szCs w:val="24"/>
        </w:rPr>
        <w:t xml:space="preserve">（5）同意向贵方提供贵方可能要求的与投标有关的任何证据或</w:t>
      </w:r>
      <w:r>
        <w:rPr>
          <w:rFonts w:hAnsi="宋体" w:cs="宋体" w:hint="eastAsia"/>
          <w:sz w:val="28"/>
        </w:rPr>
        <w:t xml:space="preserve">资料。</w:t>
      </w:r>
    </w:p>
    <w:sectPr>
      <w:pgSz w:w="11907" w:h="16839"/>
      <w:pgMar w:top="400" w:right="1000" w:bottom="400" w:left="1000" w:header="720" w:footer="720" w:gutter="0"/>
      <w:pgBorders/>
    </w:sectPr>
  </w:body>
</w:document>
</file>

<file path=word/fontTable.xml><?xml version="1.0" encoding="utf-8"?>
<w:fonts xmlns:r="http://schemas.openxmlformats.org/officeDocument/2006/relationships" xmlns:w="http://schemas.openxmlformats.org/wordprocessingml/2006/main" xmlns:mc="http://schemas.openxmlformats.org/markup-compatibility/2006" xmlns:w14="http://schemas.microsoft.com/office/word/2010/wordml" xmlns:w15="http://schemas.microsoft.com/office/word/2012/wordml" mc:Ignorable="w14 w15">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roma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modern"/>
    <w:pitch w:val="default"/>
    <w:sig w:usb0="800002BF" w:usb1="38CF7CFA" w:usb2="00000016" w:usb3="00000000" w:csb0="00040001" w:csb1="00000000"/>
  </w:font>
  <w:font w:name="华文彩云">
    <w:panose1 w:val="02010800040101010101"/>
    <w:charset w:val="86"/>
    <w:family w:val="auto"/>
    <w:pitch w:val="default"/>
    <w:sig w:usb0="00000001" w:usb1="080F0000" w:usb2="00000000" w:usb3="00000000" w:csb0="00040000" w:csb1="00000000"/>
  </w:font>
  <w:font w:name="Verdana">
    <w:panose1 w:val="020B0604030504040204"/>
    <w:charset w:val="00"/>
    <w:family w:val="swiss"/>
    <w:pitch w:val="default"/>
    <w:sig w:usb0="A00006FF" w:usb1="4000205B" w:usb2="0000001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方正仿宋简体">
    <w:altName w:val="微软雅黑"/>
    <w:panose1 w:val="0201060103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华文宋体">
    <w:panose1 w:val="02010600040101010101"/>
    <w:charset w:val="86"/>
    <w:family w:val="auto"/>
    <w:pitch w:val="default"/>
    <w:sig w:usb0="00000287" w:usb1="080F0000" w:usb2="00000000" w:usb3="00000000" w:csb0="0004009F" w:csb1="DFD70000"/>
  </w:font>
  <w:font w:name="Arial Unicode MS">
    <w:altName w:val="宋体"/>
    <w:panose1 w:val="020B0604020202020204"/>
    <w:charset w:val="86"/>
    <w:family w:val="auto"/>
    <w:pitch w:val="default"/>
    <w:sig w:usb0="00000000" w:usb1="00000000" w:usb2="0000003F" w:usb3="00000000" w:csb0="603F01FF" w:csb1="FFFF0000"/>
  </w:font>
  <w:font w:name="Helv">
    <w:altName w:val="Segoe Print"/>
    <w:panose1 w:val="020B0604020202030204"/>
    <w:charset w:val="00"/>
    <w:family w:val="swiss"/>
    <w:pitch w:val="default"/>
    <w:sig w:usb0="00000000"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multilevel"/>
    <w:lvl w:ilvl="0">
      <w:start w:val="1"/>
      <w:numFmt w:val="decimal"/>
      <w:suff w:val="tab"/>
      <w:lvlText w:val="%1."/>
      <w:lvlJc w:val="left"/>
      <w:pPr>
        <w:ind w:left="720" w:hanging="360"/>
      </w:pPr>
      <w:rPr>
        <w:rFonts w:ascii="Times New Roman" w:eastAsia="Times New Roman" w:hAnsi="Times New Roman" w:cs="Times New Roman"/>
      </w:rPr>
    </w:lvl>
    <w:lvl w:ilvl="1">
      <w:start w:val="1"/>
      <w:numFmt w:val="lowerLetter"/>
      <w:suff w:val="tab"/>
      <w:lvlText w:val="%2."/>
      <w:lvlJc w:val="right"/>
      <w:pPr>
        <w:ind w:left="1440" w:hanging="360"/>
      </w:pPr>
      <w:rPr>
        <w:rFonts w:ascii="Times New Roman" w:eastAsia="Times New Roman" w:hAnsi="Times New Roman" w:cs="Times New Roman"/>
      </w:rPr>
    </w:lvl>
    <w:lvl w:ilvl="2">
      <w:start w:val="1"/>
      <w:numFmt w:val="lowerRoman"/>
      <w:suff w:val="tab"/>
      <w:lvlText w:val="%3."/>
      <w:lvlJc w:val="left"/>
      <w:pPr>
        <w:ind w:left="2160" w:hanging="360"/>
      </w:pPr>
      <w:rPr>
        <w:rFonts w:ascii="Times New Roman" w:eastAsia="Times New Roman" w:hAnsi="Times New Roman" w:cs="Times New Roman"/>
      </w:rPr>
    </w:lvl>
    <w:lvl w:ilvl="3">
      <w:start w:val="1"/>
      <w:numFmt w:val="decimal"/>
      <w:suff w:val="tab"/>
      <w:lvlText w:val="%4."/>
      <w:lvlJc w:val="left"/>
      <w:pPr>
        <w:ind w:left="2880" w:hanging="360"/>
      </w:pPr>
      <w:rPr>
        <w:rFonts w:ascii="Times New Roman" w:eastAsia="Times New Roman" w:hAnsi="Times New Roman" w:cs="Times New Roman"/>
      </w:rPr>
    </w:lvl>
    <w:lvl w:ilvl="4">
      <w:start w:val="1"/>
      <w:numFmt w:val="lowerLetter"/>
      <w:suff w:val="tab"/>
      <w:lvlText w:val="%5."/>
      <w:lvlJc w:val="right"/>
      <w:pPr>
        <w:ind w:left="3600" w:hanging="360"/>
      </w:pPr>
      <w:rPr>
        <w:rFonts w:ascii="Times New Roman" w:eastAsia="Times New Roman" w:hAnsi="Times New Roman" w:cs="Times New Roman"/>
      </w:rPr>
    </w:lvl>
    <w:lvl w:ilvl="5">
      <w:start w:val="1"/>
      <w:numFmt w:val="lowerRoman"/>
      <w:suff w:val="tab"/>
      <w:lvlText w:val="%6."/>
      <w:lvlJc w:val="left"/>
      <w:pPr>
        <w:ind w:left="4320" w:hanging="360"/>
      </w:pPr>
      <w:rPr>
        <w:rFonts w:ascii="Times New Roman" w:eastAsia="Times New Roman" w:hAnsi="Times New Roman" w:cs="Times New Roman"/>
      </w:rPr>
    </w:lvl>
    <w:lvl w:ilvl="6">
      <w:start w:val="1"/>
      <w:numFmt w:val="decimal"/>
      <w:suff w:val="tab"/>
      <w:lvlText w:val="%7."/>
      <w:lvlJc w:val="left"/>
      <w:pPr>
        <w:ind w:left="5040" w:hanging="360"/>
      </w:pPr>
      <w:rPr>
        <w:rFonts w:ascii="Times New Roman" w:eastAsia="Times New Roman" w:hAnsi="Times New Roman" w:cs="Times New Roman"/>
      </w:rPr>
    </w:lvl>
    <w:lvl w:ilvl="7">
      <w:start w:val="1"/>
      <w:numFmt w:val="lowerLetter"/>
      <w:suff w:val="tab"/>
      <w:lvlText w:val="%8."/>
      <w:lvlJc w:val="right"/>
      <w:pPr>
        <w:ind w:left="5760" w:hanging="360"/>
      </w:pPr>
      <w:rPr>
        <w:rFonts w:ascii="Times New Roman" w:eastAsia="Times New Roman" w:hAnsi="Times New Roman" w:cs="Times New Roman"/>
      </w:rPr>
    </w:lvl>
    <w:lvl w:ilvl="8">
      <w:start w:val="1"/>
      <w:numFmt w:val="lowerRoman"/>
      <w:suff w:val="tab"/>
      <w:lvlText w:val="%9."/>
      <w:lvlJc w:val="left"/>
      <w:pPr>
        <w:ind w:left="6480" w:hanging="360"/>
      </w:pPr>
      <w:rPr>
        <w:rFonts w:ascii="Times New Roman" w:eastAsia="Times New Roman" w:hAnsi="Times New Roman" w:cs="Times New Roman"/>
      </w:rPr>
    </w:lvl>
  </w:abstractNum>
  <w:abstractNum w:abstractNumId="1">
    <w:multiLevelType w:val="multilevel"/>
    <w:lvl w:ilvl="0">
      <w:start w:val="1"/>
      <w:numFmt w:val="bullet"/>
      <w:suff w:val="tab"/>
      <w:lvlText w:val=""/>
      <w:lvlJc w:val="left"/>
      <w:pPr>
        <w:ind w:left="720" w:hanging="360"/>
      </w:pPr>
      <w:rPr>
        <w:rFonts w:ascii="Symbol" w:eastAsia="Symbol" w:hAnsi="Symbol" w:cs="Symbol"/>
      </w:rPr>
    </w:lvl>
    <w:lvl w:ilvl="1">
      <w:start w:val="1"/>
      <w:numFmt w:val="bullet"/>
      <w:suff w:val="tab"/>
      <w:lvlText w:val="o"/>
      <w:lvlJc w:val="left"/>
      <w:pPr>
        <w:ind w:left="1440" w:hanging="360"/>
      </w:pPr>
      <w:rPr>
        <w:rFonts w:ascii="Courier New" w:eastAsia="Courier New" w:hAnsi="Courier New" w:cs="Courier New"/>
      </w:rPr>
    </w:lvl>
    <w:lvl w:ilvl="2">
      <w:start w:val="1"/>
      <w:numFmt w:val="bullet"/>
      <w:suff w:val="tab"/>
      <w:lvlText w:val=""/>
      <w:lvlJc w:val="left"/>
      <w:pPr>
        <w:ind w:left="2160" w:hanging="360"/>
      </w:pPr>
      <w:rPr>
        <w:rFonts w:ascii="Wingdings" w:eastAsia="Wingdings" w:hAnsi="Wingdings" w:cs="Wingdings"/>
      </w:rPr>
    </w:lvl>
    <w:lvl w:ilvl="3">
      <w:start w:val="1"/>
      <w:numFmt w:val="bullet"/>
      <w:suff w:val="tab"/>
      <w:lvlText w:val=""/>
      <w:lvlJc w:val="left"/>
      <w:pPr>
        <w:ind w:left="2880" w:hanging="360"/>
      </w:pPr>
      <w:rPr>
        <w:rFonts w:ascii="Symbol" w:eastAsia="Symbol" w:hAnsi="Symbol" w:cs="Symbol"/>
      </w:rPr>
    </w:lvl>
    <w:lvl w:ilvl="4">
      <w:start w:val="1"/>
      <w:numFmt w:val="bullet"/>
      <w:suff w:val="tab"/>
      <w:lvlText w:val="o"/>
      <w:lvlJc w:val="left"/>
      <w:pPr>
        <w:ind w:left="3600" w:hanging="360"/>
      </w:pPr>
      <w:rPr>
        <w:rFonts w:ascii="Courier New" w:eastAsia="Courier New" w:hAnsi="Courier New" w:cs="Courier New"/>
      </w:rPr>
    </w:lvl>
    <w:lvl w:ilvl="5">
      <w:start w:val="1"/>
      <w:numFmt w:val="bullet"/>
      <w:suff w:val="tab"/>
      <w:lvlText w:val=""/>
      <w:lvlJc w:val="left"/>
      <w:pPr>
        <w:ind w:left="4320" w:hanging="360"/>
      </w:pPr>
      <w:rPr>
        <w:rFonts w:ascii="Wingdings" w:eastAsia="Wingdings" w:hAnsi="Wingdings" w:cs="Wingdings"/>
      </w:rPr>
    </w:lvl>
    <w:lvl w:ilvl="6">
      <w:start w:val="1"/>
      <w:numFmt w:val="bullet"/>
      <w:suff w:val="tab"/>
      <w:lvlText w:val=""/>
      <w:lvlJc w:val="left"/>
      <w:pPr>
        <w:ind w:left="5040" w:hanging="360"/>
      </w:pPr>
      <w:rPr>
        <w:rFonts w:ascii="Symbol" w:eastAsia="Symbol" w:hAnsi="Symbol" w:cs="Symbol"/>
      </w:rPr>
    </w:lvl>
    <w:lvl w:ilvl="7">
      <w:start w:val="1"/>
      <w:numFmt w:val="bullet"/>
      <w:suff w:val="tab"/>
      <w:lvlText w:val="o"/>
      <w:lvlJc w:val="left"/>
      <w:pPr>
        <w:ind w:left="5760" w:hanging="360"/>
      </w:pPr>
      <w:rPr>
        <w:rFonts w:ascii="Courier New" w:eastAsia="Courier New" w:hAnsi="Courier New" w:cs="Courier New"/>
      </w:rPr>
    </w:lvl>
    <w:lvl w:ilvl="8">
      <w:start w:val="1"/>
      <w:numFmt w:val="bullet"/>
      <w:suff w:val="tab"/>
      <w:lvlText w:val=""/>
      <w:lvlJc w:val="left"/>
      <w:pPr>
        <w:ind w:left="6480" w:hanging="360"/>
      </w:pPr>
      <w:rPr>
        <w:rFonts w:ascii="Wingdings" w:eastAsia="Wingdings" w:hAnsi="Wingdings" w:cs="Wingdings"/>
      </w:rPr>
    </w:lvl>
  </w:abstractNum>
  <w:abstractNum w:abstractNumId="2">
    <w:multiLevelType w:val="singleLevel"/>
    <w:lvl w:ilvl="0">
      <w:start w:val="1"/>
      <w:numFmt w:val="decimal"/>
      <w:suff w:val="nothing"/>
      <w:lvlText w:val="%1、"/>
      <w:lvlJc w:val="left"/>
      <w:rPr/>
    </w:lvl>
  </w:abstractNum>
  <w:abstractNum w:abstractNumId="3">
    <w:multiLevelType w:val="singleLevel"/>
    <w:lvl w:ilvl="0">
      <w:start w:val="1"/>
      <w:numFmt w:val="decimal"/>
      <w:suff w:val="space"/>
      <w:lvlText w:val="%1、"/>
      <w:lvlJc w:val="left"/>
      <w:rPr/>
    </w:lvl>
  </w:abstractNum>
  <w:abstractNum w:abstractNumId="4">
    <w:multiLevelType w:val="singleLevel"/>
    <w:lvl w:ilvl="0">
      <w:start w:val="1"/>
      <w:numFmt w:val="decimal"/>
      <w:suff w:val="nothing"/>
      <w:lvlText w:val="%1、"/>
      <w:lvlJc w:val="left"/>
      <w:rPr/>
    </w:lvl>
  </w:abstractNum>
  <w:abstractNum w:abstractNumId="5">
    <w:multiLevelType w:val="multilevel"/>
    <w:lvl w:ilvl="0">
      <w:start w:val="1"/>
      <w:numFmt w:val="chineseCountingThousand"/>
      <w:suff w:val="nothing"/>
      <w:lvlText w:val="第%1章"/>
      <w:lvlJc w:val="left"/>
      <w:pPr>
        <w:ind w:left="640" w:firstLine="0"/>
      </w:pPr>
      <w:rPr>
        <w:rFonts w:hint="eastAsia"/>
      </w:rPr>
    </w:lvl>
    <w:lvl w:ilvl="1">
      <w:start w:val="1"/>
      <w:numFmt w:val="none"/>
      <w:suff w:val="nothing"/>
      <w:lvlJc w:val="left"/>
      <w:pPr>
        <w:ind w:left="640" w:firstLine="0"/>
      </w:pPr>
      <w:rPr>
        <w:rFonts w:hint="eastAsia"/>
      </w:rPr>
    </w:lvl>
    <w:lvl w:ilvl="2">
      <w:start w:val="1"/>
      <w:numFmt w:val="none"/>
      <w:suff w:val="nothing"/>
      <w:lvlJc w:val="left"/>
      <w:pPr>
        <w:ind w:left="640" w:firstLine="0"/>
      </w:pPr>
      <w:rPr>
        <w:rFonts w:hint="eastAsia"/>
      </w:rPr>
    </w:lvl>
    <w:lvl w:ilvl="3">
      <w:start w:val="1"/>
      <w:numFmt w:val="none"/>
      <w:suff w:val="nothing"/>
      <w:lvlJc w:val="left"/>
      <w:pPr>
        <w:ind w:left="640" w:firstLine="0"/>
      </w:pPr>
      <w:rPr>
        <w:rFonts w:hint="eastAsia"/>
      </w:rPr>
    </w:lvl>
    <w:lvl w:ilvl="4">
      <w:start w:val="1"/>
      <w:numFmt w:val="none"/>
      <w:suff w:val="nothing"/>
      <w:lvlJc w:val="left"/>
      <w:pPr>
        <w:ind w:left="640" w:firstLine="0"/>
      </w:pPr>
      <w:rPr>
        <w:rFonts w:hint="eastAsia"/>
      </w:rPr>
    </w:lvl>
    <w:lvl w:ilvl="5">
      <w:start w:val="1"/>
      <w:numFmt w:val="none"/>
      <w:suff w:val="nothing"/>
      <w:lvlJc w:val="left"/>
      <w:pPr>
        <w:ind w:left="640" w:firstLine="0"/>
      </w:pPr>
      <w:rPr>
        <w:rFonts w:hint="eastAsia"/>
      </w:rPr>
    </w:lvl>
    <w:lvl w:ilvl="6">
      <w:start w:val="1"/>
      <w:numFmt w:val="none"/>
      <w:suff w:val="nothing"/>
      <w:lvlJc w:val="left"/>
      <w:pPr>
        <w:ind w:left="640" w:firstLine="0"/>
      </w:pPr>
      <w:rPr>
        <w:rFonts w:hint="eastAsia"/>
      </w:rPr>
    </w:lvl>
    <w:lvl w:ilvl="7">
      <w:start w:val="1"/>
      <w:numFmt w:val="none"/>
      <w:suff w:val="nothing"/>
      <w:lvlJc w:val="left"/>
      <w:pPr>
        <w:ind w:left="640" w:firstLine="0"/>
      </w:pPr>
      <w:rPr>
        <w:rFonts w:hint="eastAsia"/>
      </w:rPr>
    </w:lvl>
    <w:lvl w:ilvl="8">
      <w:start w:val="1"/>
      <w:numFmt w:val="none"/>
      <w:suff w:val="nothing"/>
      <w:lvlJc w:val="left"/>
      <w:pPr>
        <w:ind w:left="640" w:firstLine="0"/>
      </w:pPr>
      <w:rPr>
        <w:rFonts w:hint="eastAsia"/>
      </w:rPr>
    </w:lvl>
  </w:abstractNum>
  <w:abstractNum w:abstractNumId="6">
    <w:multiLevelType w:val="multilevel"/>
    <w:lvl w:ilvl="0">
      <w:start w:val="1"/>
      <w:numFmt w:val="chineseCountingThousand"/>
      <w:suff w:val="tab"/>
      <w:lvlText w:val="%1、"/>
      <w:lvlJc w:val="left"/>
      <w:pPr>
        <w:tabs>
          <w:tab w:val="left" w:pos="420"/>
        </w:tabs>
        <w:ind w:left="420" w:hanging="420"/>
      </w:pPr>
      <w:rPr>
        <w:rFonts w:hint="eastAsia"/>
        <w:b/>
        <w:i w:val="0"/>
      </w:rPr>
    </w:lvl>
    <w:lvl w:ilvl="1">
      <w:start w:val="1"/>
      <w:numFmt w:val="lowerLetter"/>
      <w:suff w:val="tab"/>
      <w:lvlText w:val="%2)"/>
      <w:lvlJc w:val="left"/>
      <w:pPr>
        <w:tabs>
          <w:tab w:val="left" w:pos="840"/>
        </w:tabs>
        <w:ind w:left="840" w:hanging="420"/>
      </w:pPr>
      <w:rPr/>
    </w:lvl>
    <w:lvl w:ilvl="2">
      <w:start w:val="1"/>
      <w:numFmt w:val="lowerRoman"/>
      <w:suff w:val="tab"/>
      <w:lvlText w:val="%3."/>
      <w:lvlJc w:val="right"/>
      <w:pPr>
        <w:tabs>
          <w:tab w:val="left" w:pos="1260"/>
        </w:tabs>
        <w:ind w:left="1260" w:hanging="420"/>
      </w:pPr>
      <w:rPr/>
    </w:lvl>
    <w:lvl w:ilvl="3">
      <w:start w:val="1"/>
      <w:numFmt w:val="decimal"/>
      <w:suff w:val="tab"/>
      <w:lvlText w:val="%4."/>
      <w:lvlJc w:val="left"/>
      <w:pPr>
        <w:tabs>
          <w:tab w:val="left" w:pos="1680"/>
        </w:tabs>
        <w:ind w:left="1680" w:hanging="420"/>
      </w:pPr>
      <w:rPr/>
    </w:lvl>
    <w:lvl w:ilvl="4">
      <w:start w:val="1"/>
      <w:numFmt w:val="lowerLetter"/>
      <w:suff w:val="tab"/>
      <w:lvlText w:val="%5)"/>
      <w:lvlJc w:val="left"/>
      <w:pPr>
        <w:tabs>
          <w:tab w:val="left" w:pos="2100"/>
        </w:tabs>
        <w:ind w:left="2100" w:hanging="420"/>
      </w:pPr>
      <w:rPr/>
    </w:lvl>
    <w:lvl w:ilvl="5">
      <w:start w:val="1"/>
      <w:numFmt w:val="lowerRoman"/>
      <w:suff w:val="tab"/>
      <w:lvlText w:val="%6."/>
      <w:lvlJc w:val="right"/>
      <w:pPr>
        <w:tabs>
          <w:tab w:val="left" w:pos="2520"/>
        </w:tabs>
        <w:ind w:left="2520" w:hanging="420"/>
      </w:pPr>
      <w:rPr/>
    </w:lvl>
    <w:lvl w:ilvl="6">
      <w:start w:val="1"/>
      <w:numFmt w:val="decimal"/>
      <w:suff w:val="tab"/>
      <w:lvlText w:val="%7."/>
      <w:lvlJc w:val="left"/>
      <w:pPr>
        <w:tabs>
          <w:tab w:val="left" w:pos="2940"/>
        </w:tabs>
        <w:ind w:left="2940" w:hanging="420"/>
      </w:pPr>
      <w:rPr/>
    </w:lvl>
    <w:lvl w:ilvl="7">
      <w:start w:val="1"/>
      <w:numFmt w:val="lowerLetter"/>
      <w:suff w:val="tab"/>
      <w:lvlText w:val="%8)"/>
      <w:lvlJc w:val="left"/>
      <w:pPr>
        <w:tabs>
          <w:tab w:val="left" w:pos="3360"/>
        </w:tabs>
        <w:ind w:left="3360" w:hanging="420"/>
      </w:pPr>
      <w:rPr/>
    </w:lvl>
    <w:lvl w:ilvl="8">
      <w:start w:val="1"/>
      <w:numFmt w:val="lowerRoman"/>
      <w:suff w:val="tab"/>
      <w:lvlText w:val="%9."/>
      <w:lvlJc w:val="right"/>
      <w:pPr>
        <w:tabs>
          <w:tab w:val="left" w:pos="3780"/>
        </w:tabs>
        <w:ind w:left="3780" w:hanging="420"/>
      </w:pPr>
      <w:rPr/>
    </w:lvl>
  </w:abstractNum>
  <w:abstractNum w:abstractNumId="7">
    <w:multiLevelType w:val="multilevel"/>
    <w:lvl w:ilvl="0">
      <w:start w:val="2"/>
      <w:numFmt w:val="chineseCountingThousand"/>
      <w:suff w:val="nothing"/>
      <w:lvlText w:val="第%1部分"/>
      <w:lvlJc w:val="center"/>
      <w:pPr>
        <w:ind w:left="432" w:firstLine="288"/>
      </w:pPr>
      <w:rPr>
        <w:rFonts w:hint="eastAsia"/>
        <w:sz w:val="28"/>
        <w:szCs w:val="28"/>
        <w:lang w:val="en-US"/>
      </w:rPr>
    </w:lvl>
    <w:lvl w:ilvl="1">
      <w:start w:val="1"/>
      <w:numFmt w:val="chineseCountingThousand"/>
      <w:suff w:val="nothing"/>
      <w:lvlText w:val="%2、"/>
      <w:lvlJc w:val="left"/>
      <w:pPr>
        <w:ind w:left="360" w:firstLine="0"/>
      </w:pPr>
      <w:rPr>
        <w:rFonts w:hint="eastAsia"/>
        <w:lang w:val="en-US"/>
      </w:rPr>
    </w:lvl>
    <w:lvl w:ilvl="2">
      <w:start w:val="1"/>
      <w:numFmt w:val="chineseCountingThousand"/>
      <w:suff w:val="nothing"/>
      <w:lvlText w:val="(%3)"/>
      <w:lvlJc w:val="left"/>
      <w:pPr>
        <w:ind w:left="0" w:firstLine="0"/>
      </w:pPr>
      <w:rPr>
        <w:rFonts w:hint="eastAsia"/>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multiLevelType w:val="singleLevel"/>
    <w:lvl w:ilvl="0">
      <w:start w:val="1"/>
      <w:numFmt w:val="chineseCounting"/>
      <w:suff w:val="space"/>
      <w:lvlText w:val="第%1部分"/>
      <w:lvlJc w:val="left"/>
      <w:rPr>
        <w:rFonts w:hint="eastAsia"/>
      </w:rPr>
    </w:lvl>
  </w:abstractNum>
  <w:abstractNum w:abstractNumId="9">
    <w:multiLevelType w:val="multilevel"/>
    <w:lvl w:ilvl="0">
      <w:start w:val="1"/>
      <w:numFmt w:val="decimal"/>
      <w:suff w:val="tab"/>
      <w:lvlText w:val="%1)"/>
      <w:lvlJc w:val="left"/>
      <w:pPr>
        <w:ind w:left="840" w:hanging="420"/>
      </w:pPr>
      <w:rPr/>
    </w:lvl>
    <w:lvl w:ilvl="1">
      <w:start w:val="1"/>
      <w:numFmt w:val="lowerLetter"/>
      <w:suff w:val="tab"/>
      <w:lvlText w:val="%2)"/>
      <w:lvlJc w:val="left"/>
      <w:pPr>
        <w:ind w:left="1260" w:hanging="420"/>
      </w:pPr>
      <w:rPr/>
    </w:lvl>
    <w:lvl w:ilvl="2">
      <w:start w:val="1"/>
      <w:numFmt w:val="lowerRoman"/>
      <w:suff w:val="tab"/>
      <w:lvlText w:val="%3."/>
      <w:lvlJc w:val="right"/>
      <w:pPr>
        <w:ind w:left="1680" w:hanging="420"/>
      </w:pPr>
      <w:rPr/>
    </w:lvl>
    <w:lvl w:ilvl="3">
      <w:start w:val="1"/>
      <w:numFmt w:val="decimal"/>
      <w:suff w:val="tab"/>
      <w:lvlText w:val="%4."/>
      <w:lvlJc w:val="left"/>
      <w:pPr>
        <w:ind w:left="2100" w:hanging="420"/>
      </w:pPr>
      <w:rPr/>
    </w:lvl>
    <w:lvl w:ilvl="4">
      <w:start w:val="1"/>
      <w:numFmt w:val="lowerLetter"/>
      <w:suff w:val="tab"/>
      <w:lvlText w:val="%5)"/>
      <w:lvlJc w:val="left"/>
      <w:pPr>
        <w:ind w:left="2520" w:hanging="420"/>
      </w:pPr>
      <w:rPr/>
    </w:lvl>
    <w:lvl w:ilvl="5">
      <w:start w:val="1"/>
      <w:numFmt w:val="lowerRoman"/>
      <w:suff w:val="tab"/>
      <w:lvlText w:val="%6."/>
      <w:lvlJc w:val="right"/>
      <w:pPr>
        <w:ind w:left="2940" w:hanging="420"/>
      </w:pPr>
      <w:rPr/>
    </w:lvl>
    <w:lvl w:ilvl="6">
      <w:start w:val="1"/>
      <w:numFmt w:val="decimal"/>
      <w:suff w:val="tab"/>
      <w:lvlText w:val="%7."/>
      <w:lvlJc w:val="left"/>
      <w:pPr>
        <w:ind w:left="3360" w:hanging="420"/>
      </w:pPr>
      <w:rPr/>
    </w:lvl>
    <w:lvl w:ilvl="7">
      <w:start w:val="1"/>
      <w:numFmt w:val="lowerLetter"/>
      <w:suff w:val="tab"/>
      <w:lvlText w:val="%8)"/>
      <w:lvlJc w:val="left"/>
      <w:pPr>
        <w:ind w:left="3780" w:hanging="420"/>
      </w:pPr>
      <w:rPr/>
    </w:lvl>
    <w:lvl w:ilvl="8">
      <w:start w:val="1"/>
      <w:numFmt w:val="lowerRoman"/>
      <w:suff w:val="tab"/>
      <w:lvlText w:val="%9."/>
      <w:lvlJc w:val="right"/>
      <w:pPr>
        <w:ind w:left="4200" w:hanging="420"/>
      </w:pPr>
      <w:rPr/>
    </w:lvl>
  </w:abstractNum>
  <w:abstractNum w:abstractNumId="10">
    <w:multiLevelType w:val="singleLevel"/>
    <w:lvl w:ilvl="0">
      <w:start w:val="1"/>
      <w:numFmt w:val="chineseCounting"/>
      <w:suff w:val="nothing"/>
      <w:lvlText w:val="%1、"/>
      <w:lvlJc w:val="left"/>
      <w:rPr>
        <w:rFonts w:hint="eastAsia"/>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sl="http://schemas.openxmlformats.org/schemaLibrary/2006/main" xmlns:w="http://schemas.openxmlformats.org/wordprocessingml/2006/main" xmlns:w14="http://schemas.microsoft.com/office/word/2010/wordml" xmlns:w15="http://schemas.microsoft.com/office/word/2012/wordml" mc:Ignorable="w14 w15">
  <w:zoom w:percent="100"/>
  <w:bordersDoNotSurroundFooter w:val="0"/>
  <w:bordersDoNotSurroundHeader w:val="0"/>
  <w:stylePaneFormatFilter w:val="3F01" w:allStyles="1" w:alternateStyleNames="0" w:clearFormatting="1" w:customStyles="0" w:directFormattingOnNumbering="1" w:directFormattingOnParagraphs="1" w:directFormattingOnRuns="1" w:directFormattingOnTables="1" w:headingStyles="0" w:latentStyles="0" w:numberingStyles="0" w:stylesInUse="0" w:tableStyles="0" w:top3HeadingStyles="1" w:visibleStyles="0"/>
  <w:doNotTrackMoves/>
  <w:defaultTabStop w:val="420"/>
  <w:drawingGridHorizontalSpacing w:val="105"/>
  <w:drawingGridVerticalSpacing w:val="156"/>
  <w:noPunctuationKerning/>
  <w:characterSpacingControl w:val="compressPunctuation"/>
  <w:doNotValidateAgainstSchema/>
  <w:doNotDemarcateInvalidXml/>
  <w:compat>
    <w:spaceForUL/>
    <w:balanceSingleByteDoubleByteWidth/>
    <w:doNotLeaveBackslashAlone/>
    <w:doNotExpandShiftReturn/>
    <w:adjustLineHeightInTable/>
    <w:doNotWrapTextWithPunct/>
    <w:doNotUseEastAsianBreakRules/>
    <w:useFELayout/>
    <w:doNotUseIndentAsNumberingTabStop/>
    <w:compatSetting w:name="doNotFlipMirrorIndents" w:uri="http://schemas.microsoft.com/office/word" w:val="1"/>
    <w:compatSetting w:name="enableOpenTypeFeatures" w:uri="http://schemas.microsoft.com/office/word" w:val="1"/>
    <w:compatSetting w:name="overrideTableStyleFontSizeAndJustification" w:uri="http://schemas.microsoft.com/office/word" w:val="1"/>
    <w:compatSetting w:name="compatibilityMode" w:uri="http://schemas.microsoft.com/office/word" w:val="15"/>
  </w:compat>
  <w:docVars>
    <w:docVar w:name="commondata" w:val="eyJoZGlkIjoiMGMwYWUwNTRjZTA5N2I4MGFkMWI3NTRkZmI3YjM3ODQifQ=="/>
  </w:docVars>
  <m:mathPr>
    <m:mathFont m:val="Cambria Math"/>
    <m:brkBin m:val="before"/>
    <m:brkBinSub m:val="--"/>
    <m:lMargin m:val="0"/>
    <m:rMargin m:val="0"/>
    <m:defJc m:val="centerGroup"/>
    <m:preSp m:val="0"/>
    <m:postSp m:val="0"/>
    <m:interSp m:val="0"/>
    <m:intraSp m:val="0"/>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9" w:unhideWhenUsed="0" w:qFormat="1"/>
    <w:lsdException w:name="heading 3" w:semiHidden="0"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index 1" w:semiHidden="0" w:uiPriority="0" w:unhideWhenUsed="0"/>
    <w:lsdException w:name="index 2" w:semiHidden="0" w:uiPriority="0" w:unhideWhenUsed="0"/>
    <w:lsdException w:name="index 3" w:semiHidden="0" w:uiPriority="0" w:unhideWhenUsed="0"/>
    <w:lsdException w:name="index 4" w:semiHidden="0" w:qFormat="1"/>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qFormat="1"/>
    <w:lsdException w:name="toc 2" w:semiHidden="0" w:uiPriority="0" w:unhideWhenUsed="0" w:qFormat="1"/>
    <w:lsdException w:name="toc 3" w:semiHidden="0" w:uiPriority="0" w:unhideWhenUsed="0" w:qFormat="1"/>
    <w:lsdException w:name="toc 4" w:semiHidden="0" w:uiPriority="0" w:unhideWhenUsed="0"/>
    <w:lsdException w:name="toc 5" w:semiHidden="0" w:uiPriority="39" w:qFormat="1"/>
    <w:lsdException w:name="toc 6" w:semiHidden="0" w:uiPriority="39" w:unhideWhenUsed="0" w:qFormat="1"/>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qFormat="1"/>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semiHidden="0" w:uiPriority="0" w:unhideWhenUsed="0" w:qFormat="1"/>
    <w:lsdException w:name="table of figures" w:semiHidden="0" w:uiPriority="0" w:unhideWhenUsed="0"/>
    <w:lsdException w:name="envelope address" w:semiHidden="0" w:uiPriority="0" w:unhideWhenUsed="0"/>
    <w:lsdException w:name="envelope return" w:semiHidden="0" w:unhideWhenUsed="0" w:qFormat="1"/>
    <w:lsdException w:name="footnote reference" w:semiHidden="0" w:uiPriority="0" w:unhideWhenUsed="0"/>
    <w:lsdException w:name="annotation reference" w:semiHidden="0" w:uiPriority="0" w:unhideWhenUsed="0" w:qFormat="1"/>
    <w:lsdException w:name="line number" w:semiHidden="0" w:uiPriority="0" w:unhideWhenUsed="0"/>
    <w:lsdException w:name="page number" w:semiHidden="0" w:uiPriority="0" w:unhideWhenUsed="0" w:qFormat="1"/>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qFormat="1"/>
    <w:lsdException w:name="List" w:semiHidden="0" w:uiPriority="0" w:unhideWhenUsed="0"/>
    <w:lsdException w:name="List Bullet" w:semiHidden="0" w:uiPriority="0" w:unhideWhenUsed="0"/>
    <w:lsdException w:name="List Number" w:semiHidden="0" w:uiPriority="0" w:unhideWhenUsed="0" w:qFormat="1"/>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1" w:unhideWhenUsed="0" w:qFormat="1"/>
    <w:lsdException w:name="Body Text Indent" w:semiHidden="0" w:uiPriority="0" w:unhideWhenUsed="0" w:qFormat="1"/>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qFormat="1"/>
    <w:lsdException w:name="Body Text First Indent" w:semiHidden="0" w:uiPriority="0" w:unhideWhenUsed="0" w:qFormat="1"/>
    <w:lsdException w:name="Body Text First Indent 2" w:semiHidden="0" w:uiPriority="0" w:unhideWhenUsed="0" w:qFormat="1"/>
    <w:lsdException w:name="Body Text 2" w:semiHidden="0" w:uiPriority="0" w:unhideWhenUsed="0" w:qFormat="1"/>
    <w:lsdException w:name="Body Text 3" w:semiHidden="0" w:uiPriority="0" w:unhideWhenUsed="0" w:qFormat="1"/>
    <w:lsdException w:name="Body Text Indent 2" w:semiHidden="0" w:uiPriority="0" w:unhideWhenUsed="0" w:qFormat="1"/>
    <w:lsdException w:name="Body Text Indent 3" w:semiHidden="0" w:uiPriority="0" w:unhideWhenUsed="0" w:qFormat="1"/>
    <w:lsdException w:name="Block Text" w:semiHidden="0" w:uiPriority="0" w:unhideWhenUsed="0" w:qFormat="1"/>
    <w:lsdException w:name="Hyperlink" w:semiHidden="0" w:uiPriority="0" w:unhideWhenUsed="0" w:qFormat="1"/>
    <w:lsdException w:name="FollowedHyperlink" w:semiHidden="0" w:uiPriority="0" w:unhideWhenUsed="0" w:qFormat="1"/>
    <w:lsdException w:name="Strong" w:semiHidden="0" w:uiPriority="0" w:unhideWhenUsed="0" w:qFormat="1"/>
    <w:lsdException w:name="Emphasis" w:semiHidden="0" w:uiPriority="0" w:unhideWhenUsed="0" w:qFormat="1"/>
    <w:lsdException w:name="Document Map" w:semiHidden="0" w:uiPriority="0" w:unhideWhenUsed="0" w:qFormat="1"/>
    <w:lsdException w:name="Plain Text" w:semiHidden="0" w:uiPriority="0" w:unhideWhenUsed="0" w:qFormat="1"/>
    <w:lsdException w:name="E-mail Signature" w:semiHidden="0" w:uiPriority="0" w:unhideWhenUsed="0"/>
    <w:lsdException w:name="Normal (Web)" w:semiHidden="0" w:uiPriority="0" w:unhideWhenUsed="0" w:qFormat="1"/>
    <w:lsdException w:name="HTML Acronym" w:semiHidden="0" w:uiPriority="0" w:unhideWhenUsed="0" w:qFormat="1"/>
    <w:lsdException w:name="HTML Address" w:semiHidden="0" w:uiPriority="0" w:unhideWhenUsed="0"/>
    <w:lsdException w:name="HTML Cite" w:semiHidden="0" w:uiPriority="0" w:unhideWhenUsed="0" w:qFormat="1"/>
    <w:lsdException w:name="HTML Code" w:semiHidden="0" w:uiPriority="0" w:unhideWhenUsed="0" w:qFormat="1"/>
    <w:lsdException w:name="HTML Definition" w:semiHidden="0" w:uiPriority="0" w:unhideWhenUsed="0" w:qFormat="1"/>
    <w:lsdException w:name="HTML Keyboard" w:semiHidden="0" w:uiPriority="0" w:unhideWhenUsed="0" w:qFormat="1"/>
    <w:lsdException w:name="HTML Preformatted" w:semiHidden="0" w:uiPriority="0" w:qFormat="1"/>
    <w:lsdException w:name="HTML Sample" w:semiHidden="0" w:uiPriority="0" w:unhideWhenUsed="0" w:qFormat="1"/>
    <w:lsdException w:name="HTML Variable" w:semiHidden="0" w:uiPriority="0" w:unhideWhenUsed="0" w:qFormat="1"/>
    <w:lsdException w:name="Normal Table" w:qFormat="1"/>
    <w:lsdException w:name="annotation subject" w:semiHidden="0" w:uiPriority="0" w:unhideWhenUsed="0" w:qFormat="1"/>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semiHidden="0" w:uiPriority="0" w:qFormat="1"/>
    <w:lsdException w:name="Table Grid" w:semiHidden="0" w:uiPriority="59" w:unhideWhenUsed="0" w:qFormat="1"/>
    <w:lsdException w:name="Table Theme"/>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List Paragraph" w:semiHidden="0" w:uiPriority="34" w:unhideWhenUsed="0" w:qFormat="1"/>
    <w:lsdException w:name="Quote" w:semiHidden="0" w:uiPriority="0" w:unhideWhenUsed="0" w:qFormat="1"/>
    <w:lsdException w:name="Intense Quote" w:semiHidden="0" w:uiPriority="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imes New Roman" w:eastAsia="宋体" w:hAnsi="Times New Roman" w:cs="Times New Roman"/>
      <w:kern w:val="2"/>
      <w:sz w:val="21"/>
      <w:szCs w:val="24"/>
      <w:lang w:val="en-US" w:eastAsia="zh-CN" w:bidi="ar-SA"/>
    </w:rPr>
  </w:style>
  <w:style w:type="paragraph" w:styleId="Heading1">
    <w:name w:val="Heading 1"/>
    <w:basedOn w:val="Normal"/>
    <w:next w:val="Normal"/>
    <w:link w:val="标题1字符"/>
    <w:qFormat/>
    <w:pPr>
      <w:keepNext/>
      <w:keepLines/>
      <w:spacing w:before="340" w:after="330" w:line="578" w:lineRule="auto"/>
      <w:outlineLvl w:val="0"/>
    </w:pPr>
    <w:rPr>
      <w:b/>
      <w:bCs/>
      <w:kern w:val="44"/>
      <w:sz w:val="44"/>
      <w:szCs w:val="44"/>
    </w:rPr>
  </w:style>
  <w:style w:type="paragraph" w:styleId="Heading2">
    <w:name w:val="Heading 2"/>
    <w:basedOn w:val="Normal"/>
    <w:next w:val="Normal"/>
    <w:link w:val="标题2字符"/>
    <w:uiPriority w:val="9"/>
    <w:qFormat/>
    <w:pPr>
      <w:keepNext/>
      <w:keepLines/>
      <w:spacing w:before="260" w:after="260" w:line="413" w:lineRule="auto"/>
      <w:outlineLvl w:val="1"/>
    </w:pPr>
    <w:rPr>
      <w:rFonts w:ascii="Arial" w:eastAsia="黑体" w:hAnsi="Arial"/>
      <w:b/>
      <w:sz w:val="32"/>
      <w:szCs w:val="20"/>
    </w:rPr>
  </w:style>
  <w:style w:type="paragraph" w:styleId="Heading3">
    <w:name w:val="Heading 3"/>
    <w:basedOn w:val="Normal"/>
    <w:next w:val="Normal"/>
    <w:link w:val="标题3字符"/>
    <w:uiPriority w:val="99"/>
    <w:qFormat/>
    <w:pPr>
      <w:keepNext/>
      <w:keepLines/>
      <w:spacing w:before="260" w:after="260" w:line="413" w:lineRule="auto"/>
      <w:outlineLvl w:val="2"/>
    </w:pPr>
    <w:rPr>
      <w:rFonts w:ascii="Arial" w:hAnsi="Arial"/>
      <w:b/>
      <w:sz w:val="32"/>
      <w:szCs w:val="20"/>
    </w:rPr>
  </w:style>
  <w:style w:type="paragraph" w:styleId="Heading4">
    <w:name w:val="Heading 4"/>
    <w:basedOn w:val="Normal"/>
    <w:next w:val="Normal"/>
    <w:link w:val="标题4字符"/>
    <w:uiPriority w:val="9"/>
    <w:qFormat/>
    <w:pPr>
      <w:keepNext/>
      <w:keepLines/>
      <w:spacing w:before="280" w:after="290" w:line="376" w:lineRule="auto"/>
      <w:outlineLvl w:val="3"/>
    </w:pPr>
    <w:rPr>
      <w:rFonts w:ascii="Arial" w:eastAsia="黑体" w:hAnsi="Arial"/>
      <w:b/>
      <w:bCs/>
      <w:sz w:val="28"/>
      <w:szCs w:val="28"/>
    </w:rPr>
  </w:style>
  <w:style w:type="paragraph" w:styleId="Heading5">
    <w:name w:val="Heading 5"/>
    <w:basedOn w:val="Normal"/>
    <w:next w:val="Normal"/>
    <w:link w:val="标题5字符"/>
    <w:uiPriority w:val="9"/>
    <w:qFormat/>
    <w:pPr>
      <w:spacing w:before="200" w:line="360" w:lineRule="auto"/>
      <w:ind w:firstLine="200" w:firstLineChars="200"/>
      <w:outlineLvl w:val="4"/>
    </w:pPr>
    <w:rPr>
      <w:rFonts w:ascii="Cambria" w:hAnsi="Cambria"/>
      <w:b/>
      <w:bCs/>
      <w:color w:val="7F7F7F"/>
      <w:sz w:val="24"/>
      <w:szCs w:val="20"/>
    </w:rPr>
  </w:style>
  <w:style w:type="paragraph" w:styleId="Heading6">
    <w:name w:val="Heading 6"/>
    <w:basedOn w:val="Normal"/>
    <w:next w:val="Normal"/>
    <w:link w:val="标题6字符"/>
    <w:uiPriority w:val="9"/>
    <w:qFormat/>
    <w:pPr>
      <w:spacing w:line="271" w:lineRule="auto"/>
      <w:ind w:firstLine="200" w:firstLineChars="200"/>
      <w:outlineLvl w:val="5"/>
    </w:pPr>
    <w:rPr>
      <w:rFonts w:ascii="Cambria" w:hAnsi="Cambria"/>
      <w:b/>
      <w:bCs/>
      <w:i/>
      <w:iCs/>
      <w:color w:val="7F7F7F"/>
      <w:sz w:val="24"/>
      <w:szCs w:val="20"/>
    </w:rPr>
  </w:style>
  <w:style w:type="paragraph" w:styleId="Heading7">
    <w:name w:val="Heading 7"/>
    <w:basedOn w:val="Normal"/>
    <w:next w:val="Normal"/>
    <w:link w:val="标题7字符"/>
    <w:uiPriority w:val="9"/>
    <w:qFormat/>
    <w:pPr>
      <w:spacing w:line="360" w:lineRule="auto"/>
      <w:ind w:firstLine="200" w:firstLineChars="200"/>
      <w:outlineLvl w:val="6"/>
    </w:pPr>
    <w:rPr>
      <w:rFonts w:ascii="Cambria" w:hAnsi="Cambria"/>
      <w:i/>
      <w:iCs/>
      <w:sz w:val="24"/>
      <w:szCs w:val="20"/>
    </w:rPr>
  </w:style>
  <w:style w:type="paragraph" w:styleId="Heading8">
    <w:name w:val="Heading 8"/>
    <w:basedOn w:val="Normal"/>
    <w:next w:val="Normal"/>
    <w:link w:val="标题8字符"/>
    <w:uiPriority w:val="9"/>
    <w:qFormat/>
    <w:pPr>
      <w:spacing w:line="360" w:lineRule="auto"/>
      <w:ind w:firstLine="200" w:firstLineChars="200"/>
      <w:outlineLvl w:val="7"/>
    </w:pPr>
    <w:rPr>
      <w:rFonts w:ascii="Cambria" w:hAnsi="Cambria"/>
      <w:sz w:val="20"/>
      <w:szCs w:val="20"/>
    </w:rPr>
  </w:style>
  <w:style w:type="paragraph" w:styleId="Heading9">
    <w:name w:val="Heading 9"/>
    <w:basedOn w:val="Normal"/>
    <w:next w:val="Normal"/>
    <w:link w:val="标题9字符"/>
    <w:uiPriority w:val="9"/>
    <w:qFormat/>
    <w:pPr>
      <w:spacing w:line="360" w:lineRule="auto"/>
      <w:ind w:firstLine="200" w:firstLineChars="200"/>
      <w:outlineLvl w:val="8"/>
    </w:pPr>
    <w:rPr>
      <w:rFonts w:ascii="Cambria" w:hAnsi="Cambria"/>
      <w:i/>
      <w:iCs/>
      <w:spacing w:val="5"/>
      <w:sz w:val="20"/>
      <w:szCs w:val="20"/>
    </w:rPr>
  </w:style>
  <w:style w:type="character" w:default="1" w:styleId="DefaultParagraphFont">
    <w:name w:val="Default Paragraph Font"/>
    <w:uiPriority w:val="1"/>
    <w:semiHidden/>
    <w:unhideWhenUsed/>
    <w:qFormat/>
    <w:rPr/>
  </w:style>
  <w:style w:type="table" w:default="1" w:styleId="NormalTable">
    <w:name w:val="Normal Table"/>
    <w:uiPriority w:val="99"/>
    <w:semiHidden/>
    <w:unhideWhenUsed/>
    <w:qFormat/>
    <w:rPr/>
    <w:tblPr>
      <w:tblCellMar>
        <w:top w:w="0" w:type="dxa"/>
        <w:left w:w="108" w:type="dxa"/>
        <w:bottom w:w="0" w:type="dxa"/>
        <w:right w:w="108" w:type="dxa"/>
      </w:tblCellMar>
    </w:tblPr>
  </w:style>
  <w:style w:type="paragraph" w:styleId="ListNumber">
    <w:name w:val="List Number"/>
    <w:basedOn w:val="Normal"/>
    <w:qFormat/>
    <w:pPr>
      <w:tabs>
        <w:tab w:val="left" w:pos="360"/>
      </w:tabs>
      <w:ind w:left="360" w:hanging="360" w:hangingChars="200"/>
    </w:pPr>
    <w:rPr>
      <w:szCs w:val="20"/>
    </w:rPr>
  </w:style>
  <w:style w:type="paragraph" w:styleId="NormalIndent">
    <w:name w:val="Normal Indent"/>
    <w:basedOn w:val="Normal"/>
    <w:next w:val="Header"/>
    <w:link w:val="正文缩进字符"/>
    <w:qFormat/>
    <w:pPr>
      <w:ind w:firstLine="420"/>
    </w:pPr>
    <w:rPr>
      <w:szCs w:val="20"/>
    </w:rPr>
  </w:style>
  <w:style w:type="paragraph" w:styleId="Header">
    <w:name w:val="Header"/>
    <w:basedOn w:val="Normal"/>
    <w:next w:val="Normal"/>
    <w:link w:val="页眉字符"/>
    <w:qFormat/>
    <w:pPr>
      <w:pBdr>
        <w:bottom w:val="single" w:sz="6" w:space="1" w:color="auto"/>
      </w:pBdr>
      <w:tabs>
        <w:tab w:val="center" w:pos="4153"/>
        <w:tab w:val="right" w:pos="8306"/>
      </w:tabs>
      <w:snapToGrid w:val="0"/>
      <w:jc w:val="center"/>
    </w:pPr>
    <w:rPr>
      <w:sz w:val="18"/>
      <w:szCs w:val="18"/>
    </w:rPr>
  </w:style>
  <w:style w:type="paragraph" w:styleId="Caption">
    <w:name w:val="Caption"/>
    <w:basedOn w:val="Normal"/>
    <w:next w:val="Normal"/>
    <w:qFormat/>
    <w:pPr>
      <w:spacing w:line="360" w:lineRule="auto"/>
      <w:ind w:firstLine="200" w:firstLineChars="200"/>
    </w:pPr>
    <w:rPr>
      <w:rFonts w:ascii="Arial" w:hAnsi="Arial" w:cs="宋体"/>
      <w:b/>
      <w:bCs/>
      <w:color w:val="365F91"/>
      <w:sz w:val="16"/>
      <w:szCs w:val="16"/>
    </w:rPr>
  </w:style>
  <w:style w:type="paragraph" w:styleId="DocumentMap">
    <w:name w:val="Document Map"/>
    <w:basedOn w:val="Normal"/>
    <w:link w:val="文档结构图字符"/>
    <w:qFormat/>
    <w:pPr>
      <w:shd w:val="clear" w:color="auto" w:fill="000080"/>
    </w:pPr>
    <w:rPr/>
  </w:style>
  <w:style w:type="paragraph" w:styleId="TOAHeading">
    <w:name w:val="TOA Heading"/>
    <w:basedOn w:val="Normal"/>
    <w:next w:val="Normal"/>
    <w:qFormat/>
    <w:pPr>
      <w:spacing w:before="120"/>
    </w:pPr>
    <w:rPr>
      <w:rFonts w:ascii="Arial" w:hAnsi="Arial"/>
      <w:sz w:val="24"/>
    </w:rPr>
  </w:style>
  <w:style w:type="paragraph" w:styleId="CommentText">
    <w:name w:val="Comment Text"/>
    <w:basedOn w:val="Normal"/>
    <w:link w:val="批注文字字符"/>
    <w:qFormat/>
    <w:pPr>
      <w:spacing w:line="360" w:lineRule="auto"/>
      <w:jc w:val="left"/>
    </w:pPr>
    <w:rPr>
      <w:rFonts w:ascii="宋体" w:hAnsi="宋体"/>
      <w:kern w:val="0"/>
      <w:sz w:val="24"/>
      <w:szCs w:val="20"/>
    </w:rPr>
  </w:style>
  <w:style w:type="paragraph" w:styleId="BodyText3">
    <w:name w:val="Body Text 3"/>
    <w:basedOn w:val="Normal"/>
    <w:link w:val="正文文本3字符"/>
    <w:qFormat/>
    <w:rPr>
      <w:rFonts w:ascii="楷体_GB2312" w:eastAsia="楷体_GB2312" w:hAnsi="Arial" w:cs="Arial"/>
      <w:b/>
      <w:bCs/>
      <w:color w:val="000000"/>
      <w:sz w:val="24"/>
    </w:rPr>
  </w:style>
  <w:style w:type="paragraph" w:styleId="BodyText">
    <w:name w:val="Body Text"/>
    <w:basedOn w:val="Normal"/>
    <w:next w:val="BodyText2"/>
    <w:link w:val="正文文本字符"/>
    <w:uiPriority w:val="1"/>
    <w:qFormat/>
    <w:pPr>
      <w:tabs>
        <w:tab w:val="left" w:pos="2020"/>
        <w:tab w:val="center" w:pos="4535"/>
      </w:tabs>
      <w:spacing w:line="500" w:lineRule="exact"/>
      <w:outlineLvl w:val="0"/>
    </w:pPr>
    <w:rPr>
      <w:rFonts w:ascii="华文彩云" w:eastAsia="华文彩云" w:hAnsi="宋体"/>
      <w:bCs/>
      <w:color w:val="000000"/>
      <w:sz w:val="28"/>
    </w:rPr>
  </w:style>
  <w:style w:type="paragraph" w:styleId="BodyText2">
    <w:name w:val="Body Text 2"/>
    <w:basedOn w:val="Normal"/>
    <w:link w:val="正文文本2字符"/>
    <w:qFormat/>
    <w:pPr>
      <w:spacing w:line="440" w:lineRule="exact"/>
    </w:pPr>
    <w:rPr>
      <w:rFonts w:ascii="楷体_GB2312" w:eastAsia="楷体_GB2312"/>
      <w:sz w:val="28"/>
    </w:rPr>
  </w:style>
  <w:style w:type="paragraph" w:styleId="BodyTextIndent">
    <w:name w:val="Body Text Indent"/>
    <w:basedOn w:val="Normal"/>
    <w:link w:val="正文文本缩进字符"/>
    <w:qFormat/>
    <w:pPr>
      <w:ind w:firstLine="630"/>
    </w:pPr>
    <w:rPr>
      <w:rFonts w:ascii="楷体_GB2312" w:eastAsia="楷体_GB2312"/>
      <w:sz w:val="32"/>
      <w:szCs w:val="20"/>
    </w:rPr>
  </w:style>
  <w:style w:type="paragraph" w:styleId="BlockText">
    <w:name w:val="Block Text"/>
    <w:basedOn w:val="Normal"/>
    <w:qFormat/>
    <w:pPr>
      <w:adjustRightInd w:val="0"/>
      <w:ind w:left="420" w:right="33"/>
      <w:jc w:val="left"/>
      <w:textAlignment w:val="baseline"/>
    </w:pPr>
    <w:rPr>
      <w:kern w:val="0"/>
      <w:sz w:val="24"/>
      <w:szCs w:val="20"/>
    </w:rPr>
  </w:style>
  <w:style w:type="paragraph" w:styleId="Index4">
    <w:name w:val="Index 4"/>
    <w:basedOn w:val="Normal"/>
    <w:next w:val="Normal"/>
    <w:uiPriority w:val="99"/>
    <w:unhideWhenUsed/>
    <w:qFormat/>
    <w:pPr>
      <w:ind w:left="600" w:leftChars="600"/>
    </w:pPr>
    <w:rPr>
      <w:rFonts w:ascii="Verdana" w:hAnsi="Verdana"/>
      <w:szCs w:val="20"/>
    </w:rPr>
  </w:style>
  <w:style w:type="paragraph" w:styleId="TOC5">
    <w:name w:val="TOC 5"/>
    <w:basedOn w:val="Normal"/>
    <w:next w:val="Normal"/>
    <w:uiPriority w:val="39"/>
    <w:unhideWhenUsed/>
    <w:qFormat/>
    <w:pPr>
      <w:ind w:left="1680" w:leftChars="800"/>
    </w:pPr>
    <w:rPr>
      <w:rFonts w:ascii="Calibri" w:hAnsi="Calibri" w:cs="黑体"/>
      <w:szCs w:val="22"/>
    </w:rPr>
  </w:style>
  <w:style w:type="paragraph" w:styleId="TOC3">
    <w:name w:val="TOC 3"/>
    <w:basedOn w:val="Normal"/>
    <w:next w:val="Normal"/>
    <w:qFormat/>
    <w:pPr>
      <w:tabs>
        <w:tab w:val="right" w:leader="dot" w:pos="9344"/>
      </w:tabs>
      <w:spacing w:line="300" w:lineRule="auto"/>
      <w:ind w:left="840" w:leftChars="400"/>
    </w:pPr>
    <w:rPr>
      <w:rFonts w:ascii="Arial" w:hAnsi="Arial" w:cs="Arial"/>
      <w:szCs w:val="21"/>
    </w:rPr>
  </w:style>
  <w:style w:type="paragraph" w:styleId="PlainText">
    <w:name w:val="Plain Text"/>
    <w:basedOn w:val="Normal"/>
    <w:link w:val="纯文本字符"/>
    <w:qFormat/>
    <w:rPr>
      <w:rFonts w:ascii="宋体" w:hAnsi="Courier New"/>
      <w:szCs w:val="21"/>
    </w:rPr>
  </w:style>
  <w:style w:type="paragraph" w:styleId="Date">
    <w:name w:val="Date"/>
    <w:basedOn w:val="Normal"/>
    <w:next w:val="Normal"/>
    <w:link w:val="日期字符"/>
    <w:qFormat/>
    <w:pPr>
      <w:ind w:left="100" w:leftChars="2500"/>
    </w:pPr>
    <w:rPr/>
  </w:style>
  <w:style w:type="paragraph" w:styleId="BodyTextIndent2">
    <w:name w:val="Body Text Indent 2"/>
    <w:basedOn w:val="Normal"/>
    <w:link w:val="正文文本缩进2字符"/>
    <w:qFormat/>
    <w:pPr>
      <w:spacing w:after="120" w:line="480" w:lineRule="auto"/>
      <w:ind w:left="420" w:leftChars="200"/>
    </w:pPr>
    <w:rPr/>
  </w:style>
  <w:style w:type="paragraph" w:styleId="BalloonText">
    <w:name w:val="Balloon Text"/>
    <w:basedOn w:val="Normal"/>
    <w:link w:val="批注框文本字符"/>
    <w:unhideWhenUsed/>
    <w:qFormat/>
    <w:pPr>
      <w:ind w:firstLine="200" w:firstLineChars="200"/>
    </w:pPr>
    <w:rPr>
      <w:rFonts w:ascii="Arial" w:hAnsi="Arial" w:cs="宋体"/>
      <w:sz w:val="18"/>
      <w:szCs w:val="18"/>
    </w:rPr>
  </w:style>
  <w:style w:type="paragraph" w:styleId="Footer">
    <w:name w:val="Footer"/>
    <w:basedOn w:val="Normal"/>
    <w:link w:val="页脚字符"/>
    <w:qFormat/>
    <w:pPr>
      <w:tabs>
        <w:tab w:val="center" w:pos="4153"/>
        <w:tab w:val="right" w:pos="8306"/>
      </w:tabs>
      <w:snapToGrid w:val="0"/>
      <w:jc w:val="left"/>
    </w:pPr>
    <w:rPr>
      <w:sz w:val="18"/>
      <w:szCs w:val="18"/>
    </w:rPr>
  </w:style>
  <w:style w:type="paragraph" w:styleId="EnvelopeReturn">
    <w:name w:val="Envelope Return"/>
    <w:basedOn w:val="Normal"/>
    <w:uiPriority w:val="99"/>
    <w:qFormat/>
    <w:pPr>
      <w:snapToGrid w:val="0"/>
    </w:pPr>
    <w:rPr>
      <w:rFonts w:ascii="Arial" w:hAnsi="Arial"/>
    </w:rPr>
  </w:style>
  <w:style w:type="paragraph" w:styleId="TOC1">
    <w:name w:val="TOC 1"/>
    <w:basedOn w:val="Normal"/>
    <w:next w:val="Normal"/>
    <w:qFormat/>
    <w:rPr/>
  </w:style>
  <w:style w:type="paragraph" w:styleId="Subtitle">
    <w:name w:val="Subtitle"/>
    <w:basedOn w:val="Normal"/>
    <w:next w:val="Normal"/>
    <w:link w:val="副标题字符"/>
    <w:qFormat/>
    <w:pPr>
      <w:spacing w:after="600" w:line="360" w:lineRule="auto"/>
      <w:ind w:firstLine="200" w:firstLineChars="200"/>
    </w:pPr>
    <w:rPr>
      <w:rFonts w:ascii="Cambria" w:hAnsi="Cambria"/>
      <w:i/>
      <w:iCs/>
      <w:spacing w:val="13"/>
      <w:sz w:val="24"/>
    </w:rPr>
  </w:style>
  <w:style w:type="paragraph" w:styleId="TOC6">
    <w:name w:val="TOC 6"/>
    <w:basedOn w:val="Normal"/>
    <w:next w:val="Normal"/>
    <w:uiPriority w:val="39"/>
    <w:qFormat/>
    <w:pPr>
      <w:ind w:left="1050"/>
      <w:jc w:val="left"/>
    </w:pPr>
    <w:rPr>
      <w:sz w:val="18"/>
      <w:szCs w:val="18"/>
    </w:rPr>
  </w:style>
  <w:style w:type="paragraph" w:styleId="BodyTextIndent3">
    <w:name w:val="Body Text Indent 3"/>
    <w:basedOn w:val="Normal"/>
    <w:link w:val="正文文本缩进3字符"/>
    <w:qFormat/>
    <w:pPr>
      <w:ind w:firstLine="420" w:firstLineChars="200"/>
    </w:pPr>
    <w:rPr>
      <w:rFonts w:eastAsia="楷体_GB2312"/>
    </w:rPr>
  </w:style>
  <w:style w:type="paragraph" w:styleId="TOC2">
    <w:name w:val="TOC 2"/>
    <w:basedOn w:val="Normal"/>
    <w:next w:val="Normal"/>
    <w:qFormat/>
    <w:pPr>
      <w:ind w:left="420" w:leftChars="200"/>
    </w:pPr>
    <w:rPr>
      <w:szCs w:val="20"/>
    </w:rPr>
  </w:style>
  <w:style w:type="paragraph" w:styleId="HTMLPreformatted">
    <w:name w:val="HTML Preformatted"/>
    <w:basedOn w:val="Normal"/>
    <w:link w:val="HTML预设格式字符"/>
    <w:unhideWhenUsed/>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Normal(Web)">
    <w:name w:val="Normal (Web)"/>
    <w:basedOn w:val="Normal"/>
    <w:qFormat/>
    <w:pPr>
      <w:widowControl/>
      <w:spacing w:before="100" w:beforeAutospacing="1" w:after="100" w:afterAutospacing="1"/>
      <w:jc w:val="left"/>
    </w:pPr>
    <w:rPr>
      <w:rFonts w:ascii="宋体" w:hAnsi="宋体"/>
      <w:kern w:val="0"/>
      <w:sz w:val="24"/>
      <w:szCs w:val="20"/>
    </w:rPr>
  </w:style>
  <w:style w:type="paragraph" w:styleId="Title">
    <w:name w:val="Title"/>
    <w:basedOn w:val="Normal"/>
    <w:next w:val="Normal"/>
    <w:link w:val="标题字符"/>
    <w:qFormat/>
    <w:pPr>
      <w:pBdr>
        <w:bottom w:val="single" w:sz="4" w:space="1" w:color="auto"/>
      </w:pBdr>
      <w:ind w:firstLine="200" w:firstLineChars="200"/>
      <w:contextualSpacing/>
    </w:pPr>
    <w:rPr>
      <w:rFonts w:ascii="Cambria" w:hAnsi="Cambria"/>
      <w:spacing w:val="5"/>
      <w:sz w:val="52"/>
      <w:szCs w:val="52"/>
    </w:rPr>
  </w:style>
  <w:style w:type="paragraph" w:styleId="CommentSubject">
    <w:name w:val="Comment Subject"/>
    <w:basedOn w:val="CommentText"/>
    <w:next w:val="CommentText"/>
    <w:link w:val="批注主题字符"/>
    <w:qFormat/>
    <w:pPr>
      <w:spacing w:line="240" w:lineRule="auto"/>
    </w:pPr>
    <w:rPr>
      <w:rFonts w:ascii="Times New Roman" w:hAnsi="Times New Roman"/>
      <w:b/>
      <w:bCs/>
      <w:kern w:val="2"/>
      <w:sz w:val="21"/>
      <w:szCs w:val="24"/>
    </w:rPr>
  </w:style>
  <w:style w:type="paragraph" w:styleId="BodyTextFirstIndent">
    <w:name w:val="Body Text First Indent"/>
    <w:basedOn w:val="BodyText"/>
    <w:link w:val="正文文本首行缩进字符"/>
    <w:qFormat/>
    <w:pPr>
      <w:spacing w:after="120" w:line="240" w:lineRule="auto"/>
      <w:ind w:firstLine="420" w:firstLineChars="100"/>
      <w:outlineLvl w:val="9"/>
    </w:pPr>
    <w:rPr>
      <w:rFonts w:ascii="Times New Roman" w:eastAsia="宋体" w:hAnsi="Times New Roman"/>
      <w:bCs w:val="0"/>
      <w:color w:val="auto"/>
      <w:sz w:val="21"/>
    </w:rPr>
  </w:style>
  <w:style w:type="paragraph" w:styleId="BodyTextFirstIndent2">
    <w:name w:val="Body Text First Indent 2"/>
    <w:basedOn w:val="BodyTextIndent"/>
    <w:link w:val="正文文本首行缩进2字符"/>
    <w:qFormat/>
    <w:pPr>
      <w:widowControl/>
      <w:spacing w:after="120"/>
      <w:ind w:left="420" w:firstLine="420" w:leftChars="200" w:firstLineChars="200"/>
    </w:pPr>
    <w:rPr>
      <w:rFonts w:ascii="仿宋_GB2312" w:eastAsia="仿宋_GB2312"/>
      <w:color w:val="FF6600"/>
      <w:sz w:val="21"/>
    </w:rPr>
  </w:style>
  <w:style w:type="table" w:styleId="TableGrid">
    <w:name w:val="Table Grid"/>
    <w:basedOn w:val="NormalTable"/>
    <w:uiPriority w:val="59"/>
    <w:qFormat/>
    <w:pPr>
      <w:widowControl w:val="0"/>
      <w:jc w:val="both"/>
    </w:pP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bCs/>
    </w:rPr>
  </w:style>
  <w:style w:type="character" w:styleId="PageNumber">
    <w:name w:val="Page Number"/>
    <w:basedOn w:val="DefaultParagraphFont"/>
    <w:qFormat/>
    <w:rPr/>
  </w:style>
  <w:style w:type="character" w:styleId="FollowedHyperlink">
    <w:name w:val="FollowedHyperlink"/>
    <w:qFormat/>
    <w:rPr>
      <w:color w:val="333333"/>
      <w:u w:val="none"/>
    </w:rPr>
  </w:style>
  <w:style w:type="character" w:styleId="Emphasis">
    <w:name w:val="Emphasis"/>
    <w:qFormat/>
    <w:rPr>
      <w:b/>
      <w:bCs/>
      <w:i/>
      <w:iCs/>
      <w:spacing w:val="10"/>
      <w:shd w:val="clear" w:color="auto" w:fill="auto"/>
    </w:rPr>
  </w:style>
  <w:style w:type="character" w:styleId="HTMLDefinition">
    <w:name w:val="HTML Definition"/>
    <w:basedOn w:val="DefaultParagraphFont"/>
    <w:qFormat/>
    <w:rPr/>
  </w:style>
  <w:style w:type="character" w:styleId="HTMLTypewriter">
    <w:name w:val="HTML Typewriter"/>
    <w:basedOn w:val="DefaultParagraphFont"/>
    <w:qFormat/>
    <w:rPr>
      <w:rFonts w:ascii="monospace" w:eastAsia="monospace" w:hAnsi="monospace" w:cs="monospace" w:hint="default"/>
      <w:sz w:val="20"/>
    </w:rPr>
  </w:style>
  <w:style w:type="character" w:styleId="HTMLAcronym">
    <w:name w:val="HTML Acronym"/>
    <w:basedOn w:val="DefaultParagraphFont"/>
    <w:qFormat/>
    <w:rPr/>
  </w:style>
  <w:style w:type="character" w:styleId="HTMLVariable">
    <w:name w:val="HTML Variable"/>
    <w:basedOn w:val="DefaultParagraphFont"/>
    <w:qFormat/>
    <w:rPr/>
  </w:style>
  <w:style w:type="character" w:styleId="Hyperlink">
    <w:name w:val="Hyperlink"/>
    <w:qFormat/>
    <w:rPr>
      <w:color w:val="333333"/>
      <w:u w:val="none"/>
      <w:bdr w:val="single" w:sz="4" w:space="0" w:color="B6AF95"/>
      <w:shd w:val="clear" w:color="auto" w:fill="FFFFFF"/>
    </w:rPr>
  </w:style>
  <w:style w:type="character" w:styleId="HTMLCode">
    <w:name w:val="HTML Code"/>
    <w:basedOn w:val="DefaultParagraphFont"/>
    <w:qFormat/>
    <w:rPr>
      <w:rFonts w:ascii="monospace" w:eastAsia="monospace" w:hAnsi="monospace" w:cs="monospace" w:hint="default"/>
      <w:sz w:val="20"/>
    </w:rPr>
  </w:style>
  <w:style w:type="character" w:styleId="CommentReference">
    <w:name w:val="Comment Reference"/>
    <w:qFormat/>
    <w:rPr>
      <w:rFonts w:cs="Times New Roman"/>
      <w:sz w:val="21"/>
      <w:szCs w:val="21"/>
    </w:rPr>
  </w:style>
  <w:style w:type="character" w:styleId="HTMLCite">
    <w:name w:val="HTML Cite"/>
    <w:basedOn w:val="DefaultParagraphFont"/>
    <w:qFormat/>
    <w:rPr/>
  </w:style>
  <w:style w:type="character" w:styleId="HTMLKeyboard">
    <w:name w:val="HTML Keyboard"/>
    <w:basedOn w:val="DefaultParagraphFont"/>
    <w:qFormat/>
    <w:rPr>
      <w:rFonts w:ascii="monospace" w:eastAsia="monospace" w:hAnsi="monospace" w:cs="monospace" w:hint="default"/>
      <w:sz w:val="20"/>
    </w:rPr>
  </w:style>
  <w:style w:type="character" w:styleId="HTMLSample">
    <w:name w:val="HTML Sample"/>
    <w:basedOn w:val="DefaultParagraphFont"/>
    <w:qFormat/>
    <w:rPr>
      <w:rFonts w:ascii="monospace" w:eastAsia="monospace" w:hAnsi="monospace" w:cs="monospace"/>
    </w:rPr>
  </w:style>
  <w:style w:type="paragraph" w:customStyle="1" w:styleId="Default">
    <w:name w:val="Default"/>
    <w:qFormat/>
    <w:pPr>
      <w:widowControl w:val="0"/>
      <w:autoSpaceDE w:val="0"/>
      <w:autoSpaceDN w:val="0"/>
      <w:adjustRightInd w:val="0"/>
    </w:pPr>
    <w:rPr>
      <w:rFonts w:ascii="黑体" w:eastAsia="黑体" w:hAnsi="Times New Roman" w:cs="Times New Roman"/>
      <w:lang w:val="en-US" w:eastAsia="zh-CN" w:bidi="ar-SA"/>
    </w:rPr>
  </w:style>
  <w:style w:type="paragraph" w:customStyle="1" w:styleId="正文1">
    <w:name w:val="正文1"/>
    <w:next w:val="Normal"/>
    <w:qFormat/>
    <w:pPr>
      <w:jc w:val="both"/>
    </w:pPr>
    <w:rPr>
      <w:rFonts w:ascii="Times New Roman" w:eastAsia="宋体" w:hAnsi="Times New Roman" w:cs="宋体"/>
      <w:kern w:val="2"/>
      <w:sz w:val="21"/>
      <w:szCs w:val="21"/>
      <w:lang w:val="en-US" w:eastAsia="zh-CN" w:bidi="ar-SA"/>
    </w:rPr>
  </w:style>
  <w:style w:type="character" w:customStyle="1" w:styleId="正文文本2字符">
    <w:name w:val="正文文本 2 字符"/>
    <w:basedOn w:val="DefaultParagraphFont"/>
    <w:link w:val="BodyText2"/>
    <w:qFormat/>
    <w:rPr>
      <w:rFonts w:ascii="楷体_GB2312" w:eastAsia="楷体_GB2312"/>
      <w:kern w:val="2"/>
      <w:sz w:val="28"/>
      <w:szCs w:val="24"/>
    </w:rPr>
  </w:style>
  <w:style w:type="character" w:customStyle="1" w:styleId="正文文本字符">
    <w:name w:val="正文文本 字符"/>
    <w:basedOn w:val="DefaultParagraphFont"/>
    <w:link w:val="BodyText"/>
    <w:uiPriority w:val="1"/>
    <w:qFormat/>
    <w:rPr>
      <w:rFonts w:ascii="华文彩云" w:eastAsia="华文彩云" w:hAnsi="宋体"/>
      <w:bCs/>
      <w:color w:val="000000"/>
      <w:kern w:val="2"/>
      <w:sz w:val="28"/>
      <w:szCs w:val="24"/>
    </w:rPr>
  </w:style>
  <w:style w:type="character" w:customStyle="1" w:styleId="标题1字符">
    <w:name w:val="标题 1 字符"/>
    <w:link w:val="Heading1"/>
    <w:qFormat/>
    <w:rPr>
      <w:rFonts w:eastAsia="宋体"/>
      <w:b/>
      <w:bCs/>
      <w:kern w:val="44"/>
      <w:sz w:val="44"/>
      <w:szCs w:val="44"/>
      <w:lang w:val="en-US" w:eastAsia="zh-CN" w:bidi="ar-SA"/>
    </w:rPr>
  </w:style>
  <w:style w:type="character" w:customStyle="1" w:styleId="标题2字符">
    <w:name w:val="标题 2 字符"/>
    <w:basedOn w:val="DefaultParagraphFont"/>
    <w:link w:val="Heading2"/>
    <w:uiPriority w:val="9"/>
    <w:qFormat/>
    <w:rPr>
      <w:rFonts w:ascii="Arial" w:eastAsia="黑体" w:hAnsi="Arial"/>
      <w:b/>
      <w:kern w:val="2"/>
      <w:sz w:val="32"/>
    </w:rPr>
  </w:style>
  <w:style w:type="character" w:customStyle="1" w:styleId="标题3字符">
    <w:name w:val="标题 3 字符"/>
    <w:link w:val="Heading3"/>
    <w:uiPriority w:val="99"/>
    <w:qFormat/>
    <w:rPr>
      <w:rFonts w:ascii="Arial" w:eastAsia="宋体" w:hAnsi="Arial"/>
      <w:b/>
      <w:kern w:val="2"/>
      <w:sz w:val="32"/>
      <w:lang w:val="en-US" w:eastAsia="zh-CN" w:bidi="ar-SA"/>
    </w:rPr>
  </w:style>
  <w:style w:type="character" w:customStyle="1" w:styleId="标题4字符">
    <w:name w:val="标题 4 字符"/>
    <w:link w:val="Heading4"/>
    <w:uiPriority w:val="9"/>
    <w:qFormat/>
    <w:rPr>
      <w:rFonts w:ascii="Arial" w:eastAsia="黑体" w:hAnsi="Arial"/>
      <w:b/>
      <w:bCs/>
      <w:kern w:val="2"/>
      <w:sz w:val="28"/>
      <w:szCs w:val="28"/>
      <w:lang w:val="en-US" w:eastAsia="zh-CN" w:bidi="ar-SA"/>
    </w:rPr>
  </w:style>
  <w:style w:type="character" w:customStyle="1" w:styleId="标题5字符">
    <w:name w:val="标题 5 字符"/>
    <w:link w:val="Heading5"/>
    <w:qFormat/>
    <w:rPr>
      <w:rFonts w:ascii="Cambria" w:eastAsia="宋体" w:hAnsi="Cambria"/>
      <w:b/>
      <w:bCs/>
      <w:color w:val="7F7F7F"/>
      <w:kern w:val="2"/>
      <w:sz w:val="24"/>
      <w:lang w:val="en-US" w:eastAsia="zh-CN" w:bidi="ar-SA"/>
    </w:rPr>
  </w:style>
  <w:style w:type="character" w:customStyle="1" w:styleId="标题6字符">
    <w:name w:val="标题 6 字符"/>
    <w:link w:val="Heading6"/>
    <w:qFormat/>
    <w:rPr>
      <w:rFonts w:ascii="Cambria" w:eastAsia="宋体" w:hAnsi="Cambria"/>
      <w:b/>
      <w:bCs/>
      <w:i/>
      <w:iCs/>
      <w:color w:val="7F7F7F"/>
      <w:kern w:val="2"/>
      <w:sz w:val="24"/>
      <w:lang w:val="en-US" w:eastAsia="zh-CN" w:bidi="ar-SA"/>
    </w:rPr>
  </w:style>
  <w:style w:type="character" w:customStyle="1" w:styleId="标题7字符">
    <w:name w:val="标题 7 字符"/>
    <w:link w:val="Heading7"/>
    <w:qFormat/>
    <w:rPr>
      <w:rFonts w:ascii="Cambria" w:eastAsia="宋体" w:hAnsi="Cambria"/>
      <w:i/>
      <w:iCs/>
      <w:kern w:val="2"/>
      <w:sz w:val="24"/>
      <w:lang w:val="en-US" w:eastAsia="zh-CN" w:bidi="ar-SA"/>
    </w:rPr>
  </w:style>
  <w:style w:type="character" w:customStyle="1" w:styleId="标题8字符">
    <w:name w:val="标题 8 字符"/>
    <w:link w:val="Heading8"/>
    <w:qFormat/>
    <w:rPr>
      <w:rFonts w:ascii="Cambria" w:eastAsia="宋体" w:hAnsi="Cambria"/>
      <w:kern w:val="2"/>
      <w:lang w:val="en-US" w:eastAsia="zh-CN" w:bidi="ar-SA"/>
    </w:rPr>
  </w:style>
  <w:style w:type="character" w:customStyle="1" w:styleId="标题9字符">
    <w:name w:val="标题 9 字符"/>
    <w:link w:val="Heading9"/>
    <w:qFormat/>
    <w:rPr>
      <w:rFonts w:ascii="Cambria" w:eastAsia="宋体" w:hAnsi="Cambria"/>
      <w:i/>
      <w:iCs/>
      <w:spacing w:val="5"/>
      <w:kern w:val="2"/>
      <w:lang w:val="en-US" w:eastAsia="zh-CN" w:bidi="ar-SA"/>
    </w:rPr>
  </w:style>
  <w:style w:type="character" w:customStyle="1" w:styleId="页眉字符">
    <w:name w:val="页眉 字符"/>
    <w:basedOn w:val="DefaultParagraphFont"/>
    <w:link w:val="Header"/>
    <w:qFormat/>
    <w:rPr>
      <w:kern w:val="2"/>
      <w:sz w:val="18"/>
      <w:szCs w:val="18"/>
    </w:rPr>
  </w:style>
  <w:style w:type="character" w:customStyle="1" w:styleId="正文缩进字符">
    <w:name w:val="正文缩进 字符"/>
    <w:link w:val="NormalIndent"/>
    <w:qFormat/>
    <w:rPr>
      <w:rFonts w:eastAsia="宋体"/>
      <w:kern w:val="2"/>
      <w:sz w:val="21"/>
      <w:lang w:val="en-US" w:eastAsia="zh-CN" w:bidi="ar-SA"/>
    </w:rPr>
  </w:style>
  <w:style w:type="character" w:customStyle="1" w:styleId="文档结构图字符">
    <w:name w:val="文档结构图 字符"/>
    <w:basedOn w:val="DefaultParagraphFont"/>
    <w:link w:val="DocumentMap"/>
    <w:qFormat/>
    <w:rPr>
      <w:kern w:val="2"/>
      <w:sz w:val="21"/>
      <w:szCs w:val="24"/>
      <w:shd w:val="clear" w:color="auto" w:fill="000080"/>
    </w:rPr>
  </w:style>
  <w:style w:type="character" w:customStyle="1" w:styleId="批注文字字符">
    <w:name w:val="批注文字 字符"/>
    <w:link w:val="CommentText"/>
    <w:qFormat/>
    <w:locked/>
    <w:rPr>
      <w:rFonts w:ascii="宋体" w:hAnsi="宋体"/>
      <w:sz w:val="24"/>
    </w:rPr>
  </w:style>
  <w:style w:type="character" w:customStyle="1" w:styleId="正文文本3字符">
    <w:name w:val="正文文本 3 字符"/>
    <w:basedOn w:val="DefaultParagraphFont"/>
    <w:link w:val="BodyText3"/>
    <w:qFormat/>
    <w:rPr>
      <w:rFonts w:ascii="楷体_GB2312" w:eastAsia="楷体_GB2312" w:hAnsi="Arial" w:cs="Arial"/>
      <w:b/>
      <w:bCs/>
      <w:color w:val="000000"/>
      <w:kern w:val="2"/>
      <w:sz w:val="24"/>
      <w:szCs w:val="24"/>
    </w:rPr>
  </w:style>
  <w:style w:type="character" w:customStyle="1" w:styleId="正文文本缩进字符">
    <w:name w:val="正文文本缩进 字符"/>
    <w:link w:val="BodyTextIndent"/>
    <w:qFormat/>
    <w:rPr>
      <w:rFonts w:ascii="楷体_GB2312" w:eastAsia="楷体_GB2312"/>
      <w:kern w:val="2"/>
      <w:sz w:val="32"/>
    </w:rPr>
  </w:style>
  <w:style w:type="character" w:customStyle="1" w:styleId="纯文本字符">
    <w:name w:val="纯文本 字符"/>
    <w:link w:val="PlainText"/>
    <w:qFormat/>
    <w:rPr>
      <w:rFonts w:ascii="宋体" w:hAnsi="Courier New" w:cs="Courier New"/>
      <w:kern w:val="2"/>
      <w:sz w:val="21"/>
      <w:szCs w:val="21"/>
    </w:rPr>
  </w:style>
  <w:style w:type="character" w:customStyle="1" w:styleId="日期字符">
    <w:name w:val="日期 字符"/>
    <w:basedOn w:val="DefaultParagraphFont"/>
    <w:link w:val="Date"/>
    <w:qFormat/>
    <w:rPr>
      <w:kern w:val="2"/>
      <w:sz w:val="21"/>
      <w:szCs w:val="24"/>
    </w:rPr>
  </w:style>
  <w:style w:type="character" w:customStyle="1" w:styleId="正文文本缩进2字符">
    <w:name w:val="正文文本缩进 2 字符"/>
    <w:link w:val="BodyTextIndent2"/>
    <w:qFormat/>
    <w:rPr>
      <w:rFonts w:eastAsia="宋体"/>
      <w:kern w:val="2"/>
      <w:sz w:val="21"/>
      <w:szCs w:val="24"/>
      <w:lang w:val="en-US" w:eastAsia="zh-CN" w:bidi="ar-SA"/>
    </w:rPr>
  </w:style>
  <w:style w:type="character" w:customStyle="1" w:styleId="批注框文本字符">
    <w:name w:val="批注框文本 字符"/>
    <w:link w:val="BalloonText"/>
    <w:qFormat/>
    <w:rPr>
      <w:rFonts w:ascii="Arial" w:eastAsia="宋体" w:hAnsi="Arial" w:cs="宋体"/>
      <w:kern w:val="2"/>
      <w:sz w:val="18"/>
      <w:szCs w:val="18"/>
      <w:lang w:val="en-US" w:eastAsia="zh-CN" w:bidi="ar-SA"/>
    </w:rPr>
  </w:style>
  <w:style w:type="character" w:customStyle="1" w:styleId="页脚字符">
    <w:name w:val="页脚 字符"/>
    <w:link w:val="Footer"/>
    <w:qFormat/>
    <w:rPr>
      <w:rFonts w:eastAsia="宋体"/>
      <w:kern w:val="2"/>
      <w:sz w:val="18"/>
      <w:szCs w:val="18"/>
      <w:lang w:val="en-US" w:eastAsia="zh-CN" w:bidi="ar-SA"/>
    </w:rPr>
  </w:style>
  <w:style w:type="character" w:customStyle="1" w:styleId="副标题字符">
    <w:name w:val="副标题 字符"/>
    <w:link w:val="Subtitle"/>
    <w:qFormat/>
    <w:rPr>
      <w:rFonts w:ascii="Cambria" w:eastAsia="宋体" w:hAnsi="Cambria"/>
      <w:i/>
      <w:iCs/>
      <w:spacing w:val="13"/>
      <w:kern w:val="2"/>
      <w:sz w:val="24"/>
      <w:szCs w:val="24"/>
      <w:lang w:val="en-US" w:eastAsia="zh-CN" w:bidi="ar-SA"/>
    </w:rPr>
  </w:style>
  <w:style w:type="character" w:customStyle="1" w:styleId="正文文本缩进3字符">
    <w:name w:val="正文文本缩进 3 字符"/>
    <w:basedOn w:val="DefaultParagraphFont"/>
    <w:link w:val="BodyTextIndent3"/>
    <w:qFormat/>
    <w:rPr>
      <w:rFonts w:eastAsia="楷体_GB2312"/>
      <w:kern w:val="2"/>
      <w:sz w:val="21"/>
      <w:szCs w:val="24"/>
    </w:rPr>
  </w:style>
  <w:style w:type="character" w:customStyle="1" w:styleId="HTML预设格式字符">
    <w:name w:val="HTML 预设格式 字符"/>
    <w:link w:val="HTMLPreformatted"/>
    <w:qFormat/>
    <w:rPr>
      <w:rFonts w:ascii="宋体" w:hAnsi="宋体" w:cs="宋体"/>
      <w:sz w:val="24"/>
      <w:szCs w:val="24"/>
    </w:rPr>
  </w:style>
  <w:style w:type="character" w:customStyle="1" w:styleId="标题字符">
    <w:name w:val="标题 字符"/>
    <w:link w:val="Title"/>
    <w:qFormat/>
    <w:rPr>
      <w:rFonts w:ascii="Cambria" w:eastAsia="宋体" w:hAnsi="Cambria"/>
      <w:spacing w:val="5"/>
      <w:kern w:val="2"/>
      <w:sz w:val="52"/>
      <w:szCs w:val="52"/>
      <w:lang w:val="en-US" w:eastAsia="zh-CN" w:bidi="ar-SA"/>
    </w:rPr>
  </w:style>
  <w:style w:type="character" w:customStyle="1" w:styleId="批注主题字符">
    <w:name w:val="批注主题 字符"/>
    <w:link w:val="CommentSubject"/>
    <w:qFormat/>
    <w:rPr>
      <w:rFonts w:ascii="宋体" w:hAnsi="宋体"/>
      <w:b/>
      <w:bCs/>
      <w:kern w:val="2"/>
      <w:sz w:val="21"/>
      <w:szCs w:val="24"/>
    </w:rPr>
  </w:style>
  <w:style w:type="character" w:customStyle="1" w:styleId="正文文本首行缩进字符">
    <w:name w:val="正文文本首行缩进 字符"/>
    <w:basedOn w:val="正文文本字符"/>
    <w:link w:val="BodyTextFirstIndent"/>
    <w:qFormat/>
    <w:rPr>
      <w:rFonts w:ascii="华文彩云" w:eastAsia="华文彩云" w:hAnsi="宋体"/>
      <w:bCs w:val="0"/>
      <w:color w:val="000000"/>
      <w:kern w:val="2"/>
      <w:sz w:val="21"/>
      <w:szCs w:val="24"/>
    </w:rPr>
  </w:style>
  <w:style w:type="character" w:customStyle="1" w:styleId="正文文本首行缩进2字符">
    <w:name w:val="正文文本首行缩进 2 字符"/>
    <w:basedOn w:val="正文文本缩进字符"/>
    <w:link w:val="BodyTextFirstIndent2"/>
    <w:qFormat/>
    <w:rPr>
      <w:rFonts w:ascii="仿宋_GB2312" w:eastAsia="仿宋_GB2312"/>
      <w:color w:val="FF6600"/>
      <w:kern w:val="2"/>
      <w:sz w:val="21"/>
    </w:rPr>
  </w:style>
  <w:style w:type="paragraph" w:customStyle="1" w:styleId="正文格式">
    <w:name w:val="正文格式"/>
    <w:qFormat/>
    <w:pPr>
      <w:spacing w:line="360" w:lineRule="auto"/>
      <w:ind w:firstLine="200" w:firstLineChars="200"/>
    </w:pPr>
    <w:rPr>
      <w:rFonts w:ascii="宋体" w:eastAsia="宋体" w:hAnsi="宋体" w:cs="Times New Roman"/>
      <w:kern w:val="2"/>
      <w:sz w:val="28"/>
      <w:szCs w:val="22"/>
      <w:lang w:val="en-US" w:eastAsia="zh-CN" w:bidi="ar-SA"/>
    </w:rPr>
  </w:style>
  <w:style w:type="character" w:customStyle="1" w:styleId="标题2Char">
    <w:name w:val="标题 2 Char"/>
    <w:qFormat/>
    <w:rPr>
      <w:rFonts w:ascii="Arial" w:eastAsia="黑体" w:hAnsi="Arial"/>
      <w:b/>
      <w:kern w:val="2"/>
      <w:sz w:val="32"/>
      <w:lang w:val="en-US" w:eastAsia="zh-CN"/>
    </w:rPr>
  </w:style>
  <w:style w:type="paragraph" w:customStyle="1" w:styleId="[Normal]">
    <w:name w:val="[Normal]"/>
    <w:qFormat/>
    <w:rPr>
      <w:rFonts w:ascii="方正仿宋简体" w:eastAsia="方正仿宋简体" w:hAnsi="方正仿宋简体" w:cs="Courier New"/>
      <w:sz w:val="24"/>
      <w:szCs w:val="22"/>
      <w:lang w:val="zh-CN" w:eastAsia="zh-CN" w:bidi="ar-SA"/>
    </w:rPr>
  </w:style>
  <w:style w:type="character" w:customStyle="1" w:styleId="_Style77">
    <w:name w:val="_Style 77"/>
    <w:qFormat/>
    <w:rPr>
      <w:smallCaps/>
      <w:spacing w:val="5"/>
      <w:u w:val="single"/>
    </w:rPr>
  </w:style>
  <w:style w:type="character" w:customStyle="1" w:styleId="font111">
    <w:name w:val="font111"/>
    <w:qFormat/>
    <w:rPr>
      <w:rFonts w:ascii="宋体" w:eastAsia="宋体" w:hAnsi="宋体" w:cs="宋体" w:hint="eastAsia"/>
      <w:b/>
      <w:color w:val="000000"/>
      <w:sz w:val="24"/>
      <w:szCs w:val="24"/>
      <w:u w:val="none"/>
    </w:rPr>
  </w:style>
  <w:style w:type="character" w:customStyle="1" w:styleId="font91">
    <w:name w:val="font91"/>
    <w:qFormat/>
    <w:rPr>
      <w:rFonts w:ascii="宋体" w:eastAsia="宋体" w:hAnsi="宋体" w:cs="宋体" w:hint="eastAsia"/>
      <w:b/>
      <w:color w:val="000000"/>
      <w:sz w:val="20"/>
      <w:szCs w:val="20"/>
      <w:u w:val="none"/>
    </w:rPr>
  </w:style>
  <w:style w:type="character" w:customStyle="1" w:styleId="ewb-weather">
    <w:name w:val="ewb-weather"/>
    <w:basedOn w:val="DefaultParagraphFont"/>
    <w:qFormat/>
    <w:rPr/>
  </w:style>
  <w:style w:type="character" w:customStyle="1" w:styleId="NormalCharacter">
    <w:name w:val="NormalCharacter"/>
    <w:qFormat/>
    <w:rPr>
      <w:kern w:val="2"/>
      <w:sz w:val="21"/>
      <w:szCs w:val="24"/>
      <w:lang w:val="en-US" w:eastAsia="zh-CN" w:bidi="ar-SA"/>
    </w:rPr>
  </w:style>
  <w:style w:type="character" w:customStyle="1" w:styleId="font71">
    <w:name w:val="font71"/>
    <w:qFormat/>
    <w:rPr>
      <w:rFonts w:ascii="宋体" w:eastAsia="宋体" w:hAnsi="宋体" w:cs="宋体" w:hint="eastAsia"/>
      <w:b/>
      <w:color w:val="000000"/>
      <w:sz w:val="20"/>
      <w:szCs w:val="20"/>
      <w:u w:val="none"/>
    </w:rPr>
  </w:style>
  <w:style w:type="character" w:customStyle="1" w:styleId="apple-converted-space">
    <w:name w:val="apple-converted-space"/>
    <w:basedOn w:val="DefaultParagraphFont"/>
    <w:qFormat/>
    <w:rPr/>
  </w:style>
  <w:style w:type="character" w:customStyle="1" w:styleId="oblog_text">
    <w:name w:val="oblog_text"/>
    <w:basedOn w:val="DefaultParagraphFont"/>
    <w:qFormat/>
    <w:rPr/>
  </w:style>
  <w:style w:type="character" w:customStyle="1" w:styleId="font231">
    <w:name w:val="font231"/>
    <w:qFormat/>
    <w:rPr>
      <w:rFonts w:ascii="宋体" w:eastAsia="宋体" w:hAnsi="宋体" w:cs="宋体" w:hint="eastAsia"/>
      <w:color w:val="333333"/>
      <w:sz w:val="21"/>
      <w:szCs w:val="21"/>
      <w:u w:val="none"/>
    </w:rPr>
  </w:style>
  <w:style w:type="character" w:customStyle="1" w:styleId="font221">
    <w:name w:val="font221"/>
    <w:qFormat/>
    <w:rPr>
      <w:rFonts w:ascii="宋体" w:eastAsia="宋体" w:hAnsi="宋体" w:cs="宋体" w:hint="eastAsia"/>
      <w:color w:val="000000"/>
      <w:sz w:val="21"/>
      <w:szCs w:val="21"/>
      <w:u w:val="none"/>
    </w:rPr>
  </w:style>
  <w:style w:type="character" w:customStyle="1" w:styleId="列表段落字符">
    <w:name w:val="列表段落 字符"/>
    <w:link w:val="ListParagraph"/>
    <w:qFormat/>
    <w:rPr>
      <w:rFonts w:ascii="Calibri" w:eastAsia="宋体" w:hAnsi="Calibri"/>
      <w:kern w:val="2"/>
      <w:sz w:val="21"/>
      <w:szCs w:val="22"/>
      <w:lang w:val="en-US" w:eastAsia="zh-CN" w:bidi="ar-SA"/>
    </w:rPr>
  </w:style>
  <w:style w:type="paragraph" w:styleId="ListParagraph">
    <w:name w:val="List Paragraph"/>
    <w:basedOn w:val="Normal"/>
    <w:link w:val="列表段落字符"/>
    <w:uiPriority w:val="34"/>
    <w:qFormat/>
    <w:pPr>
      <w:ind w:firstLine="420" w:firstLineChars="200"/>
    </w:pPr>
    <w:rPr>
      <w:szCs w:val="22"/>
    </w:rPr>
  </w:style>
  <w:style w:type="character" w:customStyle="1" w:styleId="font101">
    <w:name w:val="font101"/>
    <w:qFormat/>
    <w:rPr>
      <w:rFonts w:ascii="宋体" w:eastAsia="宋体" w:hAnsi="宋体" w:cs="宋体" w:hint="eastAsia"/>
      <w:color w:val="000000"/>
      <w:sz w:val="20"/>
      <w:szCs w:val="20"/>
      <w:u w:val="none"/>
    </w:rPr>
  </w:style>
  <w:style w:type="character" w:customStyle="1" w:styleId="font211">
    <w:name w:val="font211"/>
    <w:qFormat/>
    <w:rPr>
      <w:rFonts w:ascii="宋体" w:eastAsia="宋体" w:hAnsi="宋体" w:cs="宋体" w:hint="eastAsia"/>
      <w:color w:val="000000"/>
      <w:sz w:val="22"/>
      <w:szCs w:val="22"/>
      <w:u w:val="none"/>
    </w:rPr>
  </w:style>
  <w:style w:type="character" w:customStyle="1" w:styleId="_Style91">
    <w:name w:val="_Style 91"/>
    <w:qFormat/>
    <w:rPr>
      <w:b/>
      <w:bCs/>
    </w:rPr>
  </w:style>
  <w:style w:type="character" w:customStyle="1" w:styleId="明显引用字符">
    <w:name w:val="明显引用 字符"/>
    <w:link w:val="IntenseQuote"/>
    <w:qFormat/>
    <w:rPr>
      <w:rFonts w:ascii="Arial" w:eastAsia="宋体" w:hAnsi="Arial" w:cs="宋体"/>
      <w:b/>
      <w:bCs/>
      <w:i/>
      <w:iCs/>
      <w:kern w:val="2"/>
      <w:sz w:val="24"/>
      <w:lang w:val="en-US" w:eastAsia="zh-CN" w:bidi="ar-SA"/>
    </w:rPr>
  </w:style>
  <w:style w:type="paragraph" w:styleId="IntenseQuote">
    <w:name w:val="Intense Quote"/>
    <w:basedOn w:val="Normal"/>
    <w:next w:val="Normal"/>
    <w:link w:val="明显引用字符"/>
    <w:qFormat/>
    <w:pPr>
      <w:pBdr>
        <w:bottom w:val="single" w:sz="4" w:space="1" w:color="auto"/>
      </w:pBdr>
      <w:spacing w:before="200" w:after="280" w:line="360" w:lineRule="auto"/>
      <w:ind w:left="1008" w:right="1152" w:firstLine="200" w:firstLineChars="200"/>
    </w:pPr>
    <w:rPr>
      <w:rFonts w:ascii="Arial" w:hAnsi="Arial" w:cs="宋体"/>
      <w:b/>
      <w:bCs/>
      <w:i/>
      <w:iCs/>
      <w:sz w:val="24"/>
      <w:szCs w:val="20"/>
    </w:rPr>
  </w:style>
  <w:style w:type="character" w:customStyle="1" w:styleId="无间隔字符">
    <w:name w:val="无间隔 字符"/>
    <w:link w:val="NoSpacing"/>
    <w:qFormat/>
    <w:rPr>
      <w:rFonts w:ascii="Arial" w:eastAsia="宋体" w:hAnsi="Arial" w:cs="宋体"/>
      <w:kern w:val="2"/>
      <w:sz w:val="24"/>
      <w:lang w:val="en-US" w:eastAsia="zh-CN" w:bidi="ar-SA"/>
    </w:rPr>
  </w:style>
  <w:style w:type="paragraph" w:styleId="NoSpacing">
    <w:name w:val="No Spacing"/>
    <w:basedOn w:val="Normal"/>
    <w:link w:val="无间隔字符"/>
    <w:qFormat/>
    <w:pPr>
      <w:ind w:firstLine="200" w:firstLineChars="200"/>
    </w:pPr>
    <w:rPr>
      <w:rFonts w:ascii="Arial" w:hAnsi="Arial" w:cs="宋体"/>
      <w:sz w:val="24"/>
      <w:szCs w:val="20"/>
    </w:rPr>
  </w:style>
  <w:style w:type="character" w:customStyle="1" w:styleId="font81">
    <w:name w:val="font81"/>
    <w:qFormat/>
    <w:rPr>
      <w:rFonts w:ascii="宋体" w:eastAsia="宋体" w:hAnsi="宋体" w:cs="宋体" w:hint="eastAsia"/>
      <w:color w:val="FF0000"/>
      <w:sz w:val="20"/>
      <w:szCs w:val="20"/>
      <w:u w:val="none"/>
    </w:rPr>
  </w:style>
  <w:style w:type="character" w:customStyle="1" w:styleId="font12">
    <w:name w:val="font12"/>
    <w:qFormat/>
    <w:rPr>
      <w:rFonts w:ascii="宋体" w:eastAsia="宋体" w:hAnsi="宋体" w:cs="宋体" w:hint="eastAsia"/>
      <w:b/>
      <w:color w:val="FF0000"/>
      <w:sz w:val="24"/>
      <w:szCs w:val="24"/>
      <w:u w:val="none"/>
    </w:rPr>
  </w:style>
  <w:style w:type="character" w:customStyle="1" w:styleId="font21">
    <w:name w:val="font21"/>
    <w:basedOn w:val="DefaultParagraphFont"/>
    <w:qFormat/>
    <w:rPr>
      <w:rFonts w:ascii="宋体" w:eastAsia="宋体" w:hAnsi="宋体" w:cs="宋体" w:hint="eastAsia"/>
      <w:color w:val="000000"/>
      <w:sz w:val="20"/>
      <w:szCs w:val="20"/>
      <w:u w:val="none"/>
    </w:rPr>
  </w:style>
  <w:style w:type="character" w:customStyle="1" w:styleId="font122">
    <w:name w:val="font122"/>
    <w:qFormat/>
    <w:rPr>
      <w:rFonts w:ascii="宋体" w:eastAsia="宋体" w:hAnsi="宋体" w:cs="宋体" w:hint="eastAsia"/>
      <w:color w:val="FF0000"/>
      <w:sz w:val="22"/>
      <w:szCs w:val="22"/>
      <w:u w:val="none"/>
    </w:rPr>
  </w:style>
  <w:style w:type="character" w:customStyle="1" w:styleId="font61">
    <w:name w:val="font61"/>
    <w:basedOn w:val="DefaultParagraphFont"/>
    <w:qFormat/>
    <w:rPr>
      <w:rFonts w:ascii="Arial" w:hAnsi="Arial" w:cs="Arial" w:hint="default"/>
      <w:color w:val="000000"/>
      <w:sz w:val="20"/>
      <w:szCs w:val="20"/>
      <w:u w:val="none"/>
    </w:rPr>
  </w:style>
  <w:style w:type="character" w:customStyle="1" w:styleId="_Style101">
    <w:name w:val="_Style 101"/>
    <w:qFormat/>
    <w:rPr>
      <w:i/>
      <w:iCs/>
    </w:rPr>
  </w:style>
  <w:style w:type="character" w:customStyle="1" w:styleId="引用字符">
    <w:name w:val="引用 字符"/>
    <w:link w:val="Quote"/>
    <w:qFormat/>
    <w:rPr>
      <w:rFonts w:ascii="Arial" w:eastAsia="宋体" w:hAnsi="Arial" w:cs="宋体"/>
      <w:i/>
      <w:iCs/>
      <w:kern w:val="2"/>
      <w:sz w:val="24"/>
      <w:lang w:val="en-US" w:eastAsia="zh-CN" w:bidi="ar-SA"/>
    </w:rPr>
  </w:style>
  <w:style w:type="paragraph" w:styleId="Quote">
    <w:name w:val="Quote"/>
    <w:basedOn w:val="Normal"/>
    <w:next w:val="Normal"/>
    <w:link w:val="引用字符"/>
    <w:qFormat/>
    <w:pPr>
      <w:spacing w:before="200" w:line="360" w:lineRule="auto"/>
      <w:ind w:left="360" w:right="360" w:firstLine="200" w:firstLineChars="200"/>
    </w:pPr>
    <w:rPr>
      <w:rFonts w:ascii="Arial" w:hAnsi="Arial" w:cs="宋体"/>
      <w:i/>
      <w:iCs/>
      <w:sz w:val="24"/>
      <w:szCs w:val="20"/>
    </w:rPr>
  </w:style>
  <w:style w:type="character" w:customStyle="1" w:styleId="_Style104">
    <w:name w:val="_Style 104"/>
    <w:qFormat/>
    <w:rPr>
      <w:i/>
      <w:iCs/>
      <w:smallCaps/>
      <w:spacing w:val="5"/>
    </w:rPr>
  </w:style>
  <w:style w:type="character" w:customStyle="1" w:styleId="font11">
    <w:name w:val="font11"/>
    <w:qFormat/>
    <w:rPr>
      <w:rFonts w:ascii="Times New Roman" w:hAnsi="Times New Roman" w:cs="Times New Roman" w:hint="default"/>
      <w:color w:val="000000"/>
      <w:sz w:val="20"/>
      <w:szCs w:val="20"/>
      <w:u w:val="none"/>
    </w:rPr>
  </w:style>
  <w:style w:type="character" w:customStyle="1" w:styleId="_Style107">
    <w:name w:val="_Style 107"/>
    <w:qFormat/>
    <w:rPr>
      <w:smallCaps/>
    </w:rPr>
  </w:style>
  <w:style w:type="character" w:customStyle="1" w:styleId="16">
    <w:name w:val="16"/>
    <w:qFormat/>
    <w:rPr>
      <w:rFonts w:ascii="Times New Roman" w:hAnsi="Times New Roman" w:cs="Times New Roman" w:hint="default"/>
    </w:rPr>
  </w:style>
  <w:style w:type="character" w:customStyle="1" w:styleId="font241">
    <w:name w:val="font241"/>
    <w:qFormat/>
    <w:rPr>
      <w:rFonts w:ascii="宋体" w:eastAsia="宋体" w:hAnsi="宋体" w:cs="宋体" w:hint="eastAsia"/>
      <w:b/>
      <w:color w:val="FF0000"/>
      <w:sz w:val="22"/>
      <w:szCs w:val="22"/>
      <w:u w:val="none"/>
    </w:rPr>
  </w:style>
  <w:style w:type="character" w:customStyle="1" w:styleId="p1481">
    <w:name w:val="p1481"/>
    <w:qFormat/>
    <w:rPr>
      <w:color w:val="515151"/>
      <w:sz w:val="22"/>
      <w:szCs w:val="22"/>
    </w:rPr>
  </w:style>
  <w:style w:type="paragraph" w:customStyle="1" w:styleId="CPBulletLevel1">
    <w:name w:val="CP Bullet Level 1"/>
    <w:basedOn w:val="Normal"/>
    <w:qFormat/>
    <w:pPr>
      <w:widowControl/>
      <w:tabs>
        <w:tab w:val="left" w:pos="1508"/>
      </w:tabs>
      <w:spacing w:before="120"/>
      <w:ind w:left="640"/>
      <w:jc w:val="left"/>
    </w:pPr>
    <w:rPr>
      <w:rFonts w:eastAsia="Times New Roman"/>
      <w:kern w:val="0"/>
      <w:sz w:val="24"/>
      <w:szCs w:val="20"/>
      <w:lang w:val="en-GB" w:eastAsia="en-US"/>
    </w:rPr>
  </w:style>
  <w:style w:type="paragraph" w:customStyle="1" w:styleId="_Style1">
    <w:name w:val="_Style 1"/>
    <w:basedOn w:val="Normal"/>
    <w:uiPriority w:val="34"/>
    <w:qFormat/>
    <w:pPr>
      <w:spacing w:line="360" w:lineRule="auto"/>
      <w:ind w:firstLine="420" w:firstLineChars="200"/>
      <w:jc w:val="left"/>
    </w:pPr>
    <w:rPr>
      <w:rFonts w:ascii="等线" w:hAnsi="等线"/>
      <w:sz w:val="24"/>
      <w:szCs w:val="22"/>
    </w:rPr>
  </w:style>
  <w:style w:type="paragraph" w:customStyle="1" w:styleId="首行缩进">
    <w:name w:val="首行缩进"/>
    <w:basedOn w:val="Normal"/>
    <w:qFormat/>
    <w:pPr>
      <w:spacing w:line="360" w:lineRule="auto"/>
      <w:ind w:firstLine="480" w:firstLineChars="200"/>
    </w:pPr>
    <w:rPr>
      <w:rFonts w:ascii="宋体" w:hAnsi="宋体" w:cs="宋体"/>
      <w:kern w:val="0"/>
      <w:sz w:val="24"/>
    </w:rPr>
  </w:style>
  <w:style w:type="paragraph" w:customStyle="1" w:styleId="Char">
    <w:name w:val="Char"/>
    <w:basedOn w:val="Normal"/>
    <w:qFormat/>
    <w:pPr>
      <w:tabs>
        <w:tab w:val="left" w:pos="360"/>
      </w:tabs>
    </w:pPr>
    <w:rPr>
      <w:sz w:val="24"/>
    </w:rPr>
  </w:style>
  <w:style w:type="paragraph" w:customStyle="1" w:styleId="正文NewNewNewNew">
    <w:name w:val="正文 New New New New"/>
    <w:qFormat/>
    <w:pPr>
      <w:widowControl w:val="0"/>
      <w:jc w:val="both"/>
    </w:pPr>
    <w:rPr>
      <w:rFonts w:ascii="Times New Roman" w:eastAsia="宋体" w:hAnsi="Times New Roman" w:cs="Times New Roman"/>
      <w:kern w:val="2"/>
      <w:sz w:val="21"/>
      <w:szCs w:val="24"/>
      <w:lang w:val="en-US" w:eastAsia="zh-CN" w:bidi="ar-SA"/>
    </w:rPr>
  </w:style>
  <w:style w:type="paragraph" w:customStyle="1" w:styleId="表格正文">
    <w:name w:val="表格正文"/>
    <w:qFormat/>
    <w:pPr>
      <w:spacing w:line="0" w:lineRule="atLeast"/>
    </w:pPr>
    <w:rPr>
      <w:rFonts w:ascii="Times New Roman" w:eastAsia="宋体" w:hAnsi="Times New Roman" w:cs="Times New Roman"/>
      <w:sz w:val="24"/>
      <w:szCs w:val="24"/>
      <w:lang w:val="en-US" w:eastAsia="zh-CN" w:bidi="he-IL"/>
    </w:rPr>
  </w:style>
  <w:style w:type="paragraph" w:customStyle="1" w:styleId="默认段落字体ParaCharCharCharCharCharCharCharCharChar1CharCharCharCharCharCharChar">
    <w:name w:val="默认段落字体 Para Char Char Char Char Char Char Char Char Char1 Char Char Char Char Char Char Char"/>
    <w:basedOn w:val="DocumentMap"/>
    <w:qFormat/>
    <w:rPr>
      <w:rFonts w:ascii="Tahoma" w:hAnsi="Tahoma"/>
      <w:sz w:val="24"/>
    </w:rPr>
  </w:style>
  <w:style w:type="paragraph" w:customStyle="1" w:styleId="列出段落1">
    <w:name w:val="列出段落1"/>
    <w:basedOn w:val="Normal"/>
    <w:qFormat/>
    <w:pPr>
      <w:ind w:firstLine="420" w:firstLineChars="200"/>
    </w:pPr>
    <w:rPr/>
  </w:style>
  <w:style w:type="paragraph" w:customStyle="1" w:styleId="reader-word-layerreader-word-s28-14">
    <w:name w:val="reader-word-layer reader-word-s28-14"/>
    <w:basedOn w:val="Normal"/>
    <w:qFormat/>
    <w:pPr>
      <w:widowControl/>
      <w:spacing w:before="100" w:beforeAutospacing="1" w:after="100" w:afterAutospacing="1"/>
      <w:jc w:val="left"/>
    </w:pPr>
    <w:rPr>
      <w:rFonts w:ascii="宋体" w:hAnsi="宋体" w:cs="宋体"/>
      <w:kern w:val="0"/>
      <w:sz w:val="24"/>
    </w:rPr>
  </w:style>
  <w:style w:type="paragraph" w:customStyle="1" w:styleId="列表－视讯">
    <w:name w:val="列表－视讯"/>
    <w:basedOn w:val="ListNumber"/>
    <w:qFormat/>
    <w:pPr>
      <w:adjustRightInd w:val="0"/>
      <w:spacing w:line="360" w:lineRule="atLeast"/>
      <w:ind w:left="0" w:firstLine="0" w:firstLineChars="0"/>
      <w:textAlignment w:val="baseline"/>
    </w:pPr>
    <w:rPr>
      <w:sz w:val="24"/>
    </w:rPr>
  </w:style>
  <w:style w:type="paragraph" w:customStyle="1" w:styleId="标题3">
    <w:name w:val="标题3"/>
    <w:basedOn w:val="Heading3"/>
    <w:qFormat/>
    <w:pPr>
      <w:keepNext w:val="0"/>
      <w:keepLines w:val="0"/>
      <w:spacing w:before="0" w:after="0"/>
    </w:pPr>
    <w:rPr>
      <w:rFonts w:eastAsia="仿宋_GB2312"/>
      <w:kern w:val="0"/>
      <w:sz w:val="30"/>
      <w:szCs w:val="32"/>
    </w:rPr>
  </w:style>
  <w:style w:type="paragraph" w:customStyle="1" w:styleId="CharCharCharCharCharCharChar1Char">
    <w:name w:val="Char Char Char Char Char Char Char1 Char"/>
    <w:basedOn w:val="Normal"/>
    <w:qFormat/>
    <w:rPr>
      <w:rFonts w:ascii="Tahoma" w:hAnsi="Tahoma"/>
      <w:sz w:val="24"/>
    </w:rPr>
  </w:style>
  <w:style w:type="paragraph" w:customStyle="1" w:styleId="UserStyle_3">
    <w:name w:val="UserStyle_3"/>
    <w:basedOn w:val="Normal"/>
    <w:qFormat/>
    <w:pPr>
      <w:widowControl/>
      <w:spacing w:line="300" w:lineRule="exact"/>
      <w:ind w:firstLine="420" w:firstLineChars="200"/>
      <w:jc w:val="left"/>
      <w:textAlignment w:val="baseline"/>
    </w:pPr>
    <w:rPr>
      <w:szCs w:val="21"/>
    </w:rPr>
  </w:style>
  <w:style w:type="paragraph" w:customStyle="1" w:styleId="列出段落5">
    <w:name w:val="列出段落5"/>
    <w:basedOn w:val="Normal"/>
    <w:qFormat/>
    <w:pPr>
      <w:ind w:firstLine="420" w:firstLineChars="200"/>
    </w:pPr>
    <w:rPr>
      <w:rFonts w:ascii="宋体" w:hAnsi="宋体" w:cs="宋体"/>
      <w:sz w:val="24"/>
    </w:rPr>
  </w:style>
  <w:style w:type="paragraph" w:customStyle="1" w:styleId="TableParagraph">
    <w:name w:val="Table Paragraph"/>
    <w:basedOn w:val="Normal"/>
    <w:uiPriority w:val="1"/>
    <w:qFormat/>
    <w:rPr>
      <w:rFonts w:ascii="宋体" w:hAnsi="宋体" w:cs="宋体"/>
      <w:lang w:val="zh-CN" w:bidi="zh-CN"/>
    </w:rPr>
  </w:style>
  <w:style w:type="paragraph" w:customStyle="1" w:styleId="纯文本1">
    <w:name w:val="纯文本1"/>
    <w:basedOn w:val="Normal"/>
    <w:qFormat/>
    <w:pPr>
      <w:adjustRightInd w:val="0"/>
      <w:textAlignment w:val="baseline"/>
    </w:pPr>
    <w:rPr>
      <w:rFonts w:ascii="宋体" w:hAnsi="Courier New"/>
    </w:rPr>
  </w:style>
  <w:style w:type="paragraph" w:customStyle="1" w:styleId="编号，四号">
    <w:name w:val="编号，四号"/>
    <w:basedOn w:val="Normal"/>
    <w:qFormat/>
    <w:pPr>
      <w:numPr>
        <w:ilvl w:val="0"/>
        <w:numId w:val="10"/>
      </w:numPr>
      <w:spacing w:line="360" w:lineRule="auto"/>
      <w:ind w:firstLine="0"/>
    </w:pPr>
    <w:rPr>
      <w:rFonts w:eastAsia="仿宋_GB2312" w:cs="宋体"/>
      <w:sz w:val="28"/>
      <w:szCs w:val="20"/>
    </w:rPr>
  </w:style>
  <w:style w:type="paragraph" w:customStyle="1" w:styleId="普通正文">
    <w:name w:val="普通正文"/>
    <w:basedOn w:val="Normal"/>
    <w:qFormat/>
    <w:pPr>
      <w:adjustRightInd w:val="0"/>
      <w:spacing w:before="120" w:after="120" w:line="360" w:lineRule="auto"/>
      <w:ind w:firstLine="480"/>
      <w:jc w:val="left"/>
      <w:textAlignment w:val="baseline"/>
    </w:pPr>
    <w:rPr>
      <w:rFonts w:ascii="Arial" w:hAnsi="Arial"/>
      <w:kern w:val="0"/>
      <w:sz w:val="24"/>
    </w:rPr>
  </w:style>
  <w:style w:type="paragraph" w:customStyle="1" w:styleId="CharCharCharChar">
    <w:name w:val="Char Char Char Char"/>
    <w:basedOn w:val="DocumentMap"/>
    <w:qFormat/>
    <w:pPr>
      <w:adjustRightInd w:val="0"/>
      <w:snapToGrid w:val="0"/>
      <w:spacing w:line="360" w:lineRule="auto"/>
    </w:pPr>
    <w:rPr>
      <w:rFonts w:ascii="Tahoma" w:hAnsi="Tahoma"/>
      <w:sz w:val="24"/>
    </w:rPr>
  </w:style>
  <w:style w:type="paragraph" w:customStyle="1" w:styleId="样式表格正文+两端对齐">
    <w:name w:val="样式 表格正文 + 两端对齐"/>
    <w:basedOn w:val="Normal"/>
    <w:qFormat/>
    <w:pPr>
      <w:spacing w:line="300" w:lineRule="auto"/>
    </w:pPr>
    <w:rPr>
      <w:sz w:val="24"/>
      <w:szCs w:val="20"/>
    </w:rPr>
  </w:style>
  <w:style w:type="paragraph" w:customStyle="1" w:styleId="文章正文格式">
    <w:name w:val="文章正文格式"/>
    <w:basedOn w:val="Normal"/>
    <w:qFormat/>
    <w:pPr>
      <w:snapToGrid w:val="0"/>
      <w:spacing w:line="540" w:lineRule="atLeast"/>
      <w:ind w:firstLine="578"/>
    </w:pPr>
    <w:rPr>
      <w:rFonts w:ascii="宋体"/>
      <w:spacing w:val="8"/>
      <w:sz w:val="28"/>
      <w:szCs w:val="20"/>
    </w:rPr>
  </w:style>
  <w:style w:type="paragraph" w:customStyle="1" w:styleId="列出段落3">
    <w:name w:val="列出段落3"/>
    <w:basedOn w:val="Normal"/>
    <w:qFormat/>
    <w:pPr>
      <w:ind w:firstLine="200" w:firstLineChars="200"/>
    </w:pPr>
    <w:rPr>
      <w:rFonts w:ascii="Calibri" w:hAnsi="Calibri"/>
      <w:szCs w:val="21"/>
    </w:rPr>
  </w:style>
  <w:style w:type="paragraph" w:customStyle="1" w:styleId="我的样式">
    <w:name w:val="我的样式"/>
    <w:basedOn w:val="Heading1"/>
    <w:next w:val="Normal"/>
    <w:qFormat/>
    <w:pPr>
      <w:numPr>
        <w:ilvl w:val="0"/>
        <w:numId w:val="6"/>
      </w:numPr>
      <w:spacing w:line="360" w:lineRule="auto"/>
    </w:pPr>
    <w:rPr>
      <w:rFonts w:ascii="仿宋_GB2312" w:eastAsia="仿宋_GB2312"/>
      <w:sz w:val="32"/>
      <w:szCs w:val="30"/>
    </w:rPr>
  </w:style>
  <w:style w:type="paragraph" w:customStyle="1" w:styleId="标题1">
    <w:name w:val="标题1"/>
    <w:basedOn w:val="Heading1"/>
    <w:next w:val="Normal"/>
    <w:qFormat/>
    <w:pPr>
      <w:numPr>
        <w:ilvl w:val="0"/>
        <w:numId w:val="8"/>
      </w:numPr>
      <w:adjustRightInd w:val="0"/>
      <w:spacing w:line="578" w:lineRule="atLeast"/>
      <w:jc w:val="left"/>
      <w:textAlignment w:val="baseline"/>
    </w:pPr>
    <w:rPr/>
  </w:style>
  <w:style w:type="paragraph" w:customStyle="1" w:styleId="p0">
    <w:name w:val="p0"/>
    <w:basedOn w:val="Normal"/>
    <w:qFormat/>
    <w:pPr>
      <w:widowControl/>
      <w:spacing w:before="100" w:beforeAutospacing="1" w:after="100" w:afterAutospacing="1"/>
      <w:jc w:val="left"/>
    </w:pPr>
    <w:rPr>
      <w:rFonts w:ascii="宋体" w:hAnsi="宋体"/>
      <w:kern w:val="0"/>
      <w:sz w:val="24"/>
    </w:rPr>
  </w:style>
  <w:style w:type="paragraph" w:customStyle="1" w:styleId="无间隔1">
    <w:name w:val="无间隔1"/>
    <w:qFormat/>
    <w:pPr>
      <w:widowControl w:val="0"/>
      <w:contextualSpacing/>
      <w:jc w:val="center"/>
      <w:outlineLvl w:val="0"/>
    </w:pPr>
    <w:rPr>
      <w:rFonts w:ascii="Times New Roman" w:eastAsia="宋体" w:hAnsi="Times New Roman" w:cs="Times New Roman"/>
      <w:kern w:val="2"/>
      <w:sz w:val="24"/>
      <w:szCs w:val="24"/>
      <w:lang w:val="en-US" w:eastAsia="zh-CN" w:bidi="ar-SA"/>
    </w:rPr>
  </w:style>
  <w:style w:type="paragraph" w:customStyle="1" w:styleId="样式首行缩进:0字符">
    <w:name w:val="样式 首行缩进:  0 字符"/>
    <w:basedOn w:val="Normal"/>
    <w:qFormat/>
    <w:pPr>
      <w:spacing w:line="360" w:lineRule="auto"/>
      <w:ind w:firstLine="200" w:firstLineChars="200"/>
    </w:pPr>
    <w:rPr>
      <w:rFonts w:ascii="Arial" w:hAnsi="Arial" w:cs="宋体"/>
      <w:sz w:val="24"/>
      <w:szCs w:val="20"/>
    </w:rPr>
  </w:style>
  <w:style w:type="paragraph" w:customStyle="1" w:styleId="纯文本2">
    <w:name w:val="纯文本2"/>
    <w:basedOn w:val="Normal"/>
    <w:qFormat/>
    <w:pPr>
      <w:adjustRightInd w:val="0"/>
      <w:textAlignment w:val="baseline"/>
    </w:pPr>
    <w:rPr>
      <w:rFonts w:ascii="宋体" w:hAnsi="Courier New"/>
    </w:rPr>
  </w:style>
  <w:style w:type="paragraph" w:customStyle="1" w:styleId="ListParagraph1">
    <w:name w:val="List Paragraph1"/>
    <w:basedOn w:val="Normal"/>
    <w:uiPriority w:val="34"/>
    <w:qFormat/>
    <w:pPr>
      <w:ind w:firstLine="420" w:firstLineChars="200"/>
    </w:pPr>
    <w:rPr/>
  </w:style>
  <w:style w:type="paragraph" w:customStyle="1" w:styleId="要点标题">
    <w:name w:val="要点标题"/>
    <w:basedOn w:val="Normal"/>
    <w:qFormat/>
    <w:pPr>
      <w:numPr>
        <w:ilvl w:val="0"/>
        <w:numId w:val="7"/>
      </w:numPr>
      <w:jc w:val="left"/>
    </w:pPr>
    <w:rPr>
      <w:rFonts w:ascii="宋体" w:hAnsi="宋体"/>
      <w:b/>
      <w:sz w:val="24"/>
    </w:rPr>
  </w:style>
  <w:style w:type="paragraph" w:customStyle="1" w:styleId="文档正文">
    <w:name w:val="文档正文"/>
    <w:basedOn w:val="Normal"/>
    <w:qFormat/>
    <w:pPr>
      <w:adjustRightInd w:val="0"/>
      <w:spacing w:line="480" w:lineRule="atLeast"/>
      <w:ind w:firstLine="567"/>
      <w:textAlignment w:val="baseline"/>
    </w:pPr>
    <w:rPr>
      <w:rFonts w:ascii="仿宋_GB2312"/>
      <w:kern w:val="0"/>
      <w:szCs w:val="20"/>
    </w:rPr>
  </w:style>
  <w:style w:type="character" w:customStyle="1" w:styleId="样式仿宋">
    <w:name w:val="样式 仿宋"/>
    <w:qFormat/>
    <w:rPr>
      <w:rFonts w:ascii="仿宋" w:eastAsia="仿宋" w:hAnsi="仿宋"/>
      <w:kern w:val="1"/>
      <w:sz w:val="21"/>
      <w:szCs w:val="21"/>
    </w:rPr>
  </w:style>
  <w:style w:type="paragraph" w:customStyle="1" w:styleId="彩色列表-强调文字颜色11">
    <w:name w:val="彩色列表 - 强调文字颜色 11"/>
    <w:basedOn w:val="Normal"/>
    <w:qFormat/>
    <w:pPr>
      <w:adjustRightInd w:val="0"/>
      <w:spacing w:line="300" w:lineRule="auto"/>
      <w:ind w:firstLine="420" w:firstLineChars="200"/>
    </w:pPr>
    <w:rPr>
      <w:szCs w:val="20"/>
    </w:rPr>
  </w:style>
  <w:style w:type="paragraph" w:customStyle="1" w:styleId="样式1">
    <w:name w:val="样式1"/>
    <w:basedOn w:val="Heading1"/>
    <w:qFormat/>
    <w:pPr>
      <w:tabs>
        <w:tab w:val="left" w:pos="720"/>
        <w:tab w:val="left" w:pos="795"/>
      </w:tabs>
      <w:spacing w:line="360" w:lineRule="auto"/>
      <w:ind w:left="795" w:hanging="360"/>
    </w:pPr>
    <w:rPr>
      <w:rFonts w:ascii="仿宋_GB2312" w:hAnsi="宋体"/>
      <w:kern w:val="0"/>
      <w:sz w:val="32"/>
      <w:szCs w:val="21"/>
    </w:rPr>
  </w:style>
  <w:style w:type="paragraph" w:customStyle="1" w:styleId="Bodytext|3">
    <w:name w:val="Body text|3"/>
    <w:basedOn w:val="Normal"/>
    <w:qFormat/>
    <w:pPr>
      <w:spacing w:after="120" w:line="635" w:lineRule="exact"/>
      <w:ind w:firstLine="620"/>
    </w:pPr>
    <w:rPr>
      <w:rFonts w:ascii="宋体" w:hAnsi="宋体" w:cs="宋体"/>
      <w:sz w:val="30"/>
      <w:szCs w:val="30"/>
      <w:lang w:val="zh-TW" w:eastAsia="zh-TW" w:bidi="zh-TW"/>
    </w:rPr>
  </w:style>
  <w:style w:type="paragraph" w:customStyle="1" w:styleId="Other|1">
    <w:name w:val="Other|1"/>
    <w:basedOn w:val="Normal"/>
    <w:qFormat/>
    <w:rPr>
      <w:rFonts w:ascii="宋体" w:hAnsi="宋体" w:cs="宋体"/>
      <w:sz w:val="20"/>
      <w:szCs w:val="20"/>
      <w:lang w:val="zh-TW" w:eastAsia="zh-TW" w:bidi="zh-TW"/>
    </w:rPr>
  </w:style>
  <w:style w:type="paragraph" w:customStyle="1" w:styleId="Heading#1|1">
    <w:name w:val="Heading #1|1"/>
    <w:basedOn w:val="Normal"/>
    <w:qFormat/>
    <w:pPr>
      <w:spacing w:line="475" w:lineRule="exact"/>
      <w:ind w:firstLine="240"/>
      <w:outlineLvl w:val="0"/>
    </w:pPr>
    <w:rPr>
      <w:rFonts w:ascii="宋体" w:hAnsi="宋体" w:cs="宋体"/>
      <w:b/>
      <w:bCs/>
      <w:lang w:val="zh-TW" w:eastAsia="zh-TW" w:bidi="zh-TW"/>
    </w:rPr>
  </w:style>
  <w:style w:type="paragraph" w:customStyle="1" w:styleId="Bodytext|2">
    <w:name w:val="Body text|2"/>
    <w:basedOn w:val="Normal"/>
    <w:qFormat/>
    <w:pPr>
      <w:spacing w:line="415" w:lineRule="auto"/>
      <w:ind w:firstLine="400"/>
    </w:pPr>
    <w:rPr>
      <w:rFonts w:ascii="宋体" w:hAnsi="宋体" w:cs="宋体"/>
      <w:lang w:val="zh-TW" w:eastAsia="zh-TW" w:bidi="zh-TW"/>
    </w:rPr>
  </w:style>
  <w:style w:type="paragraph" w:customStyle="1" w:styleId="Heading#2|1">
    <w:name w:val="Heading #2|1"/>
    <w:basedOn w:val="Normal"/>
    <w:qFormat/>
    <w:pPr>
      <w:spacing w:line="470" w:lineRule="exact"/>
      <w:ind w:left="1020"/>
      <w:outlineLvl w:val="1"/>
    </w:pPr>
    <w:rPr>
      <w:rFonts w:ascii="宋体" w:hAnsi="宋体" w:cs="宋体"/>
      <w:b/>
      <w:bCs/>
      <w:lang w:val="zh-TW" w:eastAsia="zh-TW" w:bidi="zh-TW"/>
    </w:rPr>
  </w:style>
  <w:style w:type="paragraph" w:customStyle="1" w:styleId="Bodytext|1">
    <w:name w:val="Body text|1"/>
    <w:basedOn w:val="Normal"/>
    <w:qFormat/>
    <w:pPr>
      <w:spacing w:line="404" w:lineRule="exact"/>
      <w:ind w:left="560" w:firstLine="400"/>
    </w:pPr>
    <w:rPr>
      <w:rFonts w:ascii="宋体" w:hAnsi="宋体" w:cs="宋体"/>
      <w:sz w:val="20"/>
      <w:szCs w:val="20"/>
      <w:lang w:val="zh-TW" w:eastAsia="zh-TW" w:bidi="zh-TW"/>
    </w:rPr>
  </w:style>
  <w:style w:type="paragraph" w:customStyle="1" w:styleId="Tablecaption|1">
    <w:name w:val="Table caption|1"/>
    <w:basedOn w:val="Normal"/>
    <w:qFormat/>
    <w:pPr>
      <w:spacing w:line="404" w:lineRule="exact"/>
      <w:ind w:firstLine="480"/>
    </w:pPr>
    <w:rPr>
      <w:rFonts w:ascii="宋体" w:hAnsi="宋体" w:cs="宋体"/>
      <w:sz w:val="20"/>
      <w:szCs w:val="20"/>
      <w:lang w:val="zh-TW" w:eastAsia="zh-TW" w:bidi="zh-TW"/>
    </w:rPr>
  </w:style>
  <w:style w:type="paragraph" w:customStyle="1" w:styleId="Headerorfooter|2">
    <w:name w:val="Header or footer|2"/>
    <w:basedOn w:val="Normal"/>
    <w:qFormat/>
    <w:rPr>
      <w:sz w:val="20"/>
      <w:szCs w:val="20"/>
      <w:lang w:val="zh-TW" w:eastAsia="zh-TW" w:bidi="zh-TW"/>
    </w:rPr>
  </w:style>
  <w:style w:type="paragraph" w:customStyle="1" w:styleId="Headerorfooter|1">
    <w:name w:val="Header or footer|1"/>
    <w:basedOn w:val="Normal"/>
    <w:qFormat/>
    <w:rPr>
      <w:sz w:val="19"/>
      <w:szCs w:val="19"/>
    </w:rPr>
  </w:style>
  <w:style w:type="character" w:customStyle="1" w:styleId="font01">
    <w:name w:val="font01"/>
    <w:basedOn w:val="DefaultParagraphFont"/>
    <w:qFormat/>
    <w:rPr>
      <w:rFonts w:ascii="宋体" w:eastAsia="宋体" w:hAnsi="宋体" w:cs="宋体" w:hint="eastAsia"/>
      <w:color w:val="FF0000"/>
      <w:sz w:val="20"/>
      <w:szCs w:val="20"/>
      <w:u w:val="none"/>
    </w:rPr>
  </w:style>
  <w:style w:type="table" w:customStyle="1" w:styleId="TableNormal">
    <w:name w:val="Table Normal"/>
    <w:semiHidden/>
    <w:unhideWhenUsed/>
    <w:qFormat/>
    <w:rPr/>
    <w:tblPr>
      <w:tblCellMar>
        <w:top w:w="0" w:type="dxa"/>
        <w:left w:w="0" w:type="dxa"/>
        <w:bottom w:w="0" w:type="dxa"/>
        <w:right w:w="0" w:type="dxa"/>
      </w:tblCellMar>
    </w:tblPr>
  </w:style>
  <w:style w:type="character" w:customStyle="1" w:styleId="font31">
    <w:name w:val="font31"/>
    <w:basedOn w:val="DefaultParagraphFont"/>
    <w:qFormat/>
    <w:rPr>
      <w:rFonts w:ascii="华文宋体" w:eastAsia="华文宋体" w:hAnsi="华文宋体" w:cs="华文宋体" w:hint="eastAsia"/>
      <w:color w:val="FF0000"/>
      <w:sz w:val="16"/>
      <w:szCs w:val="16"/>
      <w:u w:val="none"/>
    </w:rPr>
  </w:style>
  <w:style w:type="character" w:customStyle="1" w:styleId="font41">
    <w:name w:val="font41"/>
    <w:basedOn w:val="DefaultParagraphFont"/>
    <w:qFormat/>
    <w:rPr>
      <w:rFonts w:ascii="等线" w:eastAsia="等线" w:hAnsi="等线" w:cs="等线" w:hint="eastAsia"/>
      <w:color w:val="000000"/>
      <w:sz w:val="22"/>
      <w:szCs w:val="22"/>
      <w:u w:val="none"/>
    </w:rPr>
  </w:style>
  <w:style w:type="character" w:customStyle="1" w:styleId="font51">
    <w:name w:val="font51"/>
    <w:basedOn w:val="DefaultParagraphFont"/>
    <w:qFormat/>
    <w:rPr>
      <w:rFonts w:ascii="宋体" w:eastAsia="宋体" w:hAnsi="宋体" w:cs="宋体" w:hint="eastAsia"/>
      <w:b/>
      <w:bCs/>
      <w:color w:val="000000"/>
      <w:sz w:val="22"/>
      <w:szCs w:val="22"/>
      <w:u w:val="none"/>
    </w:rPr>
  </w:style>
  <w:style w:type="character" w:customStyle="1" w:styleId="font141">
    <w:name w:val="font141"/>
    <w:basedOn w:val="DefaultParagraphFont"/>
    <w:qFormat/>
    <w:rPr>
      <w:rFonts w:ascii="宋体" w:eastAsia="宋体" w:hAnsi="宋体" w:cs="宋体" w:hint="eastAsia"/>
      <w:b/>
      <w:bCs/>
      <w:color w:val="000000"/>
      <w:sz w:val="22"/>
      <w:szCs w:val="22"/>
      <w:u w:val="none"/>
    </w:rPr>
  </w:style>
  <w:style w:type="character" w:customStyle="1" w:styleId="font151">
    <w:name w:val="font151"/>
    <w:basedOn w:val="DefaultParagraphFont"/>
    <w:qFormat/>
    <w:rPr>
      <w:rFonts w:ascii="宋体" w:eastAsia="宋体" w:hAnsi="宋体" w:cs="宋体" w:hint="eastAsia"/>
      <w:color w:val="000000"/>
      <w:sz w:val="22"/>
      <w:szCs w:val="22"/>
      <w:u w:val="none"/>
    </w:rPr>
  </w:style>
  <w:style w:type="character" w:customStyle="1" w:styleId="font161">
    <w:name w:val="font161"/>
    <w:basedOn w:val="DefaultParagraphFont"/>
    <w:qFormat/>
    <w:rPr>
      <w:rFonts w:ascii="宋体" w:eastAsia="宋体" w:hAnsi="宋体" w:cs="宋体" w:hint="eastAsia"/>
      <w:color w:val="000000"/>
      <w:sz w:val="22"/>
      <w:szCs w:val="22"/>
      <w:u w:val="none"/>
    </w:rPr>
  </w:style>
  <w:style w:type="character" w:customStyle="1" w:styleId="font112">
    <w:name w:val="font112"/>
    <w:basedOn w:val="DefaultParagraphFont"/>
    <w:qFormat/>
    <w:rPr>
      <w:rFonts w:ascii="宋体" w:eastAsia="宋体" w:hAnsi="宋体" w:cs="宋体" w:hint="eastAsia"/>
      <w:b/>
      <w:bCs/>
      <w:color w:val="000000"/>
      <w:sz w:val="22"/>
      <w:szCs w:val="22"/>
      <w:u w:val="none"/>
    </w:rPr>
  </w:style>
  <w:style w:type="character" w:customStyle="1" w:styleId="font121">
    <w:name w:val="font121"/>
    <w:basedOn w:val="DefaultParagraphFont"/>
    <w:qFormat/>
    <w:rPr>
      <w:rFonts w:ascii="宋体" w:eastAsia="宋体" w:hAnsi="宋体" w:cs="宋体" w:hint="eastAsia"/>
      <w:color w:val="000000"/>
      <w:sz w:val="20"/>
      <w:szCs w:val="20"/>
      <w:u w:val="none"/>
    </w:rPr>
  </w:style>
  <w:style w:type="character" w:customStyle="1" w:styleId="font131">
    <w:name w:val="font131"/>
    <w:basedOn w:val="DefaultParagraphFont"/>
    <w:qFormat/>
    <w:rPr>
      <w:rFonts w:ascii="宋体" w:eastAsia="宋体" w:hAnsi="宋体" w:cs="宋体" w:hint="eastAsia"/>
      <w:color w:val="FF0000"/>
      <w:sz w:val="22"/>
      <w:szCs w:val="22"/>
      <w:u w:val="none"/>
    </w:rPr>
  </w:style>
  <w:style w:type="paragraph" w:customStyle="1" w:styleId="标题5">
    <w:name w:val="标题5"/>
    <w:next w:val="Normal"/>
    <w:qFormat/>
    <w:pPr>
      <w:spacing w:line="360" w:lineRule="auto"/>
      <w:ind w:left="284"/>
      <w:outlineLvl w:val="4"/>
    </w:pPr>
    <w:rPr>
      <w:rFonts w:ascii="Times New Roman" w:eastAsia="宋体" w:hAnsi="Times New Roman" w:cs="Times New Roman"/>
      <w:b/>
      <w:kern w:val="2"/>
      <w:sz w:val="24"/>
      <w:szCs w:val="22"/>
      <w:lang w:val="en-US" w:eastAsia="zh-CN" w:bidi="ar-SA"/>
    </w:rPr>
  </w:style>
  <w:style w:type="paragraph" w:customStyle="1" w:styleId="msonormal">
    <w:name w:val="msonormal"/>
    <w:basedOn w:val="Normal"/>
    <w:qFormat/>
    <w:pPr>
      <w:widowControl/>
      <w:spacing w:before="100" w:beforeAutospacing="1" w:after="100" w:afterAutospacing="1"/>
      <w:jc w:val="left"/>
    </w:pPr>
    <w:rPr>
      <w:rFonts w:ascii="宋体" w:hAnsi="宋体" w:cs="宋体"/>
      <w:kern w:val="0"/>
      <w:sz w:val="24"/>
    </w:rPr>
  </w:style>
  <w:style w:type="paragraph" w:customStyle="1" w:styleId="font5">
    <w:name w:val="font5"/>
    <w:basedOn w:val="Normal"/>
    <w:qFormat/>
    <w:pPr>
      <w:widowControl/>
      <w:spacing w:before="100" w:beforeAutospacing="1" w:after="100" w:afterAutospacing="1"/>
      <w:jc w:val="left"/>
    </w:pPr>
    <w:rPr>
      <w:rFonts w:ascii="等线" w:eastAsia="等线" w:hAnsi="等线" w:cs="宋体"/>
      <w:kern w:val="0"/>
      <w:sz w:val="18"/>
      <w:szCs w:val="18"/>
    </w:rPr>
  </w:style>
  <w:style w:type="paragraph" w:customStyle="1" w:styleId="xl63">
    <w:name w:val="xl63"/>
    <w:basedOn w:val="Normal"/>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宋体" w:hAnsi="宋体" w:cs="宋体"/>
      <w:color w:val="000000"/>
      <w:kern w:val="0"/>
      <w:sz w:val="24"/>
    </w:rPr>
  </w:style>
  <w:style w:type="paragraph" w:customStyle="1" w:styleId="xl64">
    <w:name w:val="xl64"/>
    <w:basedOn w:val="Normal"/>
    <w:qFormat/>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宋体" w:hAnsi="宋体" w:cs="宋体"/>
      <w:kern w:val="0"/>
      <w:sz w:val="24"/>
    </w:rPr>
  </w:style>
  <w:style w:type="paragraph" w:customStyle="1" w:styleId="19">
    <w:name w:val="19"/>
    <w:basedOn w:val="Normal"/>
    <w:qFormat/>
    <w:pPr>
      <w:widowControl/>
      <w:spacing w:before="100" w:beforeAutospacing="1" w:after="100" w:afterAutospacing="1"/>
      <w:jc w:val="left"/>
    </w:pPr>
    <w:rPr>
      <w:rFonts w:ascii="宋体" w:hAnsi="宋体" w:cs="宋体"/>
      <w:kern w:val="0"/>
      <w:sz w:val="24"/>
    </w:rPr>
  </w:style>
  <w:style w:type="paragraph" w:customStyle="1" w:styleId="p">
    <w:name w:val="p"/>
    <w:basedOn w:val="Normal"/>
    <w:qFormat/>
    <w:pPr>
      <w:widowControl/>
      <w:spacing w:before="100" w:beforeAutospacing="1" w:after="100" w:afterAutospacing="1"/>
      <w:jc w:val="left"/>
    </w:pPr>
    <w:rPr>
      <w:rFonts w:ascii="宋体" w:hAnsi="宋体" w:cs="宋体"/>
      <w:kern w:val="0"/>
      <w:sz w:val="24"/>
    </w:rPr>
  </w:style>
  <w:style w:type="paragraph" w:customStyle="1" w:styleId="20">
    <w:name w:val="20"/>
    <w:basedOn w:val="Normal"/>
    <w:qFormat/>
    <w:pPr>
      <w:widowControl/>
      <w:spacing w:before="100" w:beforeAutospacing="1" w:after="100" w:afterAutospacing="1"/>
      <w:jc w:val="left"/>
    </w:pPr>
    <w:rPr>
      <w:rFonts w:ascii="宋体" w:hAnsi="宋体" w:cs="宋体"/>
      <w:kern w:val="0"/>
      <w:sz w:val="24"/>
    </w:rPr>
  </w:style>
  <w:style w:type="paragraph" w:customStyle="1" w:styleId="标准文本">
    <w:name w:val="标准文本"/>
    <w:basedOn w:val="Normal"/>
    <w:qFormat/>
    <w:pPr>
      <w:widowControl/>
      <w:spacing w:line="360" w:lineRule="auto"/>
      <w:ind w:firstLine="480" w:firstLineChars="200"/>
    </w:pPr>
    <w:rPr>
      <w:kern w:val="0"/>
      <w:sz w:val="24"/>
    </w:rPr>
  </w:style>
  <w:style w:type="character" w:customStyle="1" w:styleId="普通文字CharChar">
    <w:name w:val="普通文字 Char Char"/>
    <w:qFormat/>
    <w:rPr>
      <w:rFonts w:ascii="宋体" w:eastAsia="宋体" w:hAnsi="Courier New" w:cs="Times New Roman"/>
      <w:kern w:val="2"/>
      <w:sz w:val="21"/>
    </w:rPr>
  </w:style>
  <w:style w:type="character" w:customStyle="1" w:styleId="CharChar6">
    <w:name w:val="Char Char6"/>
    <w:qFormat/>
    <w:rPr>
      <w:rFonts w:ascii="宋体" w:hAnsi="Courier New"/>
      <w:kern w:val="2"/>
      <w:sz w:val="21"/>
      <w:lang w:bidi="ar-SA"/>
    </w:rPr>
  </w:style>
  <w:style w:type="character" w:customStyle="1" w:styleId="CharChar1">
    <w:name w:val="Char Char1"/>
    <w:qFormat/>
    <w:locked/>
    <w:rPr>
      <w:rFonts w:ascii="宋体" w:eastAsia="宋体" w:hAnsi="Courier New"/>
      <w:kern w:val="2"/>
      <w:sz w:val="21"/>
      <w:lang w:val="en-US" w:eastAsia="zh-CN" w:bidi="ar-SA"/>
    </w:rPr>
  </w:style>
  <w:style w:type="paragraph" w:customStyle="1" w:styleId="xl56">
    <w:name w:val="xl56"/>
    <w:basedOn w:val="Normal"/>
    <w:qFormat/>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38">
    <w:name w:val="xl3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eastAsia="Arial Unicode MS"/>
      <w:kern w:val="0"/>
      <w:sz w:val="18"/>
      <w:szCs w:val="18"/>
    </w:rPr>
  </w:style>
  <w:style w:type="paragraph" w:customStyle="1" w:styleId="xl32">
    <w:name w:val="xl32"/>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kern w:val="0"/>
      <w:sz w:val="18"/>
      <w:szCs w:val="18"/>
    </w:rPr>
  </w:style>
  <w:style w:type="paragraph" w:customStyle="1" w:styleId="xl67">
    <w:name w:val="xl67"/>
    <w:basedOn w:val="Normal"/>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xl37">
    <w:name w:val="xl37"/>
    <w:basedOn w:val="Normal"/>
    <w:qFormat/>
    <w:pPr>
      <w:widowControl/>
      <w:pBdr>
        <w:bottom w:val="single" w:sz="4" w:space="0" w:color="auto"/>
        <w:right w:val="single" w:sz="4" w:space="0" w:color="auto"/>
      </w:pBdr>
      <w:spacing w:before="100" w:beforeAutospacing="1" w:after="100" w:afterAutospacing="1"/>
      <w:jc w:val="right"/>
      <w:textAlignment w:val="center"/>
    </w:pPr>
    <w:rPr>
      <w:rFonts w:eastAsia="Arial Unicode MS"/>
      <w:kern w:val="0"/>
      <w:sz w:val="18"/>
      <w:szCs w:val="18"/>
    </w:rPr>
  </w:style>
  <w:style w:type="paragraph" w:customStyle="1" w:styleId="CharCharCharCharCharCharCharCharCharCharCharCharChar">
    <w:name w:val="Char Char Char Char Char Char Char Char Char Char Char Char Char"/>
    <w:basedOn w:val="Normal"/>
    <w:qFormat/>
    <w:pPr>
      <w:widowControl/>
      <w:spacing w:after="160" w:line="240" w:lineRule="exact"/>
      <w:jc w:val="left"/>
    </w:pPr>
    <w:rPr>
      <w:rFonts w:ascii="Verdana" w:hAnsi="Verdana"/>
      <w:kern w:val="0"/>
      <w:sz w:val="20"/>
      <w:szCs w:val="20"/>
      <w:lang w:eastAsia="en-US"/>
    </w:rPr>
  </w:style>
  <w:style w:type="paragraph" w:customStyle="1" w:styleId="xl35">
    <w:name w:val="xl35"/>
    <w:basedOn w:val="Normal"/>
    <w:qFormat/>
    <w:pPr>
      <w:widowControl/>
      <w:pBdr>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84">
    <w:name w:val="xl84"/>
    <w:basedOn w:val="Normal"/>
    <w:qFormat/>
    <w:pPr>
      <w:widowControl/>
      <w:pBdr>
        <w:top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font8">
    <w:name w:val="font8"/>
    <w:basedOn w:val="Normal"/>
    <w:qFormat/>
    <w:pPr>
      <w:widowControl/>
      <w:spacing w:before="100" w:beforeAutospacing="1" w:after="100" w:afterAutospacing="1"/>
      <w:jc w:val="left"/>
    </w:pPr>
    <w:rPr>
      <w:rFonts w:eastAsia="Arial Unicode MS"/>
      <w:kern w:val="0"/>
      <w:sz w:val="18"/>
      <w:szCs w:val="18"/>
    </w:rPr>
  </w:style>
  <w:style w:type="paragraph" w:customStyle="1" w:styleId="xl68">
    <w:name w:val="xl68"/>
    <w:basedOn w:val="Normal"/>
    <w:qFormat/>
    <w:pPr>
      <w:widowControl/>
      <w:pBdr>
        <w:left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xl69">
    <w:name w:val="xl69"/>
    <w:basedOn w:val="Normal"/>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font10">
    <w:name w:val="font10"/>
    <w:basedOn w:val="Normal"/>
    <w:qFormat/>
    <w:pPr>
      <w:widowControl/>
      <w:spacing w:before="100" w:beforeAutospacing="1" w:after="100" w:afterAutospacing="1"/>
      <w:jc w:val="left"/>
    </w:pPr>
    <w:rPr>
      <w:rFonts w:eastAsia="Arial Unicode MS"/>
      <w:kern w:val="0"/>
      <w:sz w:val="18"/>
      <w:szCs w:val="18"/>
    </w:rPr>
  </w:style>
  <w:style w:type="paragraph" w:customStyle="1" w:styleId="xl43">
    <w:name w:val="xl43"/>
    <w:basedOn w:val="Normal"/>
    <w:qFormat/>
    <w:pPr>
      <w:widowControl/>
      <w:spacing w:before="100" w:beforeAutospacing="1" w:after="100" w:afterAutospacing="1"/>
      <w:jc w:val="left"/>
      <w:textAlignment w:val="center"/>
    </w:pPr>
    <w:rPr>
      <w:rFonts w:ascii="Arial Unicode MS" w:eastAsia="Arial Unicode MS" w:hAnsi="Arial Unicode MS"/>
      <w:kern w:val="0"/>
      <w:sz w:val="24"/>
    </w:rPr>
  </w:style>
  <w:style w:type="paragraph" w:customStyle="1" w:styleId="font13">
    <w:name w:val="font13"/>
    <w:basedOn w:val="Normal"/>
    <w:qFormat/>
    <w:pPr>
      <w:widowControl/>
      <w:spacing w:before="100" w:beforeAutospacing="1" w:after="100" w:afterAutospacing="1"/>
      <w:jc w:val="left"/>
    </w:pPr>
    <w:rPr>
      <w:rFonts w:eastAsia="Arial Unicode MS"/>
      <w:b/>
      <w:bCs/>
      <w:kern w:val="0"/>
      <w:sz w:val="18"/>
      <w:szCs w:val="18"/>
    </w:rPr>
  </w:style>
  <w:style w:type="paragraph" w:customStyle="1" w:styleId="默认段落字体ParaCharCharChar">
    <w:name w:val="默认段落字体 Para Char Char Char"/>
    <w:basedOn w:val="Normal"/>
    <w:qFormat/>
    <w:rPr>
      <w:szCs w:val="20"/>
    </w:rPr>
  </w:style>
  <w:style w:type="paragraph" w:customStyle="1" w:styleId="xl31">
    <w:name w:val="xl31"/>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Arial Unicode MS"/>
      <w:kern w:val="0"/>
      <w:sz w:val="18"/>
      <w:szCs w:val="18"/>
    </w:rPr>
  </w:style>
  <w:style w:type="paragraph" w:customStyle="1" w:styleId="xl49">
    <w:name w:val="xl49"/>
    <w:basedOn w:val="Normal"/>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82">
    <w:name w:val="xl82"/>
    <w:basedOn w:val="Normal"/>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Unicode MS" w:eastAsia="Arial Unicode MS" w:hAnsi="Arial Unicode MS"/>
      <w:color w:val="333333"/>
      <w:kern w:val="0"/>
      <w:sz w:val="18"/>
      <w:szCs w:val="18"/>
    </w:rPr>
  </w:style>
  <w:style w:type="paragraph" w:customStyle="1" w:styleId="xl29">
    <w:name w:val="xl2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60">
    <w:name w:val="xl60"/>
    <w:basedOn w:val="Normal"/>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70">
    <w:name w:val="xl70"/>
    <w:basedOn w:val="Normal"/>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font7">
    <w:name w:val="font7"/>
    <w:basedOn w:val="Normal"/>
    <w:qFormat/>
    <w:pPr>
      <w:widowControl/>
      <w:spacing w:before="100" w:beforeAutospacing="1" w:after="100" w:afterAutospacing="1"/>
      <w:jc w:val="left"/>
    </w:pPr>
    <w:rPr>
      <w:rFonts w:eastAsia="Arial Unicode MS"/>
      <w:kern w:val="0"/>
      <w:sz w:val="18"/>
      <w:szCs w:val="18"/>
    </w:rPr>
  </w:style>
  <w:style w:type="paragraph" w:customStyle="1" w:styleId="xl41">
    <w:name w:val="xl41"/>
    <w:basedOn w:val="Normal"/>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样式标题2市检方案标题2第一层条h22章标题节标题第一章标题2Heading2HiddenHead...">
    <w:name w:val="样式 标题 2市检方案标题2第一层条h22章标题节标题第一章 标题 2Heading 2 HiddenHead..."/>
    <w:basedOn w:val="Heading2"/>
    <w:qFormat/>
    <w:pPr>
      <w:spacing w:before="120" w:after="120" w:line="264" w:lineRule="auto"/>
    </w:pPr>
    <w:rPr>
      <w:rFonts w:ascii="楷体_GB2312" w:eastAsia="楷体_GB2312" w:hAnsi="楷体" w:cs="宋体"/>
      <w:color w:val="000000"/>
      <w:sz w:val="30"/>
      <w:szCs w:val="30"/>
    </w:rPr>
  </w:style>
  <w:style w:type="paragraph" w:customStyle="1" w:styleId="潘">
    <w:name w:val="潘"/>
    <w:basedOn w:val="Normal"/>
    <w:qFormat/>
    <w:pPr>
      <w:snapToGrid w:val="0"/>
      <w:spacing w:line="240" w:lineRule="atLeast"/>
    </w:pPr>
    <w:rPr>
      <w:rFonts w:ascii="Arial" w:eastAsia="楷体_GB2312" w:hAnsi="Arial"/>
      <w:b/>
      <w:bCs/>
      <w:szCs w:val="20"/>
    </w:rPr>
  </w:style>
  <w:style w:type="paragraph" w:customStyle="1" w:styleId="xl42">
    <w:name w:val="xl42"/>
    <w:basedOn w:val="Normal"/>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18"/>
      <w:szCs w:val="18"/>
    </w:rPr>
  </w:style>
  <w:style w:type="paragraph" w:customStyle="1" w:styleId="xl77">
    <w:name w:val="xl77"/>
    <w:basedOn w:val="Normal"/>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b/>
      <w:bCs/>
      <w:kern w:val="0"/>
      <w:sz w:val="18"/>
      <w:szCs w:val="18"/>
    </w:rPr>
  </w:style>
  <w:style w:type="paragraph" w:customStyle="1" w:styleId="xl71">
    <w:name w:val="xl71"/>
    <w:basedOn w:val="Normal"/>
    <w:qFormat/>
    <w:pPr>
      <w:widowControl/>
      <w:pBdr>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86">
    <w:name w:val="xl86"/>
    <w:basedOn w:val="Normal"/>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52">
    <w:name w:val="xl52"/>
    <w:basedOn w:val="Normal"/>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18"/>
      <w:szCs w:val="18"/>
    </w:rPr>
  </w:style>
  <w:style w:type="paragraph" w:customStyle="1" w:styleId="_Style2">
    <w:name w:val="_Style 2"/>
    <w:basedOn w:val="Normal"/>
    <w:qFormat/>
    <w:pPr>
      <w:ind w:firstLine="420" w:firstLineChars="200"/>
    </w:pPr>
    <w:rPr/>
  </w:style>
  <w:style w:type="paragraph" w:customStyle="1" w:styleId="xl66">
    <w:name w:val="xl66"/>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83">
    <w:name w:val="xl83"/>
    <w:basedOn w:val="Normal"/>
    <w:qFormat/>
    <w:pPr>
      <w:widowControl/>
      <w:pBdr>
        <w:top w:val="single" w:sz="4" w:space="0" w:color="auto"/>
        <w:bottom w:val="single" w:sz="4" w:space="0" w:color="auto"/>
      </w:pBdr>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xl47">
    <w:name w:val="xl47"/>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20"/>
      <w:szCs w:val="20"/>
    </w:rPr>
  </w:style>
  <w:style w:type="paragraph" w:customStyle="1" w:styleId="xl61">
    <w:name w:val="xl61"/>
    <w:basedOn w:val="Normal"/>
    <w:qFormat/>
    <w:pPr>
      <w:widowControl/>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72">
    <w:name w:val="xl72"/>
    <w:basedOn w:val="Normal"/>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33">
    <w:name w:val="xl33"/>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kern w:val="0"/>
      <w:sz w:val="18"/>
      <w:szCs w:val="18"/>
    </w:rPr>
  </w:style>
  <w:style w:type="paragraph" w:customStyle="1" w:styleId="xl45">
    <w:name w:val="xl45"/>
    <w:basedOn w:val="Normal"/>
    <w:qFormat/>
    <w:pPr>
      <w:widowControl/>
      <w:pBdr>
        <w:bottom w:val="single" w:sz="4" w:space="0" w:color="auto"/>
        <w:right w:val="single" w:sz="4" w:space="0" w:color="auto"/>
      </w:pBdr>
      <w:spacing w:before="100" w:beforeAutospacing="1" w:after="100" w:afterAutospacing="1"/>
      <w:jc w:val="right"/>
      <w:textAlignment w:val="center"/>
    </w:pPr>
    <w:rPr>
      <w:rFonts w:eastAsia="Arial Unicode MS"/>
      <w:b/>
      <w:bCs/>
      <w:kern w:val="0"/>
      <w:sz w:val="18"/>
      <w:szCs w:val="18"/>
    </w:rPr>
  </w:style>
  <w:style w:type="paragraph" w:customStyle="1" w:styleId="xl76">
    <w:name w:val="xl76"/>
    <w:basedOn w:val="Normal"/>
    <w:qFormat/>
    <w:pPr>
      <w:widowControl/>
      <w:pBdr>
        <w:left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b/>
      <w:bCs/>
      <w:kern w:val="0"/>
      <w:sz w:val="18"/>
      <w:szCs w:val="18"/>
    </w:rPr>
  </w:style>
  <w:style w:type="paragraph" w:customStyle="1" w:styleId="xl79">
    <w:name w:val="xl79"/>
    <w:basedOn w:val="Normal"/>
    <w:qFormat/>
    <w:pPr>
      <w:widowControl/>
      <w:pBdr>
        <w:left w:val="single" w:sz="4" w:space="0" w:color="auto"/>
        <w:bottom w:val="single" w:sz="4" w:space="0" w:color="auto"/>
      </w:pBdr>
      <w:shd w:val="clear" w:color="auto" w:fill="FFFFFF"/>
      <w:spacing w:before="100" w:beforeAutospacing="1" w:after="100" w:afterAutospacing="1"/>
      <w:jc w:val="center"/>
      <w:textAlignment w:val="center"/>
    </w:pPr>
    <w:rPr>
      <w:rFonts w:ascii="Arial Unicode MS" w:eastAsia="Arial Unicode MS" w:hAnsi="Arial Unicode MS"/>
      <w:b/>
      <w:bCs/>
      <w:color w:val="000000"/>
      <w:kern w:val="0"/>
      <w:sz w:val="18"/>
      <w:szCs w:val="18"/>
    </w:rPr>
  </w:style>
  <w:style w:type="paragraph" w:customStyle="1" w:styleId="xl73">
    <w:name w:val="xl73"/>
    <w:basedOn w:val="Normal"/>
    <w:qFormat/>
    <w:pPr>
      <w:widowControl/>
      <w:pBdr>
        <w:left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xl40">
    <w:name w:val="xl40"/>
    <w:basedOn w:val="Normal"/>
    <w:qFormat/>
    <w:pPr>
      <w:widowControl/>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font6">
    <w:name w:val="font6"/>
    <w:basedOn w:val="Normal"/>
    <w:qFormat/>
    <w:pPr>
      <w:widowControl/>
      <w:spacing w:before="100" w:beforeAutospacing="1" w:after="100" w:afterAutospacing="1"/>
      <w:jc w:val="left"/>
    </w:pPr>
    <w:rPr>
      <w:rFonts w:eastAsia="Arial Unicode MS"/>
      <w:kern w:val="0"/>
      <w:sz w:val="18"/>
      <w:szCs w:val="18"/>
    </w:rPr>
  </w:style>
  <w:style w:type="paragraph" w:customStyle="1" w:styleId="xl85">
    <w:name w:val="xl85"/>
    <w:basedOn w:val="Normal"/>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Arial Unicode MS"/>
      <w:kern w:val="0"/>
      <w:sz w:val="18"/>
      <w:szCs w:val="18"/>
    </w:rPr>
  </w:style>
  <w:style w:type="paragraph" w:customStyle="1" w:styleId="xl75">
    <w:name w:val="xl75"/>
    <w:basedOn w:val="Normal"/>
    <w:qFormat/>
    <w:pPr>
      <w:widowControl/>
      <w:pBdr>
        <w:top w:val="single" w:sz="4" w:space="0" w:color="auto"/>
        <w:left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b/>
      <w:bCs/>
      <w:kern w:val="0"/>
      <w:sz w:val="18"/>
      <w:szCs w:val="18"/>
    </w:rPr>
  </w:style>
  <w:style w:type="paragraph" w:customStyle="1" w:styleId="xl54">
    <w:name w:val="xl54"/>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Helv" w:eastAsia="Arial Unicode MS" w:hAnsi="Helv"/>
      <w:kern w:val="0"/>
      <w:sz w:val="20"/>
      <w:szCs w:val="20"/>
    </w:rPr>
  </w:style>
  <w:style w:type="paragraph" w:customStyle="1" w:styleId="xl78">
    <w:name w:val="xl78"/>
    <w:basedOn w:val="Normal"/>
    <w:qFormat/>
    <w:pPr>
      <w:widowControl/>
      <w:pBdr>
        <w:top w:val="single" w:sz="4" w:space="0" w:color="auto"/>
        <w:left w:val="single" w:sz="4" w:space="0" w:color="auto"/>
        <w:bottom w:val="single" w:sz="4" w:space="0" w:color="auto"/>
      </w:pBdr>
      <w:shd w:val="clear" w:color="auto" w:fill="FFFFFF"/>
      <w:spacing w:before="100" w:beforeAutospacing="1" w:after="100" w:afterAutospacing="1"/>
      <w:jc w:val="center"/>
      <w:textAlignment w:val="center"/>
    </w:pPr>
    <w:rPr>
      <w:rFonts w:ascii="Arial Unicode MS" w:eastAsia="Arial Unicode MS" w:hAnsi="Arial Unicode MS"/>
      <w:b/>
      <w:bCs/>
      <w:color w:val="000000"/>
      <w:kern w:val="0"/>
      <w:sz w:val="18"/>
      <w:szCs w:val="18"/>
    </w:rPr>
  </w:style>
  <w:style w:type="paragraph" w:customStyle="1" w:styleId="_Style4">
    <w:name w:val="_Style 4"/>
    <w:basedOn w:val="Normal"/>
    <w:qFormat/>
    <w:pPr>
      <w:spacing w:before="100" w:beforeAutospacing="1" w:after="100" w:afterAutospacing="1"/>
    </w:pPr>
    <w:rPr>
      <w:rFonts w:ascii="宋体" w:hAnsi="宋体" w:cs="宋体"/>
      <w:sz w:val="24"/>
    </w:rPr>
  </w:style>
  <w:style w:type="paragraph" w:customStyle="1" w:styleId="xl58">
    <w:name w:val="xl58"/>
    <w:basedOn w:val="Normal"/>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标书正文格式">
    <w:name w:val="标书正文格式"/>
    <w:qFormat/>
    <w:pPr>
      <w:adjustRightInd w:val="0"/>
      <w:snapToGrid w:val="0"/>
      <w:spacing w:line="360" w:lineRule="auto"/>
      <w:ind w:firstLine="480" w:firstLineChars="200"/>
      <w:jc w:val="both"/>
    </w:pPr>
    <w:rPr>
      <w:rFonts w:ascii="宋体" w:eastAsia="宋体" w:hAnsi="宋体" w:cs="Times New Roman"/>
      <w:kern w:val="2"/>
      <w:sz w:val="24"/>
      <w:szCs w:val="24"/>
      <w:lang w:val="en-US" w:eastAsia="zh-CN" w:bidi="ar-SA"/>
    </w:rPr>
  </w:style>
  <w:style w:type="paragraph" w:customStyle="1" w:styleId="xl30">
    <w:name w:val="xl30"/>
    <w:basedOn w:val="Normal"/>
    <w:qFormat/>
    <w:pPr>
      <w:widowControl/>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xl81">
    <w:name w:val="xl81"/>
    <w:basedOn w:val="Normal"/>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eastAsia="Arial Unicode MS"/>
      <w:kern w:val="0"/>
      <w:sz w:val="18"/>
      <w:szCs w:val="18"/>
    </w:rPr>
  </w:style>
  <w:style w:type="paragraph" w:customStyle="1" w:styleId="xl74">
    <w:name w:val="xl74"/>
    <w:basedOn w:val="Normal"/>
    <w:qFormat/>
    <w:pPr>
      <w:widowControl/>
      <w:pBdr>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xl44">
    <w:name w:val="xl44"/>
    <w:basedOn w:val="Normal"/>
    <w:qFormat/>
    <w:pPr>
      <w:widowControl/>
      <w:spacing w:before="100" w:beforeAutospacing="1" w:after="100" w:afterAutospacing="1"/>
      <w:jc w:val="right"/>
      <w:textAlignment w:val="center"/>
    </w:pPr>
    <w:rPr>
      <w:rFonts w:ascii="Arial Unicode MS" w:eastAsia="Arial Unicode MS" w:hAnsi="Arial Unicode MS"/>
      <w:kern w:val="0"/>
      <w:sz w:val="24"/>
    </w:rPr>
  </w:style>
  <w:style w:type="paragraph" w:customStyle="1" w:styleId="xl36">
    <w:name w:val="xl36"/>
    <w:basedOn w:val="Normal"/>
    <w:qFormat/>
    <w:pPr>
      <w:widowControl/>
      <w:pBdr>
        <w:bottom w:val="single" w:sz="4" w:space="0" w:color="auto"/>
        <w:right w:val="single" w:sz="4" w:space="0" w:color="auto"/>
      </w:pBdr>
      <w:spacing w:before="100" w:beforeAutospacing="1" w:after="100" w:afterAutospacing="1"/>
      <w:jc w:val="center"/>
      <w:textAlignment w:val="center"/>
    </w:pPr>
    <w:rPr>
      <w:rFonts w:eastAsia="Arial Unicode MS"/>
      <w:kern w:val="0"/>
      <w:sz w:val="18"/>
      <w:szCs w:val="18"/>
    </w:rPr>
  </w:style>
  <w:style w:type="paragraph" w:customStyle="1" w:styleId="xl65">
    <w:name w:val="xl65"/>
    <w:basedOn w:val="Normal"/>
    <w:qFormat/>
    <w:pPr>
      <w:widowControl/>
      <w:pBdr>
        <w:left w:val="single" w:sz="4" w:space="0" w:color="auto"/>
      </w:pBdr>
      <w:spacing w:before="100" w:beforeAutospacing="1" w:after="100" w:afterAutospacing="1"/>
      <w:jc w:val="center"/>
      <w:textAlignment w:val="center"/>
    </w:pPr>
    <w:rPr>
      <w:rFonts w:ascii="Arial Unicode MS" w:eastAsia="Arial Unicode MS" w:hAnsi="Arial Unicode MS"/>
      <w:b/>
      <w:bCs/>
      <w:kern w:val="0"/>
      <w:sz w:val="20"/>
      <w:szCs w:val="20"/>
    </w:rPr>
  </w:style>
  <w:style w:type="paragraph" w:customStyle="1" w:styleId="font9">
    <w:name w:val="font9"/>
    <w:basedOn w:val="Normal"/>
    <w:qFormat/>
    <w:pPr>
      <w:widowControl/>
      <w:spacing w:before="100" w:beforeAutospacing="1" w:after="100" w:afterAutospacing="1"/>
      <w:jc w:val="left"/>
    </w:pPr>
    <w:rPr>
      <w:rFonts w:eastAsia="Arial Unicode MS"/>
      <w:b/>
      <w:bCs/>
      <w:color w:val="000000"/>
      <w:kern w:val="0"/>
      <w:sz w:val="18"/>
      <w:szCs w:val="18"/>
    </w:rPr>
  </w:style>
  <w:style w:type="paragraph" w:customStyle="1" w:styleId="xl48">
    <w:name w:val="xl48"/>
    <w:basedOn w:val="Normal"/>
    <w:qFormat/>
    <w:pPr>
      <w:widowControl/>
      <w:spacing w:before="100" w:beforeAutospacing="1" w:after="100" w:afterAutospacing="1"/>
      <w:jc w:val="center"/>
      <w:textAlignment w:val="center"/>
    </w:pPr>
    <w:rPr>
      <w:rFonts w:ascii="Arial Unicode MS" w:eastAsia="Arial Unicode MS" w:hAnsi="Arial Unicode MS"/>
      <w:kern w:val="0"/>
      <w:sz w:val="28"/>
      <w:szCs w:val="28"/>
    </w:rPr>
  </w:style>
  <w:style w:type="paragraph" w:customStyle="1" w:styleId="xl28">
    <w:name w:val="xl28"/>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34">
    <w:name w:val="xl34"/>
    <w:basedOn w:val="Normal"/>
    <w:qFormat/>
    <w:pPr>
      <w:widowControl/>
      <w:pBdr>
        <w:bottom w:val="single" w:sz="4" w:space="0" w:color="auto"/>
        <w:right w:val="single" w:sz="4" w:space="0" w:color="auto"/>
      </w:pBdr>
      <w:spacing w:before="100" w:beforeAutospacing="1" w:after="100" w:afterAutospacing="1"/>
      <w:jc w:val="left"/>
      <w:textAlignment w:val="center"/>
    </w:pPr>
    <w:rPr>
      <w:rFonts w:eastAsia="Arial Unicode MS"/>
      <w:kern w:val="0"/>
      <w:sz w:val="18"/>
      <w:szCs w:val="18"/>
    </w:rPr>
  </w:style>
  <w:style w:type="paragraph" w:customStyle="1" w:styleId="xl55">
    <w:name w:val="xl55"/>
    <w:basedOn w:val="Normal"/>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62">
    <w:name w:val="xl62"/>
    <w:basedOn w:val="Normal"/>
    <w:qFormat/>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59">
    <w:name w:val="xl59"/>
    <w:basedOn w:val="Normal"/>
    <w:qFormat/>
    <w:pPr>
      <w:widowControl/>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50">
    <w:name w:val="xl50"/>
    <w:basedOn w:val="Normal"/>
    <w:qFormat/>
    <w:pPr>
      <w:widowControl/>
      <w:pBdr>
        <w:top w:val="single" w:sz="4" w:space="0" w:color="auto"/>
        <w:bottom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CharCharCharCharCharCharCharChar">
    <w:name w:val="Char Char Char Char Char Char Char Char"/>
    <w:basedOn w:val="Normal"/>
    <w:qFormat/>
    <w:pPr>
      <w:widowControl/>
      <w:spacing w:after="160" w:line="240" w:lineRule="exact"/>
      <w:jc w:val="left"/>
    </w:pPr>
    <w:rPr>
      <w:rFonts w:ascii="Verdana" w:hAnsi="Verdana"/>
      <w:kern w:val="0"/>
      <w:sz w:val="20"/>
      <w:szCs w:val="20"/>
      <w:lang w:eastAsia="en-US"/>
    </w:rPr>
  </w:style>
  <w:style w:type="paragraph" w:customStyle="1" w:styleId="xl80">
    <w:name w:val="xl80"/>
    <w:basedOn w:val="Normal"/>
    <w:qFormat/>
    <w:pPr>
      <w:widowControl/>
      <w:pBdr>
        <w:bottom w:val="single" w:sz="4" w:space="0" w:color="auto"/>
      </w:pBdr>
      <w:spacing w:before="100" w:beforeAutospacing="1" w:after="100" w:afterAutospacing="1"/>
      <w:jc w:val="center"/>
      <w:textAlignment w:val="center"/>
    </w:pPr>
    <w:rPr>
      <w:rFonts w:ascii="Arial Unicode MS" w:eastAsia="Arial Unicode MS" w:hAnsi="Arial Unicode MS"/>
      <w:kern w:val="0"/>
      <w:sz w:val="18"/>
      <w:szCs w:val="18"/>
    </w:rPr>
  </w:style>
  <w:style w:type="paragraph" w:customStyle="1" w:styleId="xl51">
    <w:name w:val="xl51"/>
    <w:basedOn w:val="Normal"/>
    <w:qFormat/>
    <w:pPr>
      <w:widowControl/>
      <w:pBdr>
        <w:top w:val="single" w:sz="4" w:space="0" w:color="auto"/>
        <w:bottom w:val="single" w:sz="4" w:space="0" w:color="auto"/>
      </w:pBdr>
      <w:spacing w:before="100" w:beforeAutospacing="1" w:after="100" w:afterAutospacing="1"/>
      <w:jc w:val="center"/>
      <w:textAlignment w:val="center"/>
    </w:pPr>
    <w:rPr>
      <w:rFonts w:eastAsia="Arial Unicode MS"/>
      <w:kern w:val="0"/>
      <w:sz w:val="18"/>
      <w:szCs w:val="18"/>
    </w:rPr>
  </w:style>
  <w:style w:type="paragraph" w:customStyle="1" w:styleId="xl46">
    <w:name w:val="xl46"/>
    <w:basedOn w:val="Normal"/>
    <w:qFormat/>
    <w:pPr>
      <w:widowControl/>
      <w:pBdr>
        <w:bottom w:val="single" w:sz="4" w:space="0" w:color="auto"/>
        <w:right w:val="single" w:sz="4" w:space="0" w:color="auto"/>
      </w:pBdr>
      <w:spacing w:before="100" w:beforeAutospacing="1" w:after="100" w:afterAutospacing="1"/>
      <w:jc w:val="right"/>
      <w:textAlignment w:val="center"/>
    </w:pPr>
    <w:rPr>
      <w:rFonts w:ascii="Arial Unicode MS" w:eastAsia="Arial Unicode MS" w:hAnsi="Arial Unicode MS"/>
      <w:kern w:val="0"/>
      <w:sz w:val="18"/>
      <w:szCs w:val="18"/>
    </w:rPr>
  </w:style>
  <w:style w:type="paragraph" w:customStyle="1" w:styleId="xl39">
    <w:name w:val="xl39"/>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Arial Unicode MS" w:eastAsia="Arial Unicode MS" w:hAnsi="Arial Unicode MS"/>
      <w:kern w:val="0"/>
      <w:sz w:val="18"/>
      <w:szCs w:val="18"/>
    </w:rPr>
  </w:style>
  <w:style w:type="paragraph" w:customStyle="1" w:styleId="xl53">
    <w:name w:val="xl53"/>
    <w:basedOn w:val="Normal"/>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20"/>
      <w:szCs w:val="20"/>
    </w:rPr>
  </w:style>
  <w:style w:type="paragraph" w:customStyle="1" w:styleId="xl57">
    <w:name w:val="xl57"/>
    <w:basedOn w:val="Normal"/>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kern w:val="0"/>
      <w:sz w:val="24"/>
    </w:rPr>
  </w:style>
  <w:style w:type="paragraph" w:customStyle="1" w:styleId="正文_0">
    <w:name w:val="正文_0"/>
    <w:qFormat/>
    <w:pPr>
      <w:widowControl w:val="0"/>
      <w:jc w:val="both"/>
    </w:pPr>
    <w:rPr>
      <w:rFonts w:ascii="Times New Roman" w:eastAsia="宋体" w:hAnsi="Times New Roman" w:cs="Times New Roman"/>
      <w:kern w:val="2"/>
      <w:sz w:val="21"/>
      <w:szCs w:val="24"/>
      <w:lang w:val="en-US" w:eastAsia="zh-CN" w:bidi="ar-SA"/>
    </w:rPr>
  </w:style>
  <w:style w:type="paragraph" w:customStyle="1" w:styleId="UserStyle_0">
    <w:name w:val="UserStyle_0"/>
    <w:basedOn w:val="Normal"/>
    <w:qFormat/>
    <w:pPr>
      <w:ind w:firstLine="480" w:firstLineChars="200"/>
    </w:pPr>
    <w:rPr>
      <w:rFonts w:ascii="Calibri" w:hAnsi="Calibri" w:cs="黑体"/>
      <w:szCs w:val="22"/>
      <w:lang w:val="zh-CN"/>
    </w:rPr>
  </w:style>
  <w:style w:type="paragraph" w:customStyle="1" w:styleId="一级条标题">
    <w:name w:val="一级条标题"/>
    <w:basedOn w:val="章标题"/>
    <w:next w:val="段"/>
    <w:qFormat/>
    <w:pPr>
      <w:tabs>
        <w:tab w:val="left" w:pos="810"/>
        <w:tab w:val="left" w:pos="907"/>
        <w:tab w:val="left" w:pos="1265"/>
      </w:tabs>
      <w:spacing w:before="0" w:after="0"/>
      <w:ind w:left="907" w:hanging="907"/>
      <w:outlineLvl w:val="2"/>
    </w:pPr>
    <w:rPr>
      <w:rFonts w:hAnsi="宋体"/>
      <w:kern w:val="0"/>
      <w:sz w:val="20"/>
      <w:szCs w:val="20"/>
    </w:rPr>
  </w:style>
  <w:style w:type="paragraph" w:customStyle="1" w:styleId="章标题">
    <w:name w:val="章标题"/>
    <w:next w:val="Normal"/>
    <w:qFormat/>
    <w:pPr>
      <w:tabs>
        <w:tab w:val="left" w:pos="810"/>
        <w:tab w:val="left" w:pos="1265"/>
      </w:tabs>
      <w:spacing w:before="50" w:after="50"/>
      <w:ind w:left="810" w:hanging="810"/>
      <w:jc w:val="both"/>
      <w:outlineLvl w:val="1"/>
    </w:pPr>
    <w:rPr>
      <w:rFonts w:ascii="黑体" w:eastAsia="黑体" w:hAnsi="Calibri" w:cs="Times New Roman"/>
      <w:kern w:val="2"/>
      <w:sz w:val="21"/>
      <w:szCs w:val="22"/>
      <w:lang w:val="en-US" w:eastAsia="zh-CN" w:bidi="ar-SA"/>
    </w:rPr>
  </w:style>
  <w:style w:type="paragraph" w:customStyle="1" w:styleId="段">
    <w:name w:val="段"/>
    <w:next w:val="Normal"/>
    <w:qFormat/>
    <w:pPr>
      <w:widowControl w:val="0"/>
      <w:ind w:firstLine="200"/>
      <w:jc w:val="both"/>
    </w:pPr>
    <w:rPr>
      <w:rFonts w:ascii="宋体" w:eastAsia="宋体" w:hAnsi="宋体" w:cs="宋体"/>
      <w:color w:val="000000"/>
      <w:sz w:val="21"/>
      <w:szCs w:val="21"/>
      <w:lang w:val="en-US" w:eastAsia="zh-CN" w:bidi="ar-SA"/>
    </w:rPr>
  </w:style>
  <w:style w:type="paragraph" w:customStyle="1" w:styleId="列表段落1">
    <w:name w:val="列表段落1"/>
    <w:basedOn w:val="Normal"/>
    <w:uiPriority w:val="99"/>
    <w:qFormat/>
    <w:pPr>
      <w:ind w:firstLine="420" w:firstLineChars="200"/>
    </w:pPr>
    <w:rPr>
      <w:rFonts w:ascii="Calibri" w:hAnsi="Calibri"/>
      <w:szCs w:val="22"/>
    </w:rPr>
  </w:style>
  <w:style w:type="paragraph" w:customStyle="1" w:styleId="列出段落21">
    <w:name w:val="列出段落21"/>
    <w:basedOn w:val="Normal"/>
    <w:qFormat/>
    <w:pPr>
      <w:ind w:firstLine="420" w:firstLineChars="200"/>
    </w:pPr>
    <w:rPr>
      <w:rFonts w:ascii="Calibri" w:hAnsi="Calibri" w:cs="黑体"/>
      <w:szCs w:val="21"/>
    </w:rPr>
  </w:style>
  <w:style w:type="paragraph" w:customStyle="1" w:styleId="正文A">
    <w:name w:val="正文 A"/>
    <w:next w:val="段"/>
    <w:uiPriority w:val="99"/>
    <w:qFormat/>
    <w:pPr>
      <w:widowControl w:val="0"/>
      <w:pBdr>
        <w:top w:val="none" w:sz="0" w:space="31" w:color="FFFFFF"/>
        <w:left w:val="none" w:sz="0" w:space="31" w:color="FFFFFF"/>
        <w:bottom w:val="none" w:sz="0" w:space="31" w:color="FFFFFF"/>
        <w:right w:val="none" w:sz="0" w:space="31" w:color="FFFFFF"/>
      </w:pBdr>
      <w:jc w:val="both"/>
    </w:pPr>
    <w:rPr>
      <w:rFonts w:ascii="Times New Roman" w:eastAsia="宋体" w:hAnsi="Times New Roman" w:cs="Arial Unicode MS"/>
      <w:color w:val="000000"/>
      <w:kern w:val="2"/>
      <w:sz w:val="21"/>
      <w:szCs w:val="21"/>
      <w:u w:color="000000"/>
      <w:lang w:val="en-US" w:eastAsia="zh-CN" w:bidi="ar-SA"/>
    </w:rPr>
  </w:style>
  <w:style w:type="paragraph" w:customStyle="1" w:styleId="正文2">
    <w:name w:val="正文2"/>
    <w:qFormat/>
    <w:pPr>
      <w:jc w:val="both"/>
    </w:pPr>
    <w:rPr>
      <w:rFonts w:ascii="Times New Roman" w:eastAsia="宋体" w:hAnsi="Times New Roman" w:cs="Times New Roman"/>
      <w:kern w:val="2"/>
      <w:sz w:val="21"/>
      <w:szCs w:val="21"/>
      <w:lang w:val="en-US" w:eastAsia="zh-CN" w:bidi="ar-SA"/>
    </w:rPr>
  </w:style>
  <w:style w:type="character" w:customStyle="1" w:styleId="hover">
    <w:name w:val="hover"/>
    <w:basedOn w:val="DefaultParagraphFont"/>
    <w:qFormat/>
    <w:rPr>
      <w:color w:val="2590EB"/>
    </w:rPr>
  </w:style>
  <w:style w:type="character" w:customStyle="1" w:styleId="hover1">
    <w:name w:val="hover1"/>
    <w:basedOn w:val="DefaultParagraphFont"/>
    <w:qFormat/>
    <w:rPr>
      <w:color w:val="2590EB"/>
    </w:rPr>
  </w:style>
  <w:style w:type="character" w:customStyle="1" w:styleId="hover2">
    <w:name w:val="hover2"/>
    <w:basedOn w:val="DefaultParagraphFont"/>
    <w:qFormat/>
    <w:rPr/>
  </w:style>
  <w:style w:type="character" w:customStyle="1" w:styleId="hover3">
    <w:name w:val="hover3"/>
    <w:basedOn w:val="DefaultParagraphFont"/>
    <w:qFormat/>
    <w:rPr>
      <w:color w:val="2590EB"/>
      <w:shd w:val="clear" w:color="auto" w:fill="E9F4FD"/>
    </w:rPr>
  </w:style>
  <w:style w:type="character" w:customStyle="1" w:styleId="hover4">
    <w:name w:val="hover4"/>
    <w:basedOn w:val="DefaultParagraphFont"/>
    <w:qFormat/>
    <w:rPr>
      <w:color w:val="2590EB"/>
    </w:rPr>
  </w:style>
  <w:style w:type="paragraph" w:customStyle="1" w:styleId="BodyText1I2">
    <w:name w:val="BodyText1I2"/>
    <w:basedOn w:val="BodyTextIndent0"/>
    <w:qFormat/>
    <w:pPr>
      <w:ind w:firstLine="420" w:firstLineChars="200"/>
      <w:jc w:val="both"/>
      <w:textAlignment w:val="baseline"/>
    </w:pPr>
    <w:rPr/>
  </w:style>
  <w:style w:type="paragraph" w:customStyle="1" w:styleId="BodyTextIndent0">
    <w:name w:val="BodyTextIndent"/>
    <w:basedOn w:val="Normal"/>
    <w:qFormat/>
    <w:pPr>
      <w:ind w:firstLine="645"/>
      <w:jc w:val="both"/>
      <w:textAlignment w:val="baseline"/>
    </w:pPr>
    <w:rPr>
      <w:rFonts w:ascii="仿宋_GB2312" w:eastAsia="仿宋_GB2312"/>
      <w:kern w:val="2"/>
      <w:sz w:val="32"/>
      <w:szCs w:val="24"/>
      <w:lang w:val="en-US" w:eastAsia="zh-CN" w:bidi="ar-SA"/>
    </w:rPr>
  </w:style>
  <w:style w:type="paragraph" w:customStyle="1" w:styleId="彩色列表1">
    <w:name w:val="彩色列表1"/>
    <w:basedOn w:val="Normal"/>
    <w:uiPriority w:val="34"/>
    <w:qFormat/>
    <w:pPr>
      <w:ind w:firstLine="420" w:firstLineChars="200"/>
    </w:pPr>
    <w:rPr>
      <w:rFonts w:cs="Times New Roman"/>
      <w:szCs w:val="22"/>
    </w:r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&#65279;<?xml version="1.0" encoding="utf-8" standalone="yes"?><Relationships xmlns="http://schemas.openxmlformats.org/package/2006/relationships"><Relationship Id="rId1" Type="http://schemas.openxmlformats.org/officeDocument/2006/relationships/customXml" Target="../customXml/item1.xml" /><Relationship Id="rId2" Type="http://schemas.openxmlformats.org/officeDocument/2006/relationships/theme" Target="theme/theme1.xml" /><Relationship Id="rId3" Type="http://schemas.openxmlformats.org/officeDocument/2006/relationships/styles" Target="styles.xml" /><Relationship Id="rId4" Type="http://schemas.openxmlformats.org/officeDocument/2006/relationships/webSettings" Target="webSettings.xml" /><Relationship Id="rId5" Type="http://schemas.openxmlformats.org/officeDocument/2006/relationships/numbering" Target="numbering.xml" /><Relationship Id="rId6" Type="http://schemas.openxmlformats.org/officeDocument/2006/relationships/fontTable" Target="fontTable.xml" /><Relationship Id="rId7" Type="http://schemas.openxmlformats.org/officeDocument/2006/relationships/settings" Target="settings.xml" /></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&#65279;<?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472CD43AFF5541ADBD8746C2326E9B5C_13</vt:lpwstr>
  </property>
  <property fmtid="{D5CDD505-2E9C-101B-9397-08002B2CF9AE}" pid="4" name="commondata">
    <vt:lpwstr>eyJoZGlkIjoiN2RmZjAwNjkxMTk2NTYzZTljMjg4Y2VkZDk3YjVlN2YifQ==</vt:lpwstr>
  </property>
  <property fmtid="{D5CDD505-2E9C-101B-9397-08002B2CF9AE}" pid="5" name="KSOTemplateDocerSaveRecord">
    <vt:lpwstr>eyJoZGlkIjoiNmVlOGE4ZDNlNjcyMTIzNGMwOGNkMDkyNjJjYmEzN2QiLCJ1c2VySWQiOiI0MzU0NjYxOTcifQ==</vt:lpwstr>
  </property>
</Properties>
</file>

<file path=customXml/itemProps1.xml><?xml version="1.0" encoding="utf-8"?>
<ds:datastoreItem xmlns:ds="http://schemas.openxmlformats.org/officeDocument/2006/customXml" ds:itemID="">
  <ds:schemaRefs/>
</ds:datastoreItem>
</file>

<file path=docProps/app.xml><?xml version="1.0" encoding="utf-8"?>
<Properties xmlns:vt="http://schemas.openxmlformats.org/officeDocument/2006/docPropsVTypes" xmlns="http://schemas.openxmlformats.org/officeDocument/2006/extended-properties">
  <Template>Normal</Template>
  <TotalTime>0</TotalTime>
  <Pages>41</Pages>
  <Words>2745</Words>
  <Characters>3032</Characters>
  <Application>WPS Office_12.1.0.21915_F1E327BC-269C-435d-A152-05C5408002CA</Application>
  <DocSecurity>0</DocSecurity>
  <Lines>372</Lines>
  <Paragraphs>104</Paragraphs>
  <CharactersWithSpaces>3141</CharactersWithSpaces>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盱眙县政府采购中心</dc:title>
  <dc:creator>User</dc:creator>
  <cp:lastModifiedBy>尔尔.</cp:lastModifiedBy>
  <cp:revision>73</cp:revision>
  <cp:lastPrinted>2023-10-30T03:11:00Z</cp:lastPrinted>
  <dcterms:created xsi:type="dcterms:W3CDTF">2023-06-01T06:56:00Z</dcterms:created>
  <dcterms:modified xsi:type="dcterms:W3CDTF">2025-07-16T03:04:02Z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pid="2" name="KSOProductBuildVer">
    <vt:lpwstr>2052-12.1.0.21915</vt:lpwstr>
  </property>
  <property fmtid="{D5CDD505-2E9C-101B-9397-08002B2CF9AE}" pid="3" name="ICV">
    <vt:lpwstr>472CD43AFF5541ADBD8746C2326E9B5C_13</vt:lpwstr>
  </property>
  <property fmtid="{D5CDD505-2E9C-101B-9397-08002B2CF9AE}" pid="4" name="commondata">
    <vt:lpwstr>eyJoZGlkIjoiN2RmZjAwNjkxMTk2NTYzZTljMjg4Y2VkZDk3YjVlN2YifQ_x003D__x003D_</vt:lpwstr>
  </property>
  <property fmtid="{D5CDD505-2E9C-101B-9397-08002B2CF9AE}" pid="5" name="KSOTemplateDocerSaveRecord">
    <vt:lpwstr>eyJoZGlkIjoiNmVlOGE4ZDNlNjcyMTIzNGMwOGNkMDkyNjJjYmEzN2QiLCJ1c2VySWQiOiI0MzU0NjYxOTcifQ_x003D__x003D_</vt:lpwstr>
  </property>
</Properties>
</file>