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mc:Ignorable="w14 wp14">
  <w:body>
    <w:p>
      <w:pPr>
        <w:pStyle w:val="正文文本311"/>
        <w:spacing w:line="920" w:lineRule="exact"/>
        <w:jc w:val="both"/>
        <w:rPr>
          <w:rStyle w:val="强调1"/>
          <w:rFonts w:ascii="宋体" w:eastAsia="宋体" w:hAnsi="宋体" w:cs="宋体" w:hint="eastAsia"/>
          <w:i w:val="0"/>
          <w:iCs w:val="0"/>
          <w:color w:val="auto"/>
          <w:highlight w:val="none"/>
        </w:rPr>
      </w:pPr>
    </w:p>
    <w:p>
      <w:pPr>
        <w:spacing w:line="1040" w:lineRule="exact"/>
        <w:jc w:val="left"/>
        <w:outlineLvl w:val="0"/>
        <w:rPr>
          <w:rFonts w:ascii="宋体" w:eastAsia="宋体" w:hAnsi="宋体" w:cs="宋体" w:hint="eastAsia"/>
          <w:b/>
          <w:color w:val="auto"/>
          <w:sz w:val="52"/>
          <w:szCs w:val="52"/>
          <w:highlight w:val="none"/>
        </w:rPr>
      </w:pPr>
    </w:p>
    <w:p>
      <w:pPr>
        <w:spacing w:line="1040" w:lineRule="exact"/>
        <w:jc w:val="center"/>
        <w:outlineLvl w:val="0"/>
        <w:rPr>
          <w:rFonts w:ascii="宋体" w:eastAsia="宋体" w:hAnsi="宋体" w:cs="宋体" w:hint="eastAsia"/>
          <w:b/>
          <w:color w:val="auto"/>
          <w:sz w:val="52"/>
          <w:szCs w:val="52"/>
          <w:highlight w:val="none"/>
        </w:rPr>
      </w:pPr>
      <w:r>
        <w:rPr>
          <w:rFonts w:ascii="宋体" w:eastAsia="宋体" w:hAnsi="宋体" w:cs="宋体" w:hint="eastAsia"/>
          <w:b/>
          <w:color w:val="auto"/>
          <w:sz w:val="52"/>
          <w:szCs w:val="52"/>
          <w:highlight w:val="none"/>
        </w:rPr>
        <w:t xml:space="preserve">“</w:t>
      </w:r>
      <w:r>
        <w:rPr>
          <w:rFonts w:ascii="宋体" w:eastAsia="宋体" w:hAnsi="宋体" w:cs="宋体" w:hint="eastAsia"/>
          <w:b/>
          <w:color w:val="auto"/>
          <w:sz w:val="52"/>
          <w:szCs w:val="52"/>
          <w:highlight w:val="none"/>
          <w:lang w:val="en-US" w:eastAsia="zh-CN"/>
        </w:rPr>
        <w:t xml:space="preserve">苏采云</w:t>
      </w:r>
      <w:r>
        <w:rPr>
          <w:rFonts w:ascii="宋体" w:eastAsia="宋体" w:hAnsi="宋体" w:cs="宋体" w:hint="eastAsia"/>
          <w:b/>
          <w:color w:val="auto"/>
          <w:sz w:val="52"/>
          <w:szCs w:val="52"/>
          <w:highlight w:val="none"/>
        </w:rPr>
        <w:t xml:space="preserve">全流程不见面交易”</w:t>
      </w:r>
    </w:p>
    <w:p>
      <w:pPr>
        <w:spacing w:line="1040" w:lineRule="exact"/>
        <w:jc w:val="center"/>
        <w:outlineLvl w:val="0"/>
        <w:rPr>
          <w:rFonts w:ascii="宋体" w:eastAsia="宋体" w:hAnsi="宋体" w:cs="宋体" w:hint="eastAsia"/>
          <w:b/>
          <w:color w:val="auto"/>
          <w:sz w:val="72"/>
          <w:szCs w:val="72"/>
          <w:highlight w:val="none"/>
        </w:rPr>
      </w:pPr>
      <w:r>
        <w:rPr>
          <w:rFonts w:ascii="宋体" w:eastAsia="宋体" w:hAnsi="宋体" w:cs="宋体" w:hint="eastAsia"/>
          <w:b/>
          <w:color w:val="auto"/>
          <w:sz w:val="52"/>
          <w:szCs w:val="52"/>
          <w:highlight w:val="none"/>
          <w:lang w:val="en-US" w:eastAsia="zh-CN"/>
        </w:rPr>
        <w:t xml:space="preserve">竞争性磋商</w:t>
      </w:r>
      <w:r>
        <w:rPr>
          <w:rFonts w:ascii="宋体" w:eastAsia="宋体" w:hAnsi="宋体" w:cs="宋体" w:hint="eastAsia"/>
          <w:b/>
          <w:color w:val="auto"/>
          <w:sz w:val="52"/>
          <w:szCs w:val="52"/>
          <w:highlight w:val="none"/>
        </w:rPr>
        <w:t xml:space="preserve">文件</w:t>
      </w:r>
    </w:p>
    <w:p>
      <w:pPr>
        <w:rPr>
          <w:rFonts w:hint="eastAsia"/>
          <w:color w:val="auto"/>
          <w:highlight w:val="none"/>
        </w:rPr>
      </w:pPr>
    </w:p>
    <w:p>
      <w:pPr>
        <w:rPr>
          <w:rFonts w:hint="eastAsia"/>
          <w:color w:val="auto"/>
          <w:highlight w:val="none"/>
        </w:rPr>
      </w:pPr>
    </w:p>
    <w:p>
      <w:pPr>
        <w:rPr>
          <w:rFonts w:hint="eastAsia"/>
          <w:color w:val="auto"/>
          <w:highlight w:val="none"/>
        </w:rPr>
      </w:pPr>
    </w:p>
    <w:p>
      <w:pPr>
        <w:spacing w:line="720" w:lineRule="auto"/>
        <w:ind w:firstLine="957"/>
        <w:rPr>
          <w:rFonts w:ascii="宋体" w:eastAsia="宋体" w:hAnsi="宋体" w:cs="宋体" w:hint="eastAsia"/>
          <w:b/>
          <w:color w:val="auto"/>
          <w:sz w:val="32"/>
          <w:szCs w:val="32"/>
          <w:highlight w:val="none"/>
        </w:rPr>
      </w:pPr>
    </w:p>
    <w:p>
      <w:pPr>
        <w:spacing w:line="720" w:lineRule="auto"/>
        <w:ind w:firstLine="957"/>
        <w:rPr>
          <w:rFonts w:ascii="宋体" w:eastAsia="宋体" w:hAnsi="宋体" w:cs="宋体" w:hint="eastAsia"/>
          <w:b/>
          <w:color w:val="auto"/>
          <w:sz w:val="32"/>
          <w:szCs w:val="32"/>
          <w:highlight w:val="none"/>
        </w:rPr>
      </w:pPr>
      <w:r>
        <w:rPr>
          <w:rFonts w:ascii="宋体" w:eastAsia="宋体" w:hAnsi="宋体" w:cs="宋体" w:hint="eastAsia"/>
          <w:b/>
          <w:color w:val="auto"/>
          <w:sz w:val="32"/>
          <w:szCs w:val="32"/>
          <w:highlight w:val="none"/>
        </w:rPr>
        <w:t xml:space="preserve">项目名称:</w:t>
      </w:r>
      <w:r>
        <w:rPr>
          <w:rFonts w:ascii="宋体" w:hAnsi="宋体" w:cs="宋体" w:hint="eastAsia"/>
          <w:b/>
          <w:color w:val="auto"/>
          <w:sz w:val="32"/>
          <w:szCs w:val="32"/>
          <w:highlight w:val="none"/>
          <w:lang w:eastAsia="zh-CN"/>
        </w:rPr>
        <w:t xml:space="preserve">淮安市淮海初级中学老校区雨污水管网</w:t>
      </w:r>
      <w:r>
        <w:rPr>
          <w:rFonts w:ascii="宋体" w:eastAsia="宋体" w:hAnsi="宋体" w:cs="宋体" w:hint="eastAsia"/>
          <w:b/>
          <w:color w:val="auto"/>
          <w:sz w:val="32"/>
          <w:szCs w:val="32"/>
          <w:highlight w:val="none"/>
          <w:lang w:eastAsia="zh-CN"/>
        </w:rPr>
        <w:t xml:space="preserve">工程</w:t>
      </w:r>
    </w:p>
    <w:p>
      <w:pPr>
        <w:spacing w:line="720" w:lineRule="auto"/>
        <w:ind w:firstLine="957"/>
        <w:rPr>
          <w:rFonts w:ascii="宋体" w:eastAsia="宋体" w:hAnsi="宋体" w:cs="宋体" w:hint="eastAsia"/>
          <w:b/>
          <w:color w:val="auto"/>
          <w:sz w:val="32"/>
          <w:szCs w:val="32"/>
          <w:highlight w:val="none"/>
        </w:rPr>
      </w:pPr>
      <w:bookmarkStart w:id="0" w:name="_Toc1359"/>
      <w:r>
        <w:rPr>
          <w:rFonts w:ascii="宋体" w:eastAsia="宋体" w:hAnsi="宋体" w:cs="宋体" w:hint="eastAsia"/>
          <w:b/>
          <w:color w:val="auto"/>
          <w:sz w:val="32"/>
          <w:szCs w:val="32"/>
          <w:highlight w:val="none"/>
        </w:rPr>
        <w:t xml:space="preserve">项目编号:</w:t>
      </w:r>
      <w:bookmarkEnd w:id="0"/>
      <w:r>
        <w:rPr>
          <w:rFonts w:ascii="宋体" w:hAnsi="宋体" w:cs="宋体" w:hint="eastAsia"/>
          <w:b/>
          <w:color w:val="auto"/>
          <w:sz w:val="32"/>
          <w:szCs w:val="32"/>
          <w:highlight w:val="none"/>
          <w:lang w:eastAsia="zh-CN"/>
        </w:rPr>
        <w:t xml:space="preserve">JSZC-320804-DDGC-C2024-0048</w:t>
      </w:r>
    </w:p>
    <w:p>
      <w:pPr>
        <w:spacing w:line="720" w:lineRule="auto"/>
        <w:ind w:firstLine="0"/>
        <w:rPr>
          <w:rFonts w:ascii="宋体" w:eastAsia="宋体" w:hAnsi="宋体" w:cs="宋体" w:hint="eastAsia"/>
          <w:b/>
          <w:color w:val="auto"/>
          <w:sz w:val="32"/>
          <w:szCs w:val="32"/>
          <w:highlight w:val="none"/>
          <w:lang w:val="en-US" w:eastAsia="zh-CN"/>
        </w:rPr>
      </w:pPr>
    </w:p>
    <w:p>
      <w:pPr>
        <w:pStyle w:val="标题411"/>
        <w:rPr>
          <w:rFonts w:hint="eastAsia"/>
          <w:color w:val="auto"/>
          <w:highlight w:val="none"/>
          <w:lang w:val="en-US" w:eastAsia="zh-CN"/>
        </w:rPr>
      </w:pPr>
    </w:p>
    <w:p>
      <w:pPr>
        <w:spacing w:line="360" w:lineRule="auto"/>
        <w:ind w:firstLine="1263"/>
        <w:rPr>
          <w:rFonts w:cs="宋体"/>
          <w:b/>
          <w:bCs/>
          <w:color w:val="auto"/>
          <w:spacing w:val="-16"/>
          <w:sz w:val="32"/>
          <w:szCs w:val="32"/>
          <w:highlight w:val="none"/>
          <w:lang w:eastAsia="zh-CN"/>
        </w:rPr>
      </w:pPr>
      <w:r>
        <w:rPr>
          <w:rFonts w:cs="宋体" w:hint="eastAsia"/>
          <w:b/>
          <w:bCs/>
          <w:color w:val="auto"/>
          <w:sz w:val="32"/>
          <w:szCs w:val="32"/>
          <w:highlight w:val="none"/>
          <w:lang w:eastAsia="zh-CN"/>
        </w:rPr>
        <w:t xml:space="preserve">采   购   人:</w:t>
      </w:r>
      <w:r>
        <w:rPr>
          <w:rFonts w:cs="宋体" w:hint="eastAsia"/>
          <w:b/>
          <w:color w:val="auto"/>
          <w:sz w:val="32"/>
          <w:szCs w:val="32"/>
          <w:highlight w:val="none"/>
          <w:lang w:eastAsia="zh-CN"/>
        </w:rPr>
        <w:t xml:space="preserve"> </w:t>
      </w:r>
      <w:r>
        <w:rPr>
          <w:rFonts w:cs="宋体" w:hint="eastAsia"/>
          <w:b/>
          <w:bCs/>
          <w:color w:val="auto"/>
          <w:spacing w:val="-16"/>
          <w:sz w:val="32"/>
          <w:szCs w:val="32"/>
          <w:highlight w:val="none"/>
          <w:lang w:eastAsia="zh-CN"/>
        </w:rPr>
        <w:t xml:space="preserve">淮安市淮海初级中学 </w:t>
      </w:r>
    </w:p>
    <w:p>
      <w:pPr>
        <w:spacing w:line="360" w:lineRule="auto"/>
        <w:ind w:firstLine="1263"/>
        <w:rPr>
          <w:rFonts w:cs="宋体"/>
          <w:b/>
          <w:bCs/>
          <w:color w:val="auto"/>
          <w:sz w:val="32"/>
          <w:szCs w:val="32"/>
          <w:highlight w:val="none"/>
          <w:lang w:eastAsia="zh-CN"/>
        </w:rPr>
      </w:pPr>
      <w:r>
        <w:rPr>
          <w:rFonts w:cs="宋体" w:hint="eastAsia"/>
          <w:b/>
          <w:bCs/>
          <w:color w:val="auto"/>
          <w:sz w:val="32"/>
          <w:szCs w:val="32"/>
          <w:highlight w:val="none"/>
          <w:lang w:eastAsia="zh-CN"/>
        </w:rPr>
        <w:t xml:space="preserve">采购代理机构: 江苏栋德工程管理有限公司</w:t>
      </w:r>
    </w:p>
    <w:p>
      <w:pPr>
        <w:tabs>
          <w:tab w:val="left" w:pos="8786"/>
        </w:tabs>
        <w:spacing w:line="360" w:lineRule="auto"/>
        <w:ind w:firstLine="3373"/>
        <w:rPr>
          <w:rFonts w:cs="宋体"/>
          <w:b/>
          <w:bCs/>
          <w:color w:val="auto"/>
          <w:sz w:val="32"/>
          <w:highlight w:val="none"/>
          <w:lang w:eastAsia="zh-CN"/>
        </w:rPr>
      </w:pPr>
      <w:r>
        <w:rPr>
          <w:rFonts w:cs="宋体" w:hint="eastAsia"/>
          <w:b/>
          <w:bCs/>
          <w:color w:val="auto"/>
          <w:sz w:val="32"/>
          <w:highlight w:val="none"/>
          <w:lang w:eastAsia="zh-CN"/>
        </w:rPr>
        <w:t xml:space="preserve">二〇二四年七月</w:t>
      </w:r>
    </w:p>
    <w:p>
      <w:pPr>
        <w:rPr>
          <w:rFonts w:ascii="宋体" w:eastAsia="宋体" w:hAnsi="宋体" w:cs="宋体" w:hint="eastAsia"/>
          <w:b/>
          <w:bCs/>
          <w:color w:val="auto"/>
          <w:sz w:val="36"/>
          <w:szCs w:val="36"/>
          <w:highlight w:val="none"/>
        </w:rPr>
      </w:pPr>
      <w:r>
        <w:br w:type="page"/>
      </w:r>
    </w:p>
    <w:p>
      <w:pPr>
        <w:jc w:val="center"/>
        <w:rPr>
          <w:rFonts w:ascii="宋体" w:eastAsia="宋体" w:hAnsi="宋体" w:cs="宋体" w:hint="eastAsia"/>
          <w:b/>
          <w:bCs/>
          <w:color w:val="auto"/>
          <w:sz w:val="36"/>
          <w:szCs w:val="36"/>
          <w:highlight w:val="none"/>
        </w:rPr>
      </w:pPr>
      <w:r>
        <w:rPr>
          <w:rFonts w:ascii="宋体" w:eastAsia="宋体" w:hAnsi="宋体" w:cs="宋体" w:hint="eastAsia"/>
          <w:b/>
          <w:bCs/>
          <w:color w:val="auto"/>
          <w:sz w:val="36"/>
          <w:szCs w:val="36"/>
          <w:highlight w:val="none"/>
        </w:rPr>
        <w:t xml:space="preserve">目  录</w:t>
      </w:r>
    </w:p>
    <w:p>
      <w:pPr>
        <w:pStyle w:val="WPSOffice手动目录1"/>
        <w:widowControl w:val="0"/>
        <w:tabs>
          <w:tab w:val="right" w:leader="dot" w:pos="9297"/>
        </w:tabs>
        <w:rPr>
          <w:rFonts w:ascii="宋体" w:eastAsia="宋体" w:hAnsi="宋体" w:cs="宋体" w:hint="eastAsia"/>
          <w:color w:val="auto"/>
          <w:highlight w:val="none"/>
        </w:rPr>
      </w:pPr>
      <w:r>
        <w:rPr>
          <w:rFonts w:ascii="宋体" w:eastAsia="宋体" w:hAnsi="宋体" w:cs="宋体" w:hint="eastAsia"/>
          <w:b/>
          <w:bCs/>
          <w:color w:val="auto"/>
          <w:sz w:val="36"/>
          <w:szCs w:val="36"/>
          <w:highlight w:val="none"/>
        </w:rPr>
        <w:fldChar w:fldCharType="begin"/>
      </w:r>
      <w:r>
        <w:rPr>
          <w:rFonts w:ascii="宋体" w:eastAsia="宋体" w:hAnsi="宋体" w:cs="宋体" w:hint="eastAsia"/>
          <w:b/>
          <w:bCs/>
          <w:color w:val="auto"/>
          <w:sz w:val="36"/>
          <w:szCs w:val="36"/>
          <w:highlight w:val="none"/>
        </w:rPr>
        <w:instrText xml:space="preserve">TOC \o "1-1" \h \u</w:instrText>
      </w:r>
      <w:r>
        <w:rPr>
          <w:rFonts w:ascii="宋体" w:eastAsia="宋体" w:hAnsi="宋体" w:cs="宋体" w:hint="eastAsia"/>
          <w:b/>
          <w:bCs/>
          <w:color w:val="auto"/>
          <w:sz w:val="36"/>
          <w:szCs w:val="36"/>
          <w:highlight w:val="none"/>
        </w:rPr>
        <w:fldChar w:fldCharType="separate"/>
      </w:r>
    </w:p>
    <w:p>
      <w:pPr>
        <w:pStyle w:val="WPSOffice手动目录1"/>
        <w:widowControl w:val="0"/>
        <w:tabs>
          <w:tab w:val="right" w:leader="dot" w:pos="9297"/>
        </w:tabs>
        <w:spacing w:line="720" w:lineRule="auto"/>
        <w:rPr>
          <w:rFonts w:ascii="宋体" w:eastAsia="宋体" w:hAnsi="宋体" w:cs="宋体" w:hint="eastAsia"/>
          <w:color w:val="auto"/>
          <w:sz w:val="28"/>
          <w:szCs w:val="28"/>
          <w:highlight w:val="none"/>
        </w:rPr>
      </w:pPr>
      <w:hyperlink w:anchor="_Toc31977" w:history="1">
        <w:r>
          <w:rPr>
            <w:rFonts w:ascii="宋体" w:eastAsia="宋体" w:hAnsi="宋体" w:cs="宋体" w:hint="eastAsia"/>
            <w:bCs/>
            <w:color w:val="auto"/>
            <w:sz w:val="28"/>
            <w:szCs w:val="28"/>
            <w:highlight w:val="none"/>
          </w:rPr>
          <w:t xml:space="preserve">第一章  磋商邀请</w:t>
        </w:r>
        <w:r>
          <w:rPr>
            <w:rFonts w:ascii="宋体" w:eastAsia="宋体" w:hAnsi="宋体" w:cs="宋体" w:hint="eastAsia"/>
            <w:color w:val="auto"/>
            <w:sz w:val="28"/>
            <w:szCs w:val="28"/>
            <w:highlight w:val="none"/>
          </w:rPr>
          <w:tab/>
        </w:r>
        <w:r>
          <w:rPr>
            <w:rFonts w:ascii="宋体" w:eastAsia="宋体" w:hAnsi="宋体" w:cs="宋体" w:hint="eastAsia"/>
            <w:color w:val="auto"/>
            <w:sz w:val="28"/>
            <w:szCs w:val="28"/>
            <w:highlight w:val="none"/>
          </w:rPr>
          <w:fldChar w:fldCharType="begin"/>
        </w:r>
        <w:r>
          <w:rPr>
            <w:rFonts w:ascii="宋体" w:eastAsia="宋体" w:hAnsi="宋体" w:cs="宋体" w:hint="eastAsia"/>
            <w:color w:val="auto"/>
            <w:sz w:val="28"/>
            <w:szCs w:val="28"/>
            <w:highlight w:val="none"/>
          </w:rPr>
          <w:instrText xml:space="preserve"> PAGEREF _Toc31977 \h </w:instrText>
        </w:r>
        <w:r>
          <w:rPr>
            <w:rFonts w:ascii="宋体" w:eastAsia="宋体" w:hAnsi="宋体" w:cs="宋体" w:hint="eastAsia"/>
            <w:color w:val="auto"/>
            <w:sz w:val="28"/>
            <w:szCs w:val="28"/>
            <w:highlight w:val="none"/>
          </w:rPr>
          <w:fldChar w:fldCharType="separate"/>
        </w:r>
        <w:r>
          <w:rPr>
            <w:rFonts w:ascii="宋体" w:eastAsia="宋体" w:hAnsi="宋体" w:cs="宋体" w:hint="eastAsia"/>
            <w:color w:val="auto"/>
            <w:sz w:val="28"/>
            <w:szCs w:val="28"/>
            <w:highlight w:val="none"/>
          </w:rPr>
          <w:t xml:space="preserve">1</w:t>
        </w:r>
        <w:r>
          <w:rPr>
            <w:rFonts w:ascii="宋体" w:eastAsia="宋体" w:hAnsi="宋体" w:cs="宋体" w:hint="eastAsia"/>
            <w:color w:val="auto"/>
            <w:sz w:val="28"/>
            <w:szCs w:val="28"/>
            <w:highlight w:val="none"/>
          </w:rPr>
          <w:fldChar w:fldCharType="end"/>
        </w:r>
      </w:hyperlink>
    </w:p>
    <w:p>
      <w:pPr>
        <w:pStyle w:val="WPSOffice手动目录1"/>
        <w:widowControl w:val="0"/>
        <w:tabs>
          <w:tab w:val="right" w:leader="dot" w:pos="9297"/>
        </w:tabs>
        <w:spacing w:line="720" w:lineRule="auto"/>
        <w:rPr>
          <w:rFonts w:ascii="宋体" w:eastAsia="宋体" w:hAnsi="宋体" w:cs="宋体" w:hint="eastAsia"/>
          <w:color w:val="auto"/>
          <w:sz w:val="28"/>
          <w:szCs w:val="28"/>
          <w:highlight w:val="none"/>
        </w:rPr>
      </w:pPr>
      <w:hyperlink w:anchor="_Toc14001" w:history="1">
        <w:r>
          <w:rPr>
            <w:rFonts w:ascii="宋体" w:eastAsia="宋体" w:hAnsi="宋体" w:cs="宋体" w:hint="eastAsia"/>
            <w:bCs/>
            <w:color w:val="auto"/>
            <w:sz w:val="28"/>
            <w:szCs w:val="28"/>
            <w:highlight w:val="none"/>
          </w:rPr>
          <w:t xml:space="preserve">第二章  供应商须知</w:t>
        </w:r>
        <w:r>
          <w:rPr>
            <w:rFonts w:ascii="宋体" w:eastAsia="宋体" w:hAnsi="宋体" w:cs="宋体" w:hint="eastAsia"/>
            <w:color w:val="auto"/>
            <w:sz w:val="28"/>
            <w:szCs w:val="28"/>
            <w:highlight w:val="none"/>
          </w:rPr>
          <w:tab/>
        </w:r>
        <w:r>
          <w:rPr>
            <w:rFonts w:ascii="宋体" w:eastAsia="宋体" w:hAnsi="宋体" w:cs="宋体" w:hint="eastAsia"/>
            <w:color w:val="auto"/>
            <w:sz w:val="28"/>
            <w:szCs w:val="28"/>
            <w:highlight w:val="none"/>
            <w:lang w:val="en-US" w:eastAsia="zh-CN"/>
          </w:rPr>
          <w:t xml:space="preserve">4</w:t>
        </w:r>
      </w:hyperlink>
    </w:p>
    <w:p>
      <w:pPr>
        <w:pStyle w:val="WPSOffice手动目录1"/>
        <w:widowControl w:val="0"/>
        <w:tabs>
          <w:tab w:val="right" w:leader="dot" w:pos="9297"/>
        </w:tabs>
        <w:spacing w:line="720" w:lineRule="auto"/>
        <w:rPr>
          <w:rFonts w:ascii="宋体" w:eastAsia="宋体" w:hAnsi="宋体" w:cs="宋体" w:hint="eastAsia"/>
          <w:color w:val="auto"/>
          <w:sz w:val="28"/>
          <w:szCs w:val="28"/>
          <w:highlight w:val="none"/>
          <w:lang w:val="en-US" w:eastAsia="zh-CN"/>
        </w:rPr>
      </w:pPr>
      <w:hyperlink w:anchor="_Toc20844" w:history="1">
        <w:r>
          <w:rPr>
            <w:rFonts w:ascii="宋体" w:eastAsia="宋体" w:hAnsi="宋体" w:cs="宋体" w:hint="eastAsia"/>
            <w:color w:val="auto"/>
            <w:sz w:val="28"/>
            <w:szCs w:val="28"/>
            <w:highlight w:val="none"/>
          </w:rPr>
          <w:t xml:space="preserve">第三章  评标标准</w:t>
        </w:r>
        <w:r>
          <w:rPr>
            <w:rFonts w:ascii="宋体" w:eastAsia="宋体" w:hAnsi="宋体" w:cs="宋体" w:hint="eastAsia"/>
            <w:color w:val="auto"/>
            <w:sz w:val="28"/>
            <w:szCs w:val="28"/>
            <w:highlight w:val="none"/>
          </w:rPr>
          <w:tab/>
        </w:r>
        <w:r>
          <w:rPr>
            <w:rFonts w:ascii="宋体" w:eastAsia="宋体" w:hAnsi="宋体" w:cs="宋体" w:hint="eastAsia"/>
            <w:color w:val="auto"/>
            <w:sz w:val="28"/>
            <w:szCs w:val="28"/>
            <w:highlight w:val="none"/>
            <w:lang w:val="en-US" w:eastAsia="zh-CN"/>
          </w:rPr>
          <w:t xml:space="preserve">1</w:t>
        </w:r>
      </w:hyperlink>
      <w:r>
        <w:rPr>
          <w:rFonts w:ascii="宋体" w:hAnsi="宋体" w:cs="宋体" w:hint="eastAsia"/>
          <w:bCs/>
          <w:color w:val="auto"/>
          <w:sz w:val="28"/>
          <w:szCs w:val="28"/>
          <w:highlight w:val="none"/>
          <w:lang w:val="en-US" w:eastAsia="zh-CN"/>
        </w:rPr>
        <w:t xml:space="preserve">3</w:t>
      </w:r>
    </w:p>
    <w:p>
      <w:pPr>
        <w:pStyle w:val="WPSOffice手动目录1"/>
        <w:widowControl w:val="0"/>
        <w:tabs>
          <w:tab w:val="right" w:leader="dot" w:pos="9297"/>
        </w:tabs>
        <w:spacing w:line="720" w:lineRule="auto"/>
        <w:rPr>
          <w:rFonts w:ascii="宋体" w:eastAsia="宋体" w:hAnsi="宋体" w:cs="宋体" w:hint="eastAsia"/>
          <w:color w:val="auto"/>
          <w:sz w:val="28"/>
          <w:szCs w:val="28"/>
          <w:highlight w:val="none"/>
          <w:lang w:val="en-US" w:eastAsia="zh-CN"/>
        </w:rPr>
      </w:pPr>
      <w:hyperlink w:anchor="_Toc6198" w:history="1">
        <w:r>
          <w:rPr>
            <w:rFonts w:ascii="宋体" w:eastAsia="宋体" w:hAnsi="宋体" w:cs="宋体" w:hint="eastAsia"/>
            <w:color w:val="auto"/>
            <w:sz w:val="28"/>
            <w:szCs w:val="28"/>
            <w:highlight w:val="none"/>
          </w:rPr>
          <w:t xml:space="preserve">第四章  合同条款及格式</w:t>
        </w:r>
        <w:r>
          <w:rPr>
            <w:rFonts w:ascii="宋体" w:eastAsia="宋体" w:hAnsi="宋体" w:cs="宋体" w:hint="eastAsia"/>
            <w:color w:val="auto"/>
            <w:sz w:val="28"/>
            <w:szCs w:val="28"/>
            <w:highlight w:val="none"/>
          </w:rPr>
          <w:tab/>
        </w:r>
        <w:r>
          <w:rPr>
            <w:rFonts w:ascii="宋体" w:eastAsia="宋体" w:hAnsi="宋体" w:cs="宋体" w:hint="eastAsia"/>
            <w:color w:val="auto"/>
            <w:sz w:val="28"/>
            <w:szCs w:val="28"/>
            <w:highlight w:val="none"/>
            <w:lang w:val="en-US" w:eastAsia="zh-CN"/>
          </w:rPr>
          <w:t xml:space="preserve">1</w:t>
        </w:r>
      </w:hyperlink>
      <w:r>
        <w:rPr>
          <w:rFonts w:ascii="宋体" w:hAnsi="宋体" w:cs="宋体" w:hint="eastAsia"/>
          <w:bCs/>
          <w:color w:val="auto"/>
          <w:sz w:val="28"/>
          <w:szCs w:val="28"/>
          <w:highlight w:val="none"/>
          <w:lang w:val="en-US" w:eastAsia="zh-CN"/>
        </w:rPr>
        <w:t xml:space="preserve">4</w:t>
      </w:r>
    </w:p>
    <w:p>
      <w:pPr>
        <w:pStyle w:val="WPSOffice手动目录1"/>
        <w:widowControl w:val="0"/>
        <w:tabs>
          <w:tab w:val="right" w:leader="dot" w:pos="9297"/>
        </w:tabs>
        <w:spacing w:line="720" w:lineRule="auto"/>
        <w:rPr>
          <w:rFonts w:ascii="宋体" w:eastAsia="宋体" w:hAnsi="宋体" w:cs="宋体" w:hint="default"/>
          <w:color w:val="auto"/>
          <w:sz w:val="28"/>
          <w:szCs w:val="28"/>
          <w:highlight w:val="none"/>
          <w:lang w:val="en-US" w:eastAsia="zh-CN"/>
        </w:rPr>
      </w:pPr>
      <w:hyperlink w:anchor="_Toc29016" w:history="1">
        <w:r>
          <w:rPr>
            <w:rFonts w:ascii="宋体" w:eastAsia="宋体" w:hAnsi="宋体" w:cs="宋体" w:hint="eastAsia"/>
            <w:bCs/>
            <w:color w:val="auto"/>
            <w:sz w:val="28"/>
            <w:szCs w:val="28"/>
            <w:highlight w:val="none"/>
          </w:rPr>
          <w:t xml:space="preserve">第五章  技术规范</w:t>
        </w:r>
        <w:r>
          <w:rPr>
            <w:rFonts w:ascii="宋体" w:eastAsia="宋体" w:hAnsi="宋体" w:cs="宋体" w:hint="eastAsia"/>
            <w:color w:val="auto"/>
            <w:sz w:val="28"/>
            <w:szCs w:val="28"/>
            <w:highlight w:val="none"/>
          </w:rPr>
          <w:tab/>
        </w:r>
      </w:hyperlink>
      <w:r>
        <w:rPr>
          <w:rFonts w:ascii="宋体" w:hAnsi="宋体" w:cs="宋体" w:hint="eastAsia"/>
          <w:bCs/>
          <w:color w:val="auto"/>
          <w:sz w:val="28"/>
          <w:szCs w:val="28"/>
          <w:highlight w:val="none"/>
          <w:lang w:val="en-US" w:eastAsia="zh-CN"/>
        </w:rPr>
        <w:t xml:space="preserve">37</w:t>
      </w:r>
    </w:p>
    <w:p>
      <w:pPr>
        <w:pStyle w:val="WPSOffice手动目录1"/>
        <w:widowControl w:val="0"/>
        <w:tabs>
          <w:tab w:val="right" w:leader="dot" w:pos="9297"/>
        </w:tabs>
        <w:spacing w:line="720" w:lineRule="auto"/>
        <w:rPr>
          <w:rFonts w:ascii="宋体" w:eastAsia="宋体" w:hAnsi="宋体" w:cs="宋体" w:hint="default"/>
          <w:color w:val="auto"/>
          <w:sz w:val="28"/>
          <w:szCs w:val="28"/>
          <w:highlight w:val="none"/>
          <w:lang w:val="en-US" w:eastAsia="zh-CN"/>
        </w:rPr>
      </w:pPr>
      <w:hyperlink w:anchor="_Toc17947" w:history="1">
        <w:r>
          <w:rPr>
            <w:rFonts w:ascii="宋体" w:eastAsia="宋体" w:hAnsi="宋体" w:cs="宋体" w:hint="eastAsia"/>
            <w:bCs/>
            <w:color w:val="auto"/>
            <w:sz w:val="28"/>
            <w:szCs w:val="28"/>
            <w:highlight w:val="none"/>
          </w:rPr>
          <w:t xml:space="preserve">第六章  工程量清单及图纸</w:t>
        </w:r>
        <w:r>
          <w:rPr>
            <w:rFonts w:ascii="宋体" w:eastAsia="宋体" w:hAnsi="宋体" w:cs="宋体" w:hint="eastAsia"/>
            <w:color w:val="auto"/>
            <w:sz w:val="28"/>
            <w:szCs w:val="28"/>
            <w:highlight w:val="none"/>
          </w:rPr>
          <w:tab/>
        </w:r>
      </w:hyperlink>
      <w:r>
        <w:rPr>
          <w:rFonts w:ascii="宋体" w:hAnsi="宋体" w:cs="宋体" w:hint="eastAsia"/>
          <w:bCs/>
          <w:color w:val="auto"/>
          <w:sz w:val="28"/>
          <w:szCs w:val="28"/>
          <w:highlight w:val="none"/>
          <w:lang w:val="en-US" w:eastAsia="zh-CN"/>
        </w:rPr>
        <w:t xml:space="preserve">37</w:t>
      </w:r>
    </w:p>
    <w:p>
      <w:pPr>
        <w:pStyle w:val="WPSOffice手动目录1"/>
        <w:widowControl w:val="0"/>
        <w:tabs>
          <w:tab w:val="right" w:leader="dot" w:pos="9297"/>
        </w:tabs>
        <w:spacing w:line="720" w:lineRule="auto"/>
        <w:rPr>
          <w:rFonts w:ascii="宋体" w:eastAsia="宋体" w:hAnsi="宋体" w:cs="宋体" w:hint="default"/>
          <w:color w:val="auto"/>
          <w:sz w:val="28"/>
          <w:szCs w:val="28"/>
          <w:highlight w:val="none"/>
          <w:lang w:val="en-US" w:eastAsia="zh-CN"/>
        </w:rPr>
      </w:pPr>
      <w:hyperlink w:anchor="_Toc11593" w:history="1">
        <w:r>
          <w:rPr>
            <w:rFonts w:ascii="宋体" w:eastAsia="宋体" w:hAnsi="宋体" w:cs="宋体" w:hint="eastAsia"/>
            <w:bCs/>
            <w:color w:val="auto"/>
            <w:sz w:val="28"/>
            <w:szCs w:val="28"/>
            <w:highlight w:val="none"/>
          </w:rPr>
          <w:t xml:space="preserve">第七章  响应文件格式</w:t>
        </w:r>
        <w:r>
          <w:rPr>
            <w:rFonts w:ascii="宋体" w:eastAsia="宋体" w:hAnsi="宋体" w:cs="宋体" w:hint="eastAsia"/>
            <w:color w:val="auto"/>
            <w:sz w:val="28"/>
            <w:szCs w:val="28"/>
            <w:highlight w:val="none"/>
          </w:rPr>
          <w:tab/>
        </w:r>
      </w:hyperlink>
      <w:r>
        <w:rPr>
          <w:rFonts w:ascii="宋体" w:hAnsi="宋体" w:cs="宋体" w:hint="eastAsia"/>
          <w:bCs/>
          <w:color w:val="auto"/>
          <w:sz w:val="28"/>
          <w:szCs w:val="28"/>
          <w:highlight w:val="none"/>
          <w:lang w:val="en-US" w:eastAsia="zh-CN"/>
        </w:rPr>
        <w:t xml:space="preserve">38</w:t>
      </w:r>
    </w:p>
    <w:p>
      <w:pPr>
        <w:spacing w:line="520" w:lineRule="exact"/>
        <w:ind w:firstLine="1774"/>
        <w:rPr>
          <w:rFonts w:ascii="宋体" w:eastAsia="宋体" w:hAnsi="宋体" w:cs="宋体" w:hint="eastAsia"/>
          <w:b/>
          <w:bCs/>
          <w:color w:val="auto"/>
          <w:sz w:val="36"/>
          <w:szCs w:val="36"/>
          <w:highlight w:val="none"/>
        </w:rPr>
      </w:pPr>
      <w:r>
        <w:rPr>
          <w:rFonts w:ascii="宋体" w:eastAsia="宋体" w:hAnsi="宋体" w:cs="宋体" w:hint="eastAsia"/>
          <w:bCs/>
          <w:color w:val="auto"/>
          <w:szCs w:val="36"/>
          <w:highlight w:val="none"/>
        </w:rPr>
        <w:fldChar w:fldCharType="end"/>
      </w:r>
    </w:p>
    <w:p>
      <w:pPr>
        <w:spacing w:line="520" w:lineRule="exact"/>
        <w:ind w:firstLine="3054"/>
        <w:rPr>
          <w:rFonts w:ascii="宋体" w:eastAsia="宋体" w:hAnsi="宋体" w:cs="宋体" w:hint="eastAsia"/>
          <w:b/>
          <w:bCs/>
          <w:color w:val="auto"/>
          <w:sz w:val="36"/>
          <w:szCs w:val="36"/>
          <w:highlight w:val="none"/>
        </w:rPr>
      </w:pPr>
    </w:p>
    <w:p>
      <w:pPr>
        <w:spacing w:line="520" w:lineRule="exact"/>
        <w:ind w:firstLine="3054"/>
        <w:rPr>
          <w:rFonts w:ascii="宋体" w:eastAsia="宋体" w:hAnsi="宋体" w:cs="宋体" w:hint="eastAsia"/>
          <w:b/>
          <w:bCs/>
          <w:color w:val="auto"/>
          <w:sz w:val="36"/>
          <w:szCs w:val="36"/>
          <w:highlight w:val="none"/>
        </w:rPr>
      </w:pPr>
    </w:p>
    <w:p>
      <w:pPr>
        <w:spacing w:line="360" w:lineRule="auto"/>
        <w:jc w:val="both"/>
        <w:outlineLvl w:val="0"/>
        <w:rPr>
          <w:rFonts w:ascii="宋体" w:eastAsia="宋体" w:hAnsi="宋体" w:cs="宋体" w:hint="eastAsia"/>
          <w:b/>
          <w:bCs/>
          <w:color w:val="auto"/>
          <w:sz w:val="36"/>
          <w:szCs w:val="36"/>
          <w:highlight w:val="none"/>
        </w:rPr>
        <w:sectPr>
          <w:headerReference w:type="default" r:id="rId3"/>
          <w:footerReference w:type="default" r:id="rId4"/>
          <w:type w:val="nextPage"/>
          <w:pgSz w:w="11905" w:h="16838" w:orient="portrait"/>
          <w:pgMar w:top="1440" w:right="1304" w:bottom="1440" w:left="1304" w:header="851" w:footer="992" w:gutter="0"/>
          <w:pgBorders/>
          <w:pgNumType w:start="1"/>
          <w:cols w:num="1" w:sep="0" w:space="1701" w:equalWidth="1">
            <w:col w:w="9297" w:space="1701"/>
          </w:cols>
          <w:docGrid w:linePitch="360"/>
        </w:sectPr>
      </w:pPr>
      <w:bookmarkStart w:id="1" w:name="_Toc31977"/>
      <w:bookmarkStart w:id="2" w:name="OLE_LINK2"/>
    </w:p>
    <w:p>
      <w:pPr>
        <w:spacing w:line="360" w:lineRule="auto"/>
        <w:jc w:val="center"/>
        <w:outlineLvl w:val="0"/>
        <w:rPr>
          <w:rFonts w:ascii="宋体" w:eastAsia="宋体" w:hAnsi="宋体" w:cs="宋体" w:hint="eastAsia"/>
          <w:b/>
          <w:bCs/>
          <w:color w:val="auto"/>
          <w:sz w:val="36"/>
          <w:szCs w:val="36"/>
          <w:highlight w:val="none"/>
        </w:rPr>
      </w:pPr>
      <w:r>
        <w:rPr>
          <w:rFonts w:ascii="宋体" w:eastAsia="宋体" w:hAnsi="宋体" w:cs="宋体" w:hint="eastAsia"/>
          <w:b/>
          <w:bCs/>
          <w:color w:val="auto"/>
          <w:sz w:val="36"/>
          <w:szCs w:val="36"/>
          <w:highlight w:val="none"/>
        </w:rPr>
        <w:t xml:space="preserve">第一章  磋商邀请</w:t>
      </w:r>
      <w:bookmarkEnd w:id="1"/>
    </w:p>
    <w:p>
      <w:pPr>
        <w:spacing w:line="360" w:lineRule="auto"/>
        <w:ind w:firstLine="420"/>
        <w:jc w:val="left"/>
        <w:rPr>
          <w:rFonts w:ascii="宋体" w:eastAsia="宋体" w:hAnsi="宋体" w:cs="宋体" w:hint="eastAsia"/>
          <w:color w:val="auto"/>
          <w:sz w:val="21"/>
          <w:szCs w:val="21"/>
          <w:highlight w:val="none"/>
        </w:rPr>
      </w:pPr>
      <w:bookmarkStart w:id="3" w:name="OLE_LINK3"/>
      <w:bookmarkStart w:id="4" w:name="OLE_LINK1"/>
      <w:bookmarkStart w:id="5" w:name="OLE_LINK4"/>
      <w:r>
        <w:rPr>
          <w:rFonts w:ascii="宋体" w:eastAsia="宋体" w:hAnsi="宋体" w:cs="宋体" w:hint="eastAsia"/>
          <w:color w:val="auto"/>
          <w:sz w:val="21"/>
          <w:szCs w:val="21"/>
          <w:highlight w:val="none"/>
        </w:rPr>
        <w:t xml:space="preserve">受</w:t>
      </w:r>
      <w:r>
        <w:rPr>
          <w:rFonts w:ascii="宋体" w:hAnsi="宋体" w:cs="宋体" w:hint="eastAsia"/>
          <w:color w:val="auto"/>
          <w:sz w:val="21"/>
          <w:szCs w:val="21"/>
          <w:highlight w:val="none"/>
          <w:u w:val="single"/>
          <w:lang w:eastAsia="zh-CN"/>
        </w:rPr>
        <w:t xml:space="preserve">淮安市淮海初级中学</w:t>
      </w:r>
      <w:r>
        <w:rPr>
          <w:rFonts w:ascii="宋体" w:eastAsia="宋体" w:hAnsi="宋体" w:cs="宋体" w:hint="eastAsia"/>
          <w:color w:val="auto"/>
          <w:sz w:val="21"/>
          <w:szCs w:val="21"/>
          <w:highlight w:val="none"/>
        </w:rPr>
        <w:t xml:space="preserve">的委托，</w:t>
      </w:r>
      <w:r>
        <w:rPr>
          <w:rFonts w:ascii="宋体" w:hAnsi="宋体" w:cs="宋体" w:hint="eastAsia"/>
          <w:color w:val="auto"/>
          <w:sz w:val="21"/>
          <w:szCs w:val="21"/>
          <w:highlight w:val="none"/>
          <w:lang w:eastAsia="zh-CN"/>
        </w:rPr>
        <w:t xml:space="preserve">江苏栋德工程管理有限公司</w:t>
      </w:r>
      <w:r>
        <w:rPr>
          <w:rFonts w:ascii="宋体" w:eastAsia="宋体" w:hAnsi="宋体" w:cs="宋体" w:hint="eastAsia"/>
          <w:color w:val="auto"/>
          <w:sz w:val="21"/>
          <w:szCs w:val="21"/>
          <w:highlight w:val="none"/>
        </w:rPr>
        <w:t xml:space="preserve">就</w:t>
      </w:r>
      <w:r>
        <w:rPr>
          <w:rFonts w:ascii="宋体" w:hAnsi="宋体" w:cs="宋体" w:hint="eastAsia"/>
          <w:color w:val="auto"/>
          <w:sz w:val="21"/>
          <w:szCs w:val="21"/>
          <w:highlight w:val="none"/>
          <w:u w:val="single"/>
          <w:lang w:eastAsia="zh-CN"/>
        </w:rPr>
        <w:t xml:space="preserve">淮安市淮海初级中学老校区雨污水管网</w:t>
      </w:r>
      <w:r>
        <w:rPr>
          <w:rFonts w:ascii="宋体" w:eastAsia="宋体" w:hAnsi="宋体" w:cs="宋体" w:hint="eastAsia"/>
          <w:color w:val="auto"/>
          <w:sz w:val="21"/>
          <w:szCs w:val="21"/>
          <w:highlight w:val="none"/>
          <w:u w:val="single"/>
          <w:lang w:eastAsia="zh-CN"/>
        </w:rPr>
        <w:t xml:space="preserve">工程</w:t>
      </w:r>
      <w:r>
        <w:rPr>
          <w:rFonts w:ascii="宋体" w:eastAsia="宋体" w:hAnsi="宋体" w:cs="宋体" w:hint="eastAsia"/>
          <w:color w:val="auto"/>
          <w:sz w:val="21"/>
          <w:szCs w:val="21"/>
          <w:highlight w:val="none"/>
        </w:rPr>
        <w:t xml:space="preserve">项目进行</w:t>
      </w:r>
      <w:r>
        <w:rPr>
          <w:rFonts w:ascii="宋体" w:eastAsia="宋体" w:hAnsi="宋体" w:cs="宋体" w:hint="eastAsia"/>
          <w:color w:val="auto"/>
          <w:sz w:val="21"/>
          <w:szCs w:val="21"/>
          <w:highlight w:val="none"/>
          <w:lang w:eastAsia="zh-CN"/>
        </w:rPr>
        <w:t xml:space="preserve">“苏采云全流程不见面交易”</w:t>
      </w:r>
      <w:r>
        <w:rPr>
          <w:rFonts w:ascii="宋体" w:eastAsia="宋体" w:hAnsi="宋体" w:cs="宋体" w:hint="eastAsia"/>
          <w:color w:val="auto"/>
          <w:sz w:val="21"/>
          <w:szCs w:val="21"/>
          <w:highlight w:val="none"/>
        </w:rPr>
        <w:t xml:space="preserve">采购，现邀请符合条件的供应商参加竞争性磋商。</w:t>
      </w:r>
    </w:p>
    <w:tbl>
      <w:tblPr>
        <w:tblStyle w:val="Norm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9288"/>
      </w:tblGrid>
      <w:tr>
        <w:trPr>
          <w:trHeight w:hRule="auto" w:val="0"/>
          <w:jc w:val="center"/>
        </w:trPr>
        <w:tc>
          <w:tcPr>
            <w:tcW w:w="9288" w:type="dxa"/>
            <w:noWrap w:val="0"/>
          </w:tcPr>
          <w:p>
            <w:pPr>
              <w:spacing w:line="360" w:lineRule="auto"/>
              <w:ind w:firstLine="403"/>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项目概况:</w:t>
            </w:r>
          </w:p>
          <w:p>
            <w:pPr>
              <w:spacing w:line="360" w:lineRule="auto"/>
              <w:ind w:firstLine="403"/>
              <w:jc w:val="left"/>
              <w:rPr>
                <w:rFonts w:ascii="宋体" w:eastAsia="宋体" w:hAnsi="宋体" w:cs="宋体" w:hint="eastAsia"/>
                <w:color w:val="auto"/>
                <w:sz w:val="21"/>
                <w:szCs w:val="21"/>
                <w:highlight w:val="none"/>
              </w:rPr>
            </w:pPr>
            <w:r>
              <w:rPr>
                <w:rFonts w:ascii="宋体" w:hAnsi="宋体" w:cs="宋体" w:hint="eastAsia"/>
                <w:color w:val="auto"/>
                <w:sz w:val="21"/>
                <w:szCs w:val="21"/>
                <w:highlight w:val="none"/>
                <w:u w:val="single"/>
                <w:lang w:eastAsia="zh-CN"/>
              </w:rPr>
              <w:t xml:space="preserve">淮安市淮海初级中学老校区雨污水管网</w:t>
            </w:r>
            <w:r>
              <w:rPr>
                <w:rFonts w:ascii="宋体" w:eastAsia="宋体" w:hAnsi="宋体" w:cs="宋体" w:hint="eastAsia"/>
                <w:color w:val="auto"/>
                <w:sz w:val="21"/>
                <w:szCs w:val="21"/>
                <w:highlight w:val="none"/>
                <w:u w:val="single"/>
                <w:lang w:eastAsia="zh-CN"/>
              </w:rPr>
              <w:t xml:space="preserve">工程</w:t>
            </w:r>
            <w:r>
              <w:rPr>
                <w:rFonts w:ascii="宋体" w:hAnsi="宋体" w:cs="宋体" w:hint="eastAsia"/>
                <w:color w:val="auto"/>
                <w:sz w:val="21"/>
                <w:szCs w:val="21"/>
                <w:highlight w:val="none"/>
                <w:u w:val="single"/>
                <w:lang w:eastAsia="zh-CN"/>
              </w:rPr>
              <w:t xml:space="preserve">JSZC-320804-DDGC-C2024-0048</w:t>
            </w:r>
            <w:r>
              <w:rPr>
                <w:rFonts w:ascii="宋体" w:eastAsia="宋体" w:hAnsi="宋体" w:cs="宋体" w:hint="eastAsia"/>
                <w:color w:val="auto"/>
                <w:sz w:val="21"/>
                <w:szCs w:val="21"/>
                <w:highlight w:val="none"/>
              </w:rPr>
              <w:t xml:space="preserve">项目的潜在供应商应在</w:t>
            </w:r>
            <w:r>
              <w:rPr>
                <w:rFonts w:ascii="宋体" w:eastAsia="宋体" w:hAnsi="宋体" w:cs="宋体" w:hint="eastAsia"/>
                <w:color w:val="auto"/>
                <w:sz w:val="21"/>
                <w:szCs w:val="21"/>
                <w:highlight w:val="none"/>
                <w:u w:val="none"/>
              </w:rPr>
              <w:t xml:space="preserve">淮安市政府采购网自行免费下载磋商文件</w:t>
            </w:r>
            <w:r>
              <w:rPr>
                <w:rFonts w:ascii="宋体" w:eastAsia="宋体" w:hAnsi="宋体" w:cs="宋体" w:hint="eastAsia"/>
                <w:color w:val="auto"/>
                <w:sz w:val="21"/>
                <w:szCs w:val="21"/>
                <w:highlight w:val="none"/>
              </w:rPr>
              <w:t xml:space="preserve">，并于</w:t>
            </w:r>
            <w:r>
              <w:rPr>
                <w:rFonts w:ascii="宋体" w:hAnsi="宋体" w:cs="宋体" w:hint="eastAsia"/>
                <w:b/>
                <w:bCs/>
                <w:color w:val="auto"/>
                <w:sz w:val="21"/>
                <w:szCs w:val="21"/>
                <w:highlight w:val="none"/>
                <w:u w:val="single"/>
                <w:lang w:eastAsia="zh-CN"/>
              </w:rPr>
              <w:t xml:space="preserve">2024年7月2</w:t>
            </w:r>
            <w:r>
              <w:rPr>
                <w:rFonts w:ascii="宋体" w:hAnsi="宋体" w:cs="宋体" w:hint="eastAsia"/>
                <w:b/>
                <w:bCs/>
                <w:color w:val="auto"/>
                <w:sz w:val="21"/>
                <w:szCs w:val="21"/>
                <w:highlight w:val="none"/>
                <w:u w:val="single"/>
                <w:lang w:val="en-US" w:eastAsia="zh-CN"/>
              </w:rPr>
              <w:t xml:space="preserve">9</w:t>
            </w:r>
            <w:r>
              <w:rPr>
                <w:rFonts w:ascii="宋体" w:hAnsi="宋体" w:cs="宋体" w:hint="eastAsia"/>
                <w:b/>
                <w:bCs/>
                <w:color w:val="auto"/>
                <w:sz w:val="21"/>
                <w:szCs w:val="21"/>
                <w:highlight w:val="none"/>
                <w:u w:val="single"/>
                <w:lang w:eastAsia="zh-CN"/>
              </w:rPr>
              <w:t xml:space="preserve">日1</w:t>
            </w:r>
            <w:r>
              <w:rPr>
                <w:rFonts w:ascii="宋体" w:hAnsi="宋体" w:cs="宋体" w:hint="eastAsia"/>
                <w:b/>
                <w:bCs/>
                <w:color w:val="auto"/>
                <w:sz w:val="21"/>
                <w:szCs w:val="21"/>
                <w:highlight w:val="none"/>
                <w:u w:val="single"/>
                <w:lang w:val="en-US" w:eastAsia="zh-CN"/>
              </w:rPr>
              <w:t xml:space="preserve">5</w:t>
            </w:r>
            <w:r>
              <w:rPr>
                <w:rFonts w:ascii="宋体" w:hAnsi="宋体" w:cs="宋体" w:hint="eastAsia"/>
                <w:b/>
                <w:bCs/>
                <w:color w:val="auto"/>
                <w:sz w:val="21"/>
                <w:szCs w:val="21"/>
                <w:highlight w:val="none"/>
                <w:u w:val="single"/>
                <w:lang w:eastAsia="zh-CN"/>
              </w:rPr>
              <w:t xml:space="preserve">:</w:t>
            </w:r>
            <w:r>
              <w:rPr>
                <w:rFonts w:ascii="宋体" w:hAnsi="宋体" w:cs="宋体" w:hint="eastAsia"/>
                <w:b/>
                <w:bCs/>
                <w:color w:val="auto"/>
                <w:sz w:val="21"/>
                <w:szCs w:val="21"/>
                <w:highlight w:val="none"/>
                <w:u w:val="single"/>
                <w:lang w:val="en-US" w:eastAsia="zh-CN"/>
              </w:rPr>
              <w:t xml:space="preserve">0</w:t>
            </w:r>
            <w:r>
              <w:rPr>
                <w:rFonts w:ascii="宋体" w:hAnsi="宋体" w:cs="宋体" w:hint="eastAsia"/>
                <w:b/>
                <w:bCs/>
                <w:color w:val="auto"/>
                <w:sz w:val="21"/>
                <w:szCs w:val="21"/>
                <w:highlight w:val="none"/>
                <w:u w:val="single"/>
                <w:lang w:eastAsia="zh-CN"/>
              </w:rPr>
              <w:t xml:space="preserve">0</w:t>
            </w:r>
            <w:r>
              <w:rPr>
                <w:rFonts w:ascii="宋体" w:eastAsia="宋体" w:hAnsi="宋体" w:cs="宋体" w:hint="eastAsia"/>
                <w:bCs/>
                <w:color w:val="auto"/>
                <w:sz w:val="21"/>
                <w:szCs w:val="21"/>
                <w:highlight w:val="none"/>
              </w:rPr>
              <w:t xml:space="preserve">（北京时间）前提交响应文件</w:t>
            </w:r>
            <w:r>
              <w:rPr>
                <w:rFonts w:ascii="宋体" w:eastAsia="宋体" w:hAnsi="宋体" w:cs="宋体" w:hint="eastAsia"/>
                <w:color w:val="auto"/>
                <w:sz w:val="21"/>
                <w:szCs w:val="21"/>
                <w:highlight w:val="none"/>
              </w:rPr>
              <w:t xml:space="preserve">。</w:t>
            </w:r>
          </w:p>
        </w:tc>
      </w:tr>
    </w:tbl>
    <w:p>
      <w:pPr>
        <w:spacing w:line="360" w:lineRule="auto"/>
        <w:ind w:firstLine="426"/>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一、项目基本情况</w:t>
      </w:r>
    </w:p>
    <w:p>
      <w:pPr>
        <w:spacing w:line="360" w:lineRule="auto"/>
        <w:ind w:firstLine="424"/>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项目编号：</w:t>
      </w:r>
      <w:r>
        <w:rPr>
          <w:rFonts w:ascii="宋体" w:hAnsi="宋体" w:cs="宋体" w:hint="eastAsia"/>
          <w:color w:val="auto"/>
          <w:sz w:val="21"/>
          <w:szCs w:val="21"/>
          <w:highlight w:val="none"/>
          <w:lang w:eastAsia="zh-CN"/>
        </w:rPr>
        <w:t xml:space="preserve">JSZC-320804-DDGC-C2024-0048</w:t>
      </w:r>
    </w:p>
    <w:p>
      <w:pPr>
        <w:spacing w:line="360" w:lineRule="auto"/>
        <w:ind w:firstLine="424"/>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项目名称：</w:t>
      </w:r>
      <w:r>
        <w:rPr>
          <w:rFonts w:ascii="宋体" w:hAnsi="宋体" w:cs="宋体" w:hint="eastAsia"/>
          <w:color w:val="auto"/>
          <w:sz w:val="21"/>
          <w:szCs w:val="21"/>
          <w:highlight w:val="none"/>
          <w:lang w:eastAsia="zh-CN"/>
        </w:rPr>
        <w:t xml:space="preserve">淮安市淮海初级中学老校区雨污水管网</w:t>
      </w:r>
      <w:r>
        <w:rPr>
          <w:rFonts w:ascii="宋体" w:eastAsia="宋体" w:hAnsi="宋体" w:cs="宋体" w:hint="eastAsia"/>
          <w:color w:val="auto"/>
          <w:sz w:val="21"/>
          <w:szCs w:val="21"/>
          <w:highlight w:val="none"/>
          <w:lang w:eastAsia="zh-CN"/>
        </w:rPr>
        <w:t xml:space="preserve">工程</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采购方式：竞争性磋商</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预算金额：</w:t>
      </w:r>
      <w:r>
        <w:rPr>
          <w:rFonts w:ascii="宋体" w:hAnsi="宋体" w:cs="宋体" w:hint="eastAsia"/>
          <w:color w:val="auto"/>
          <w:sz w:val="21"/>
          <w:szCs w:val="21"/>
          <w:highlight w:val="none"/>
          <w:lang w:eastAsia="zh-CN"/>
        </w:rPr>
        <w:t xml:space="preserve">167</w:t>
      </w:r>
      <w:r>
        <w:rPr>
          <w:rFonts w:ascii="宋体" w:hAnsi="宋体" w:cs="宋体" w:hint="eastAsia"/>
          <w:color w:val="auto"/>
          <w:sz w:val="21"/>
          <w:szCs w:val="21"/>
          <w:highlight w:val="none"/>
          <w:lang w:val="en-US" w:eastAsia="zh-CN"/>
        </w:rPr>
        <w:t xml:space="preserve">.</w:t>
      </w:r>
      <w:r>
        <w:rPr>
          <w:rFonts w:ascii="宋体" w:hAnsi="宋体" w:cs="宋体" w:hint="eastAsia"/>
          <w:color w:val="auto"/>
          <w:sz w:val="21"/>
          <w:szCs w:val="21"/>
          <w:highlight w:val="none"/>
          <w:lang w:eastAsia="zh-CN"/>
        </w:rPr>
        <w:t xml:space="preserve">38246</w:t>
      </w:r>
      <w:r>
        <w:rPr>
          <w:rFonts w:ascii="宋体" w:hAnsi="宋体" w:cs="宋体" w:hint="eastAsia"/>
          <w:color w:val="auto"/>
          <w:sz w:val="21"/>
          <w:szCs w:val="21"/>
          <w:highlight w:val="none"/>
          <w:lang w:val="en-US" w:eastAsia="zh-CN"/>
        </w:rPr>
        <w:t xml:space="preserve">0万</w:t>
      </w:r>
      <w:r>
        <w:rPr>
          <w:rFonts w:ascii="宋体" w:hAnsi="宋体" w:cs="宋体" w:hint="eastAsia"/>
          <w:color w:val="auto"/>
          <w:sz w:val="21"/>
          <w:szCs w:val="21"/>
          <w:highlight w:val="none"/>
          <w:lang w:eastAsia="zh-CN"/>
        </w:rPr>
        <w:t xml:space="preserve">元</w:t>
      </w:r>
    </w:p>
    <w:p>
      <w:pPr>
        <w:spacing w:line="360" w:lineRule="auto"/>
        <w:ind w:firstLine="424"/>
        <w:rPr>
          <w:rFonts w:ascii="宋体" w:eastAsia="宋体" w:hAnsi="宋体" w:cs="宋体" w:hint="eastAsia"/>
          <w:color w:val="auto"/>
          <w:sz w:val="21"/>
          <w:szCs w:val="21"/>
          <w:highlight w:val="none"/>
          <w:lang w:val="en-US" w:eastAsia="zh-CN"/>
        </w:rPr>
      </w:pPr>
      <w:r>
        <w:rPr>
          <w:rFonts w:ascii="宋体" w:hAnsi="宋体" w:cs="宋体" w:hint="eastAsia"/>
          <w:color w:val="auto"/>
          <w:sz w:val="21"/>
          <w:szCs w:val="21"/>
          <w:highlight w:val="none"/>
          <w:lang w:val="en-US" w:eastAsia="zh-CN"/>
        </w:rPr>
        <w:t xml:space="preserve">招标控制价（如有）：</w:t>
      </w:r>
      <w:r>
        <w:rPr>
          <w:rFonts w:ascii="宋体" w:hAnsi="宋体" w:cs="宋体" w:hint="eastAsia"/>
          <w:color w:val="auto"/>
          <w:sz w:val="21"/>
          <w:szCs w:val="21"/>
          <w:highlight w:val="none"/>
          <w:lang w:eastAsia="zh-CN"/>
        </w:rPr>
        <w:t xml:space="preserve">167</w:t>
      </w:r>
      <w:r>
        <w:rPr>
          <w:rFonts w:ascii="宋体" w:hAnsi="宋体" w:cs="宋体" w:hint="eastAsia"/>
          <w:color w:val="auto"/>
          <w:sz w:val="21"/>
          <w:szCs w:val="21"/>
          <w:highlight w:val="none"/>
          <w:lang w:val="en-US" w:eastAsia="zh-CN"/>
        </w:rPr>
        <w:t xml:space="preserve">.</w:t>
      </w:r>
      <w:r>
        <w:rPr>
          <w:rFonts w:ascii="宋体" w:hAnsi="宋体" w:cs="宋体" w:hint="eastAsia"/>
          <w:color w:val="auto"/>
          <w:sz w:val="21"/>
          <w:szCs w:val="21"/>
          <w:highlight w:val="none"/>
          <w:lang w:eastAsia="zh-CN"/>
        </w:rPr>
        <w:t xml:space="preserve">38246</w:t>
      </w:r>
      <w:r>
        <w:rPr>
          <w:rFonts w:ascii="宋体" w:hAnsi="宋体" w:cs="宋体" w:hint="eastAsia"/>
          <w:color w:val="auto"/>
          <w:sz w:val="21"/>
          <w:szCs w:val="21"/>
          <w:highlight w:val="none"/>
          <w:lang w:val="en-US" w:eastAsia="zh-CN"/>
        </w:rPr>
        <w:t xml:space="preserve">0万</w:t>
      </w:r>
      <w:r>
        <w:rPr>
          <w:rFonts w:ascii="宋体" w:hAnsi="宋体" w:cs="宋体" w:hint="eastAsia"/>
          <w:color w:val="auto"/>
          <w:sz w:val="21"/>
          <w:szCs w:val="21"/>
          <w:highlight w:val="none"/>
          <w:lang w:eastAsia="zh-CN"/>
        </w:rPr>
        <w:t xml:space="preserve">元</w:t>
      </w:r>
    </w:p>
    <w:p>
      <w:pPr>
        <w:spacing w:line="360" w:lineRule="auto"/>
        <w:ind w:firstLine="424"/>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采购需求：</w:t>
      </w:r>
      <w:r>
        <w:rPr>
          <w:rFonts w:ascii="宋体" w:hAnsi="宋体" w:cs="宋体" w:hint="eastAsia"/>
          <w:color w:val="auto"/>
          <w:sz w:val="21"/>
          <w:szCs w:val="21"/>
          <w:highlight w:val="none"/>
          <w:lang w:eastAsia="zh-CN"/>
        </w:rPr>
        <w:t xml:space="preserve">淮安市淮海初级中学老校区雨污水管网</w:t>
      </w:r>
      <w:r>
        <w:rPr>
          <w:rFonts w:ascii="宋体" w:eastAsia="宋体" w:hAnsi="宋体" w:cs="宋体" w:hint="eastAsia"/>
          <w:color w:val="auto"/>
          <w:sz w:val="21"/>
          <w:szCs w:val="21"/>
          <w:highlight w:val="none"/>
          <w:lang w:eastAsia="zh-CN"/>
        </w:rPr>
        <w:t xml:space="preserve">工程</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eastAsia="zh-CN"/>
        </w:rPr>
        <w:t xml:space="preserve">详见图纸和工程量清单</w:t>
      </w:r>
      <w:r>
        <w:rPr>
          <w:rFonts w:ascii="宋体" w:eastAsia="宋体" w:hAnsi="宋体" w:cs="宋体" w:hint="eastAsia"/>
          <w:color w:val="auto"/>
          <w:sz w:val="21"/>
          <w:szCs w:val="21"/>
          <w:highlight w:val="none"/>
          <w:lang w:eastAsia="zh-CN"/>
        </w:rPr>
        <w:t xml:space="preserve">。</w:t>
      </w:r>
    </w:p>
    <w:p>
      <w:pPr>
        <w:spacing w:line="360" w:lineRule="auto"/>
        <w:ind w:firstLine="424"/>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工期：</w:t>
      </w:r>
      <w:r>
        <w:rPr>
          <w:rFonts w:ascii="宋体" w:hAnsi="宋体" w:cs="宋体" w:hint="eastAsia"/>
          <w:color w:val="auto"/>
          <w:sz w:val="21"/>
          <w:szCs w:val="21"/>
          <w:highlight w:val="none"/>
          <w:lang w:eastAsia="zh-CN"/>
        </w:rPr>
        <w:t xml:space="preserve">25日历天</w:t>
      </w:r>
    </w:p>
    <w:p>
      <w:pPr>
        <w:spacing w:line="360" w:lineRule="auto"/>
        <w:ind w:firstLine="424"/>
        <w:rPr>
          <w:rFonts w:ascii="宋体" w:eastAsia="宋体" w:hAnsi="宋体" w:cs="宋体"/>
          <w:color w:val="auto"/>
          <w:sz w:val="21"/>
          <w:szCs w:val="21"/>
          <w:highlight w:val="none"/>
          <w:lang w:val="en-US" w:eastAsia="zh-CN"/>
        </w:rPr>
      </w:pPr>
      <w:r>
        <w:rPr>
          <w:rFonts w:ascii="宋体" w:eastAsia="宋体" w:hAnsi="宋体" w:cs="宋体" w:hint="eastAsia"/>
          <w:color w:val="auto"/>
          <w:sz w:val="21"/>
          <w:szCs w:val="21"/>
          <w:highlight w:val="none"/>
          <w:lang w:val="en-US" w:eastAsia="zh-CN"/>
        </w:rPr>
        <w:t xml:space="preserve">质量：合格</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本项目不接受联合体。</w:t>
      </w:r>
    </w:p>
    <w:p>
      <w:pPr>
        <w:spacing w:line="360" w:lineRule="auto"/>
        <w:ind w:firstLine="426"/>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二、申请人的资格要求</w:t>
      </w:r>
    </w:p>
    <w:p>
      <w:pPr>
        <w:spacing w:line="360" w:lineRule="auto"/>
        <w:ind w:firstLine="420"/>
        <w:rPr>
          <w:rFonts w:ascii="宋体" w:eastAsia="宋体" w:hAnsi="宋体" w:cs="宋体" w:hint="eastAsia"/>
          <w:b/>
          <w:color w:val="auto"/>
          <w:sz w:val="21"/>
          <w:szCs w:val="21"/>
          <w:highlight w:val="none"/>
          <w:lang w:eastAsia="zh-CN"/>
        </w:rPr>
      </w:pPr>
      <w:r>
        <w:rPr>
          <w:rFonts w:ascii="宋体" w:eastAsia="宋体" w:hAnsi="宋体" w:cs="宋体" w:hint="eastAsia"/>
          <w:color w:val="auto"/>
          <w:sz w:val="21"/>
          <w:szCs w:val="21"/>
          <w:highlight w:val="none"/>
        </w:rPr>
        <w:t xml:space="preserve">（一）符合《中华人民共和国政府采购法》第二十二条规定的六项条件</w:t>
      </w:r>
      <w:r>
        <w:rPr>
          <w:rFonts w:ascii="宋体" w:hAnsi="宋体" w:cs="宋体" w:hint="eastAsia"/>
          <w:color w:val="auto"/>
          <w:sz w:val="21"/>
          <w:szCs w:val="21"/>
          <w:highlight w:val="none"/>
          <w:lang w:eastAsia="zh-CN"/>
        </w:rPr>
        <w:t xml:space="preserve">：</w:t>
      </w:r>
    </w:p>
    <w:p>
      <w:pPr>
        <w:spacing w:line="360" w:lineRule="auto"/>
        <w:ind w:firstLine="424"/>
        <w:rPr>
          <w:rFonts w:ascii="宋体" w:hAnsi="宋体" w:cs="宋体" w:hint="eastAsia"/>
          <w:color w:val="auto"/>
          <w:sz w:val="21"/>
          <w:szCs w:val="21"/>
          <w:highlight w:val="none"/>
          <w:lang w:val="en-US" w:eastAsia="zh-CN"/>
        </w:rPr>
      </w:pPr>
      <w:r>
        <w:rPr>
          <w:rFonts w:ascii="宋体" w:hAnsi="宋体" w:cs="宋体" w:hint="eastAsia"/>
          <w:color w:val="auto"/>
          <w:sz w:val="21"/>
          <w:szCs w:val="21"/>
          <w:highlight w:val="none"/>
          <w:lang w:val="en-US" w:eastAsia="zh-CN"/>
        </w:rPr>
        <w:t xml:space="preserve">1.供应商符合《政府采购法》第二十二条规定条件的承诺函；</w:t>
      </w:r>
    </w:p>
    <w:p>
      <w:pPr>
        <w:spacing w:line="360" w:lineRule="auto"/>
        <w:ind w:firstLine="424"/>
        <w:rPr>
          <w:rFonts w:ascii="宋体" w:hAnsi="宋体" w:cs="宋体" w:hint="eastAsia"/>
          <w:color w:val="auto"/>
          <w:sz w:val="21"/>
          <w:szCs w:val="21"/>
          <w:highlight w:val="none"/>
          <w:lang w:eastAsia="zh-CN"/>
        </w:rPr>
      </w:pPr>
      <w:r>
        <w:rPr>
          <w:rFonts w:ascii="宋体" w:hAnsi="宋体" w:cs="宋体" w:hint="eastAsia"/>
          <w:color w:val="auto"/>
          <w:sz w:val="21"/>
          <w:szCs w:val="21"/>
          <w:highlight w:val="none"/>
          <w:lang w:val="en-US" w:eastAsia="zh-CN"/>
        </w:rPr>
        <w:t xml:space="preserve">2.</w:t>
      </w:r>
      <w:r>
        <w:rPr>
          <w:rFonts w:ascii="宋体" w:hAnsi="宋体" w:cs="宋体" w:hint="eastAsia"/>
          <w:color w:val="auto"/>
          <w:sz w:val="21"/>
          <w:szCs w:val="21"/>
          <w:highlight w:val="none"/>
          <w:lang w:eastAsia="zh-CN"/>
        </w:rPr>
        <w:t xml:space="preserve">供应商提供下列材料之一：</w:t>
      </w:r>
    </w:p>
    <w:p>
      <w:pPr>
        <w:spacing w:line="360" w:lineRule="auto"/>
        <w:ind w:firstLine="424"/>
        <w:rPr>
          <w:rFonts w:ascii="宋体" w:hAnsi="宋体" w:cs="宋体" w:hint="eastAsia"/>
          <w:color w:val="auto"/>
          <w:sz w:val="21"/>
          <w:szCs w:val="21"/>
          <w:highlight w:val="none"/>
          <w:lang w:eastAsia="zh-CN"/>
        </w:rPr>
      </w:pP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1</w:t>
      </w:r>
      <w:r>
        <w:rPr>
          <w:rFonts w:ascii="宋体" w:hAnsi="宋体" w:cs="宋体" w:hint="eastAsia"/>
          <w:color w:val="auto"/>
          <w:sz w:val="21"/>
          <w:szCs w:val="21"/>
          <w:highlight w:val="none"/>
          <w:lang w:eastAsia="zh-CN"/>
        </w:rPr>
        <w:t xml:space="preserve">）供应商为企业的:提供营业执照（三证合一）；</w:t>
      </w:r>
    </w:p>
    <w:p>
      <w:pPr>
        <w:spacing w:line="360" w:lineRule="auto"/>
        <w:ind w:firstLine="424"/>
        <w:rPr>
          <w:rFonts w:ascii="宋体" w:hAnsi="宋体" w:cs="宋体" w:hint="default"/>
          <w:color w:val="auto"/>
          <w:sz w:val="21"/>
          <w:szCs w:val="21"/>
          <w:highlight w:val="none"/>
          <w:lang w:val="en-US" w:eastAsia="zh-CN"/>
        </w:rPr>
      </w:pP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2</w:t>
      </w:r>
      <w:r>
        <w:rPr>
          <w:rFonts w:ascii="宋体" w:hAnsi="宋体" w:cs="宋体" w:hint="eastAsia"/>
          <w:color w:val="auto"/>
          <w:sz w:val="21"/>
          <w:szCs w:val="21"/>
          <w:highlight w:val="none"/>
          <w:lang w:eastAsia="zh-CN"/>
        </w:rPr>
        <w:t xml:space="preserve">）供应商为事业单位的：提供事业</w:t>
      </w:r>
      <w:r>
        <w:rPr>
          <w:rFonts w:ascii="宋体" w:hAnsi="宋体" w:cs="宋体" w:hint="eastAsia"/>
          <w:color w:val="auto"/>
          <w:sz w:val="21"/>
          <w:szCs w:val="21"/>
          <w:highlight w:val="none"/>
          <w:lang w:val="en-US" w:eastAsia="zh-CN"/>
        </w:rPr>
        <w:t xml:space="preserve">单位</w:t>
      </w:r>
      <w:r>
        <w:rPr>
          <w:rFonts w:ascii="宋体" w:hAnsi="宋体" w:cs="宋体" w:hint="eastAsia"/>
          <w:color w:val="auto"/>
          <w:sz w:val="21"/>
          <w:szCs w:val="21"/>
          <w:highlight w:val="none"/>
          <w:lang w:eastAsia="zh-CN"/>
        </w:rPr>
        <w:t xml:space="preserve">法人证书。</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（二）落实政府采购政策需满足的资格要求:</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本项目按照以下第</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u w:val="single"/>
          <w:lang w:val="en-US" w:eastAsia="zh-CN"/>
        </w:rPr>
        <w:t xml:space="preserve">1</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种方式落实政府采购促进中小企业发展的要求：</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1、本项目为专门面向中小企业采购的项目。</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2、本项目通过以下第（</w:t>
      </w:r>
      <w:r>
        <w:rPr>
          <w:rFonts w:ascii="宋体" w:eastAsia="宋体" w:hAnsi="宋体" w:cs="宋体" w:hint="eastAsia"/>
          <w:color w:val="auto"/>
          <w:sz w:val="21"/>
          <w:szCs w:val="21"/>
          <w:highlight w:val="none"/>
          <w:lang w:val="en-US" w:eastAsia="zh-CN"/>
        </w:rPr>
        <w:t xml:space="preserve"> </w:t>
      </w:r>
      <w:r>
        <w:rPr>
          <w:rFonts w:ascii="宋体" w:eastAsia="宋体" w:hAnsi="宋体" w:cs="宋体" w:hint="eastAsia"/>
          <w:color w:val="auto"/>
          <w:sz w:val="21"/>
          <w:szCs w:val="21"/>
          <w:highlight w:val="none"/>
        </w:rPr>
        <w:t xml:space="preserve">）种方式预留部分采购份额采购中小企业服务：</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（1）本项目要求供应商以联合体形式参加，中小企业合同金额应当达到的比例为</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%，其中小微企业所占比例应为</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%（两项比例均应符合《政府采购促进中小企业发展管理办法》第八条规定）。</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（2）本项目要求供应商进行合同分包，中小企业合同金额应当达到的比例为</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%，其中小微企业所占比例应为</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%（两项比例均应符合《政府采购促进中小企业发展管理办法》第八条规定）。</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3、本项目为非预留份额的采购项目，对小微企业报价给予扣除，用扣除后的价格参加评审，具体详见第二章“供应商须知”第30.1项。</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注:监狱企业、残疾人福利性单位视同小微企业。本项目采购标的对应的中小企业划分标准所属行业为</w:t>
      </w:r>
      <w:r>
        <w:rPr>
          <w:rFonts w:ascii="宋体" w:eastAsia="宋体" w:hAnsi="宋体" w:cs="宋体" w:hint="eastAsia"/>
          <w:color w:val="auto"/>
          <w:sz w:val="21"/>
          <w:szCs w:val="21"/>
          <w:highlight w:val="none"/>
          <w:u w:val="single"/>
        </w:rPr>
        <w:t xml:space="preserve">建筑行业</w:t>
      </w:r>
      <w:r>
        <w:rPr>
          <w:rFonts w:ascii="宋体" w:eastAsia="宋体" w:hAnsi="宋体" w:cs="宋体" w:hint="eastAsia"/>
          <w:color w:val="auto"/>
          <w:sz w:val="21"/>
          <w:szCs w:val="21"/>
          <w:highlight w:val="none"/>
        </w:rPr>
        <w:t xml:space="preserve">。</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（三）本项目的特定资格要求：</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（1）供应商须具有</w:t>
      </w:r>
      <w:r>
        <w:rPr>
          <w:rFonts w:ascii="宋体" w:hAnsi="宋体" w:cs="宋体" w:hint="eastAsia"/>
          <w:color w:val="auto"/>
          <w:sz w:val="21"/>
          <w:szCs w:val="21"/>
          <w:highlight w:val="none"/>
          <w:lang w:eastAsia="zh-CN"/>
        </w:rPr>
        <w:t xml:space="preserve">市政公用工程施工总承包三级及以上资质</w:t>
      </w:r>
      <w:r>
        <w:rPr>
          <w:rFonts w:ascii="宋体" w:eastAsia="宋体" w:hAnsi="宋体" w:cs="宋体" w:hint="eastAsia"/>
          <w:color w:val="auto"/>
          <w:sz w:val="21"/>
          <w:szCs w:val="21"/>
          <w:highlight w:val="none"/>
        </w:rPr>
        <w:t xml:space="preserve">（有效期内）；</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（2）供应商拟派项目负责人必须具有</w:t>
      </w:r>
      <w:r>
        <w:rPr>
          <w:rFonts w:ascii="宋体" w:hAnsi="宋体" w:cs="宋体" w:hint="eastAsia"/>
          <w:color w:val="auto"/>
          <w:sz w:val="21"/>
          <w:szCs w:val="21"/>
          <w:highlight w:val="none"/>
          <w:lang w:eastAsia="zh-CN"/>
        </w:rPr>
        <w:t xml:space="preserve">市政公用工程专业二级及以上注册建造师</w:t>
      </w:r>
      <w:r>
        <w:rPr>
          <w:rFonts w:ascii="宋体" w:eastAsia="宋体" w:hAnsi="宋体" w:cs="宋体" w:hint="eastAsia"/>
          <w:color w:val="auto"/>
          <w:sz w:val="21"/>
          <w:szCs w:val="21"/>
          <w:highlight w:val="none"/>
        </w:rPr>
        <w:t xml:space="preserve">（有效期内），同时取得安全生产考核B类证（有效期内）；</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w:t>
      </w:r>
      <w:r>
        <w:rPr>
          <w:rFonts w:ascii="宋体" w:eastAsia="宋体" w:hAnsi="宋体" w:cs="宋体" w:hint="eastAsia"/>
          <w:color w:val="auto"/>
          <w:sz w:val="21"/>
          <w:szCs w:val="21"/>
          <w:highlight w:val="none"/>
          <w:lang w:val="en-US" w:eastAsia="zh-CN"/>
        </w:rPr>
        <w:t xml:space="preserve">3</w:t>
      </w:r>
      <w:r>
        <w:rPr>
          <w:rFonts w:ascii="宋体" w:eastAsia="宋体" w:hAnsi="宋体" w:cs="宋体" w:hint="eastAsia"/>
          <w:color w:val="auto"/>
          <w:sz w:val="21"/>
          <w:szCs w:val="21"/>
          <w:highlight w:val="none"/>
        </w:rPr>
        <w:t xml:space="preserve">）供应商具备安全生产条件，并取得安全生产许可证（有效期内）；</w:t>
      </w:r>
    </w:p>
    <w:p>
      <w:pPr>
        <w:spacing w:line="360" w:lineRule="auto"/>
        <w:ind w:firstLine="420"/>
        <w:rPr>
          <w:rFonts w:ascii="宋体" w:eastAsia="宋体" w:hAnsi="宋体" w:cs="宋体" w:hint="default"/>
          <w:color w:val="auto"/>
          <w:sz w:val="21"/>
          <w:szCs w:val="21"/>
          <w:highlight w:val="none"/>
          <w:lang w:val="en-US" w:eastAsia="zh-CN"/>
        </w:rPr>
      </w:pPr>
      <w:r>
        <w:rPr>
          <w:rFonts w:ascii="宋体" w:eastAsia="宋体" w:hAnsi="宋体" w:cs="宋体" w:hint="eastAsia"/>
          <w:color w:val="auto"/>
          <w:sz w:val="21"/>
          <w:szCs w:val="21"/>
          <w:highlight w:val="none"/>
        </w:rPr>
        <w:t xml:space="preserve">（</w:t>
      </w:r>
      <w:r>
        <w:rPr>
          <w:rFonts w:ascii="宋体" w:eastAsia="宋体" w:hAnsi="宋体" w:cs="宋体" w:hint="eastAsia"/>
          <w:color w:val="auto"/>
          <w:sz w:val="21"/>
          <w:szCs w:val="21"/>
          <w:highlight w:val="none"/>
          <w:lang w:val="en-US" w:eastAsia="zh-CN"/>
        </w:rPr>
        <w:t xml:space="preserve">4</w:t>
      </w:r>
      <w:r>
        <w:rPr>
          <w:rFonts w:ascii="宋体" w:eastAsia="宋体" w:hAnsi="宋体" w:cs="宋体" w:hint="eastAsia"/>
          <w:color w:val="auto"/>
          <w:sz w:val="21"/>
          <w:szCs w:val="21"/>
          <w:highlight w:val="none"/>
        </w:rPr>
        <w:t xml:space="preserve">）供应商委托代理人和项目负责人须为本单位正式员工，并提供</w:t>
      </w:r>
      <w:r>
        <w:rPr>
          <w:rFonts w:ascii="宋体" w:hAnsi="宋体" w:cs="宋体" w:hint="eastAsia"/>
          <w:color w:val="auto"/>
          <w:sz w:val="21"/>
          <w:szCs w:val="21"/>
          <w:highlight w:val="none"/>
          <w:lang w:eastAsia="zh-CN"/>
        </w:rPr>
        <w:t xml:space="preserve">2024年</w:t>
      </w:r>
      <w:r>
        <w:rPr>
          <w:rFonts w:ascii="宋体" w:hAnsi="宋体" w:cs="宋体" w:hint="eastAsia"/>
          <w:color w:val="auto"/>
          <w:sz w:val="21"/>
          <w:szCs w:val="21"/>
          <w:highlight w:val="none"/>
          <w:lang w:val="en-US" w:eastAsia="zh-CN"/>
        </w:rPr>
        <w:t xml:space="preserve">3</w:t>
      </w:r>
      <w:r>
        <w:rPr>
          <w:rFonts w:ascii="宋体" w:hAnsi="宋体" w:cs="宋体" w:hint="eastAsia"/>
          <w:color w:val="auto"/>
          <w:sz w:val="21"/>
          <w:szCs w:val="21"/>
          <w:highlight w:val="none"/>
          <w:lang w:eastAsia="zh-CN"/>
        </w:rPr>
        <w:t xml:space="preserve">月</w:t>
      </w:r>
      <w:r>
        <w:rPr>
          <w:rFonts w:ascii="宋体" w:hAnsi="宋体" w:cs="宋体" w:hint="eastAsia"/>
          <w:color w:val="auto"/>
          <w:sz w:val="21"/>
          <w:szCs w:val="21"/>
          <w:highlight w:val="none"/>
          <w:lang w:val="en-US" w:eastAsia="zh-CN"/>
        </w:rPr>
        <w:t xml:space="preserve">1日</w:t>
      </w:r>
      <w:r>
        <w:rPr>
          <w:rFonts w:ascii="宋体" w:hAnsi="宋体" w:cs="宋体" w:hint="eastAsia"/>
          <w:color w:val="auto"/>
          <w:sz w:val="21"/>
          <w:szCs w:val="21"/>
          <w:highlight w:val="none"/>
          <w:lang w:eastAsia="zh-CN"/>
        </w:rPr>
        <w:t xml:space="preserve">以来</w:t>
      </w:r>
      <w:r>
        <w:rPr>
          <w:rFonts w:ascii="宋体" w:eastAsia="宋体" w:hAnsi="宋体" w:cs="宋体" w:hint="eastAsia"/>
          <w:color w:val="auto"/>
          <w:sz w:val="21"/>
          <w:szCs w:val="21"/>
          <w:highlight w:val="none"/>
          <w:lang w:eastAsia="zh-CN"/>
        </w:rPr>
        <w:t xml:space="preserve">任意1个月</w:t>
      </w:r>
      <w:r>
        <w:rPr>
          <w:rFonts w:ascii="宋体" w:eastAsia="宋体" w:hAnsi="宋体" w:cs="宋体" w:hint="eastAsia"/>
          <w:color w:val="auto"/>
          <w:sz w:val="21"/>
          <w:szCs w:val="21"/>
          <w:highlight w:val="none"/>
        </w:rPr>
        <w:t xml:space="preserve">供应商为其缴纳的养老保险证明（如为退休人员，须提供退休证及供应商与其签订的劳动合同）；</w:t>
      </w:r>
      <w:r>
        <w:rPr>
          <w:rFonts w:ascii="宋体" w:hAnsi="宋体" w:cs="宋体" w:hint="eastAsia"/>
          <w:b/>
          <w:bCs/>
          <w:color w:val="auto"/>
          <w:sz w:val="21"/>
          <w:szCs w:val="21"/>
          <w:highlight w:val="none"/>
          <w:lang w:val="en-US" w:eastAsia="zh-CN"/>
        </w:rPr>
        <w:t xml:space="preserve">法定代表人无须提供。</w:t>
      </w:r>
    </w:p>
    <w:p>
      <w:pPr>
        <w:spacing w:line="360" w:lineRule="auto"/>
        <w:ind w:firstLine="424"/>
        <w:rPr>
          <w:rFonts w:ascii="宋体" w:hAnsi="宋体" w:cs="宋体" w:hint="eastAsia"/>
          <w:color w:val="auto"/>
          <w:sz w:val="21"/>
          <w:szCs w:val="21"/>
          <w:highlight w:val="none"/>
          <w:lang w:eastAsia="zh-CN"/>
        </w:rPr>
      </w:pP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5</w:t>
      </w:r>
      <w:r>
        <w:rPr>
          <w:rFonts w:ascii="宋体" w:hAnsi="宋体" w:cs="宋体" w:hint="eastAsia"/>
          <w:color w:val="auto"/>
          <w:sz w:val="21"/>
          <w:szCs w:val="21"/>
          <w:highlight w:val="none"/>
          <w:lang w:eastAsia="zh-CN"/>
        </w:rPr>
        <w:t xml:space="preserve">）供应商提供下列材料之一:</w:t>
      </w:r>
    </w:p>
    <w:p>
      <w:pPr>
        <w:spacing w:line="360" w:lineRule="auto"/>
        <w:ind w:firstLine="424"/>
        <w:rPr>
          <w:rFonts w:ascii="宋体" w:eastAsia="宋体" w:hAnsi="宋体" w:cs="宋体" w:hint="eastAsia"/>
          <w:color w:val="auto"/>
          <w:sz w:val="21"/>
          <w:szCs w:val="21"/>
          <w:highlight w:val="none"/>
          <w:lang w:eastAsia="zh-CN"/>
        </w:rPr>
      </w:pPr>
      <w:r>
        <w:rPr>
          <w:rFonts w:ascii="宋体" w:hAnsi="宋体" w:cs="宋体" w:hint="eastAsia"/>
          <w:color w:val="auto"/>
          <w:sz w:val="21"/>
          <w:szCs w:val="21"/>
          <w:highlight w:val="none"/>
          <w:lang w:eastAsia="zh-CN"/>
        </w:rPr>
        <w:t xml:space="preserve">1）供应商提供法定代表人资格证明和法定代表人身份证；2）供应商提供授权委托书和受托人身份证。</w:t>
      </w:r>
    </w:p>
    <w:p>
      <w:pPr>
        <w:spacing w:line="360" w:lineRule="auto"/>
        <w:ind w:firstLine="424"/>
        <w:rPr>
          <w:rFonts w:ascii="宋体" w:eastAsia="宋体" w:hAnsi="宋体" w:cs="宋体" w:hint="eastAsia"/>
          <w:color w:val="auto"/>
          <w:sz w:val="21"/>
          <w:szCs w:val="21"/>
          <w:highlight w:val="none"/>
          <w:lang w:eastAsia="zh-CN"/>
        </w:rPr>
      </w:pP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6</w:t>
      </w: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本项目不接受联合体（未联合体即可）。</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（四）拒绝下述条件的供应商参加本次采购活动:</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1、供应商单位负责人为同一人或者存在直接控股、管理关系的不同供应商，不得同时参加同一合同项下的政府采购活动；</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2、凡为采购项目提供整体设计、规范编制或者项目管理、监理、检测等服务的供应商，不得再参加本项目的采购活动；</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3、供应商被“信用中国”网站、“中国政府采购网”列入失信被执行人、重大税收违法案件当事人名单、政府采购严重违法失信行为记录名单。</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三、获取采购文件</w:t>
      </w:r>
    </w:p>
    <w:p>
      <w:pPr>
        <w:spacing w:line="360" w:lineRule="auto"/>
        <w:ind w:firstLine="424"/>
        <w:jc w:val="left"/>
        <w:rPr>
          <w:rFonts w:ascii="宋体" w:eastAsia="宋体" w:hAnsi="宋体" w:cs="宋体" w:hint="eastAsia"/>
          <w:b w:val="0"/>
          <w:bCs w:val="0"/>
          <w:color w:val="auto"/>
          <w:sz w:val="21"/>
          <w:szCs w:val="21"/>
          <w:highlight w:val="none"/>
          <w:lang w:eastAsia="zh-CN"/>
        </w:rPr>
      </w:pPr>
      <w:r>
        <w:rPr>
          <w:rFonts w:ascii="宋体" w:eastAsia="宋体" w:hAnsi="宋体" w:cs="宋体" w:hint="eastAsia"/>
          <w:b w:val="0"/>
          <w:bCs w:val="0"/>
          <w:color w:val="auto"/>
          <w:sz w:val="21"/>
          <w:szCs w:val="21"/>
          <w:highlight w:val="none"/>
        </w:rPr>
        <w:t xml:space="preserve">时间：</w:t>
      </w:r>
      <w:r>
        <w:rPr>
          <w:rFonts w:ascii="宋体" w:hAnsi="宋体" w:cs="宋体" w:hint="eastAsia"/>
          <w:b w:val="0"/>
          <w:bCs w:val="0"/>
          <w:color w:val="auto"/>
          <w:sz w:val="21"/>
          <w:szCs w:val="21"/>
          <w:highlight w:val="none"/>
          <w:lang w:eastAsia="zh-CN"/>
        </w:rPr>
        <w:t xml:space="preserve">2024年7月</w:t>
      </w:r>
      <w:r>
        <w:rPr>
          <w:rFonts w:ascii="宋体" w:hAnsi="宋体" w:cs="宋体" w:hint="eastAsia"/>
          <w:b w:val="0"/>
          <w:bCs w:val="0"/>
          <w:color w:val="auto"/>
          <w:sz w:val="21"/>
          <w:szCs w:val="21"/>
          <w:highlight w:val="none"/>
          <w:lang w:val="en-US" w:eastAsia="zh-CN"/>
        </w:rPr>
        <w:t xml:space="preserve">16</w:t>
      </w:r>
      <w:r>
        <w:rPr>
          <w:rFonts w:ascii="宋体" w:hAnsi="宋体" w:cs="宋体" w:hint="eastAsia"/>
          <w:b w:val="0"/>
          <w:bCs w:val="0"/>
          <w:color w:val="auto"/>
          <w:sz w:val="21"/>
          <w:szCs w:val="21"/>
          <w:highlight w:val="none"/>
          <w:lang w:eastAsia="zh-CN"/>
        </w:rPr>
        <w:t xml:space="preserve">日至2024年7月</w:t>
      </w:r>
      <w:r>
        <w:rPr>
          <w:rFonts w:ascii="宋体" w:hAnsi="宋体" w:cs="宋体" w:hint="eastAsia"/>
          <w:b w:val="0"/>
          <w:bCs w:val="0"/>
          <w:color w:val="auto"/>
          <w:sz w:val="21"/>
          <w:szCs w:val="21"/>
          <w:highlight w:val="none"/>
          <w:lang w:val="en-US" w:eastAsia="zh-CN"/>
        </w:rPr>
        <w:t xml:space="preserve">26</w:t>
      </w:r>
      <w:r>
        <w:rPr>
          <w:rFonts w:ascii="宋体" w:hAnsi="宋体" w:cs="宋体" w:hint="eastAsia"/>
          <w:b w:val="0"/>
          <w:bCs w:val="0"/>
          <w:color w:val="auto"/>
          <w:sz w:val="21"/>
          <w:szCs w:val="21"/>
          <w:highlight w:val="none"/>
          <w:lang w:eastAsia="zh-CN"/>
        </w:rPr>
        <w:t xml:space="preserve">日</w:t>
      </w:r>
    </w:p>
    <w:p>
      <w:pPr>
        <w:spacing w:line="360" w:lineRule="auto"/>
        <w:ind w:firstLine="424"/>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获取方式:</w:t>
      </w:r>
      <w:r>
        <w:rPr>
          <w:rFonts w:ascii="宋体" w:eastAsia="宋体" w:hAnsi="宋体" w:cs="宋体" w:hint="eastAsia"/>
          <w:color w:val="auto"/>
          <w:sz w:val="21"/>
          <w:szCs w:val="21"/>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360" w:lineRule="auto"/>
        <w:ind w:firstLine="424"/>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售价：0元</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四、响应文件提交</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截止时间：2024-</w:t>
      </w:r>
      <w:r>
        <w:rPr>
          <w:rFonts w:ascii="宋体" w:hAnsi="宋体" w:cs="宋体" w:hint="eastAsia"/>
          <w:color w:val="auto"/>
          <w:sz w:val="21"/>
          <w:szCs w:val="21"/>
          <w:highlight w:val="none"/>
          <w:lang w:val="en-US" w:eastAsia="zh-CN"/>
        </w:rPr>
        <w:t xml:space="preserve">07</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29</w:t>
      </w:r>
      <w:r>
        <w:rPr>
          <w:rFonts w:ascii="宋体" w:eastAsia="宋体" w:hAnsi="宋体" w:cs="宋体" w:hint="eastAsia"/>
          <w:color w:val="auto"/>
          <w:sz w:val="21"/>
          <w:szCs w:val="21"/>
          <w:highlight w:val="none"/>
        </w:rPr>
        <w:t xml:space="preserve"> </w:t>
      </w:r>
      <w:r>
        <w:rPr>
          <w:rFonts w:ascii="宋体" w:hAnsi="宋体" w:cs="宋体" w:hint="eastAsia"/>
          <w:color w:val="auto"/>
          <w:sz w:val="21"/>
          <w:szCs w:val="21"/>
          <w:highlight w:val="none"/>
          <w:lang w:val="en-US" w:eastAsia="zh-CN"/>
        </w:rPr>
        <w:t xml:space="preserve">15</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0</w:t>
      </w:r>
      <w:r>
        <w:rPr>
          <w:rFonts w:ascii="宋体" w:eastAsia="宋体" w:hAnsi="宋体" w:cs="宋体" w:hint="eastAsia"/>
          <w:color w:val="auto"/>
          <w:sz w:val="21"/>
          <w:szCs w:val="21"/>
          <w:highlight w:val="none"/>
        </w:rPr>
        <w:t xml:space="preserve">0（北京时间）</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地点：本项目采用远程“不见面”开标方式，无需到现场提交，请供应商在截止时间前提前登入苏采云政府采购一体化平台提交响应文件。</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五、开启</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时间：2024-</w:t>
      </w:r>
      <w:r>
        <w:rPr>
          <w:rFonts w:ascii="宋体" w:hAnsi="宋体" w:cs="宋体" w:hint="eastAsia"/>
          <w:color w:val="auto"/>
          <w:sz w:val="21"/>
          <w:szCs w:val="21"/>
          <w:highlight w:val="none"/>
          <w:lang w:val="en-US" w:eastAsia="zh-CN"/>
        </w:rPr>
        <w:t xml:space="preserve">07</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29</w:t>
      </w:r>
      <w:r>
        <w:rPr>
          <w:rFonts w:ascii="宋体" w:eastAsia="宋体" w:hAnsi="宋体" w:cs="宋体" w:hint="eastAsia"/>
          <w:color w:val="auto"/>
          <w:sz w:val="21"/>
          <w:szCs w:val="21"/>
          <w:highlight w:val="none"/>
        </w:rPr>
        <w:t xml:space="preserve"> </w:t>
      </w:r>
      <w:r>
        <w:rPr>
          <w:rFonts w:ascii="宋体" w:hAnsi="宋体" w:cs="宋体" w:hint="eastAsia"/>
          <w:color w:val="auto"/>
          <w:sz w:val="21"/>
          <w:szCs w:val="21"/>
          <w:highlight w:val="none"/>
          <w:lang w:val="en-US" w:eastAsia="zh-CN"/>
        </w:rPr>
        <w:t xml:space="preserve">15</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0</w:t>
      </w:r>
      <w:r>
        <w:rPr>
          <w:rFonts w:ascii="宋体" w:eastAsia="宋体" w:hAnsi="宋体" w:cs="宋体" w:hint="eastAsia"/>
          <w:color w:val="auto"/>
          <w:sz w:val="21"/>
          <w:szCs w:val="21"/>
          <w:highlight w:val="none"/>
        </w:rPr>
        <w:t xml:space="preserve">0（北京时间）</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地点：淮安市公共资源交易中心淮阴分中心（长江东路170号）不见面开标室</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六、公告期限</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自本公告发布之日起</w:t>
      </w:r>
      <w:r>
        <w:rPr>
          <w:rFonts w:ascii="宋体" w:hAnsi="宋体" w:cs="宋体" w:hint="eastAsia"/>
          <w:color w:val="auto"/>
          <w:sz w:val="21"/>
          <w:szCs w:val="21"/>
          <w:highlight w:val="none"/>
          <w:lang w:val="en-US" w:eastAsia="zh-CN"/>
        </w:rPr>
        <w:t xml:space="preserve">3</w:t>
      </w:r>
      <w:r>
        <w:rPr>
          <w:rFonts w:ascii="宋体" w:eastAsia="宋体" w:hAnsi="宋体" w:cs="宋体" w:hint="eastAsia"/>
          <w:color w:val="auto"/>
          <w:sz w:val="21"/>
          <w:szCs w:val="21"/>
          <w:highlight w:val="none"/>
        </w:rPr>
        <w:t xml:space="preserve">个工作日。</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七、其他补充事宜</w:t>
      </w:r>
      <w:r>
        <w:rPr>
          <w:rFonts w:ascii="宋体" w:hAnsi="宋体" w:cs="宋体" w:hint="eastAsia"/>
          <w:color w:val="auto"/>
          <w:sz w:val="21"/>
          <w:szCs w:val="21"/>
          <w:highlight w:val="none"/>
          <w:lang w:eastAsia="zh-CN"/>
        </w:rPr>
        <w:t xml:space="preserve">：</w:t>
      </w:r>
      <w:r>
        <w:t xml:space="preserve">因苏采云系统格式受限，图纸上传不了CAD格式，如有需要，请各供应商联系代理机构获取。</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八、凡对本次采购提出询问，请按以下方式联系。</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1、采购人信息</w:t>
      </w:r>
    </w:p>
    <w:p>
      <w:pPr>
        <w:spacing w:line="360" w:lineRule="auto"/>
        <w:ind w:firstLine="420"/>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名称:</w:t>
      </w:r>
      <w:r>
        <w:rPr>
          <w:rFonts w:ascii="宋体" w:hAnsi="宋体" w:cs="宋体" w:hint="eastAsia"/>
          <w:color w:val="auto"/>
          <w:sz w:val="21"/>
          <w:szCs w:val="21"/>
          <w:highlight w:val="none"/>
          <w:lang w:eastAsia="zh-CN"/>
        </w:rPr>
        <w:t xml:space="preserve">淮安市淮海初级中学</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地址：</w:t>
      </w:r>
      <w:r>
        <w:rPr>
          <w:rFonts w:ascii="宋体" w:hAnsi="宋体" w:cs="宋体" w:hint="eastAsia"/>
          <w:color w:val="auto"/>
          <w:sz w:val="21"/>
          <w:szCs w:val="21"/>
          <w:highlight w:val="none"/>
          <w:lang w:val="en-US" w:eastAsia="zh-CN"/>
        </w:rPr>
        <w:t xml:space="preserve">淮安市淮海初级中学</w:t>
      </w:r>
    </w:p>
    <w:p>
      <w:pPr>
        <w:spacing w:line="360" w:lineRule="auto"/>
        <w:ind w:firstLine="424"/>
        <w:rPr>
          <w:rFonts w:ascii="宋体" w:eastAsia="宋体" w:hAnsi="宋体" w:cs="宋体" w:hint="default"/>
          <w:color w:val="auto"/>
          <w:sz w:val="21"/>
          <w:szCs w:val="21"/>
          <w:highlight w:val="none"/>
          <w:lang w:val="en-US" w:eastAsia="zh-CN"/>
        </w:rPr>
      </w:pPr>
      <w:r>
        <w:rPr>
          <w:rFonts w:ascii="宋体" w:eastAsia="宋体" w:hAnsi="宋体" w:cs="宋体" w:hint="eastAsia"/>
          <w:color w:val="auto"/>
          <w:sz w:val="21"/>
          <w:szCs w:val="21"/>
          <w:highlight w:val="none"/>
        </w:rPr>
        <w:t xml:space="preserve">联系方式：</w:t>
      </w:r>
      <w:r>
        <w:rPr>
          <w:rFonts w:ascii="宋体" w:hAnsi="宋体" w:cs="宋体" w:hint="eastAsia"/>
          <w:color w:val="auto"/>
          <w:sz w:val="21"/>
          <w:szCs w:val="21"/>
          <w:highlight w:val="none"/>
          <w:lang w:val="en-US" w:eastAsia="zh-CN"/>
        </w:rPr>
        <w:t xml:space="preserve">蒋主任，</w:t>
      </w:r>
      <w:r>
        <w:rPr>
          <w:rFonts w:ascii="宋体" w:eastAsia="宋体" w:hAnsi="宋体" w:cs="宋体" w:hint="eastAsia"/>
          <w:color w:val="auto"/>
          <w:sz w:val="21"/>
          <w:szCs w:val="21"/>
          <w:highlight w:val="none"/>
        </w:rPr>
        <w:t xml:space="preserve">电话:</w:t>
      </w:r>
      <w:r>
        <w:rPr>
          <w:rFonts w:ascii="宋体" w:eastAsia="宋体" w:hAnsi="宋体" w:cs="宋体" w:hint="eastAsia"/>
          <w:color w:val="auto"/>
          <w:sz w:val="21"/>
          <w:szCs w:val="21"/>
          <w:highlight w:val="none"/>
          <w:lang w:val="en-US" w:eastAsia="zh-CN"/>
        </w:rPr>
        <w:t xml:space="preserve">13</w:t>
      </w:r>
      <w:r>
        <w:rPr>
          <w:rFonts w:ascii="宋体" w:hAnsi="宋体" w:cs="宋体" w:hint="eastAsia"/>
          <w:color w:val="auto"/>
          <w:sz w:val="21"/>
          <w:szCs w:val="21"/>
          <w:highlight w:val="none"/>
          <w:lang w:val="en-US" w:eastAsia="zh-CN"/>
        </w:rPr>
        <w:t xml:space="preserve">405507027</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2、采购代理机构信息</w:t>
      </w:r>
    </w:p>
    <w:p>
      <w:pPr>
        <w:spacing w:line="360" w:lineRule="auto"/>
        <w:ind w:firstLine="420"/>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名称：</w:t>
      </w:r>
      <w:r>
        <w:rPr>
          <w:rFonts w:ascii="宋体" w:hAnsi="宋体" w:cs="宋体" w:hint="eastAsia"/>
          <w:color w:val="auto"/>
          <w:sz w:val="21"/>
          <w:szCs w:val="21"/>
          <w:highlight w:val="none"/>
          <w:lang w:eastAsia="zh-CN"/>
        </w:rPr>
        <w:t xml:space="preserve">江苏栋德工程管理有限公司</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地址：</w:t>
      </w:r>
      <w:r>
        <w:rPr>
          <w:rFonts w:ascii="宋体" w:hAnsi="宋体" w:cs="宋体" w:hint="eastAsia"/>
          <w:color w:val="auto"/>
          <w:sz w:val="21"/>
          <w:szCs w:val="21"/>
          <w:highlight w:val="none"/>
          <w:lang w:eastAsia="zh-CN"/>
        </w:rPr>
        <w:t xml:space="preserve">淮安市淮阴区九江路119号</w:t>
      </w:r>
    </w:p>
    <w:p>
      <w:pPr>
        <w:spacing w:line="360" w:lineRule="auto"/>
        <w:ind w:firstLine="420"/>
        <w:rPr>
          <w:rFonts w:ascii="宋体" w:eastAsia="宋体" w:hAnsi="宋体" w:cs="宋体" w:hint="default"/>
          <w:color w:val="auto"/>
          <w:sz w:val="21"/>
          <w:szCs w:val="21"/>
          <w:highlight w:val="none"/>
          <w:lang w:val="en-US" w:eastAsia="zh-CN"/>
        </w:rPr>
      </w:pPr>
      <w:r>
        <w:rPr>
          <w:rFonts w:ascii="宋体" w:eastAsia="宋体" w:hAnsi="宋体" w:cs="宋体" w:hint="eastAsia"/>
          <w:color w:val="auto"/>
          <w:sz w:val="21"/>
          <w:szCs w:val="21"/>
          <w:highlight w:val="none"/>
        </w:rPr>
        <w:t xml:space="preserve">联系方式：</w:t>
      </w:r>
      <w:r>
        <w:rPr>
          <w:rFonts w:ascii="宋体" w:hAnsi="宋体" w:cs="宋体" w:hint="eastAsia"/>
          <w:color w:val="auto"/>
          <w:sz w:val="21"/>
          <w:szCs w:val="21"/>
          <w:highlight w:val="none"/>
          <w:lang w:val="en-US" w:eastAsia="zh-CN"/>
        </w:rPr>
        <w:t xml:space="preserve">李士林</w:t>
      </w:r>
      <w:r>
        <w:rPr>
          <w:rFonts w:ascii="宋体" w:hAnsi="宋体" w:cs="宋体" w:hint="eastAsia"/>
          <w:color w:val="auto"/>
          <w:sz w:val="21"/>
          <w:szCs w:val="21"/>
          <w:highlight w:val="none"/>
          <w:lang w:eastAsia="zh-CN"/>
        </w:rPr>
        <w:t xml:space="preserve">，</w:t>
      </w:r>
      <w:r>
        <w:rPr>
          <w:rFonts w:ascii="宋体" w:hAnsi="宋体" w:cs="宋体" w:hint="eastAsia"/>
          <w:color w:val="auto"/>
          <w:sz w:val="21"/>
          <w:szCs w:val="21"/>
          <w:highlight w:val="none"/>
          <w:lang w:val="en-US" w:eastAsia="zh-CN"/>
        </w:rPr>
        <w:t xml:space="preserve">电话：13813344098</w:t>
      </w:r>
    </w:p>
    <w:p>
      <w:pPr>
        <w:pBdr>
          <w:top w:val="none" w:sz="0" w:space="0" w:color="auto"/>
          <w:left w:val="none" w:sz="0" w:space="0" w:color="auto"/>
          <w:bottom w:val="none" w:sz="0" w:space="0" w:color="auto"/>
          <w:right w:val="none" w:sz="0" w:space="0" w:color="auto"/>
        </w:pBdr>
        <w:spacing w:before="0" w:after="0" w:line="85" w:lineRule="atLeast"/>
        <w:ind w:left="0" w:right="0" w:firstLine="424"/>
        <w:jc w:val="both"/>
        <w:rPr>
          <w:rFonts w:ascii="SimSun" w:eastAsia="SimSun" w:hAnsi="SimSun" w:cs="SimSun"/>
          <w:color w:val="000000"/>
          <w:sz w:val="21"/>
          <w:szCs w:val="21"/>
        </w:rPr>
      </w:pPr>
      <w:r>
        <w:rPr>
          <w:rFonts w:ascii="宋体" w:eastAsia="宋体" w:hAnsi="宋体" w:cs="宋体" w:hint="eastAsia"/>
          <w:color w:val="auto"/>
          <w:sz w:val="21"/>
          <w:szCs w:val="21"/>
          <w:highlight w:val="none"/>
          <w:lang w:val="en-US" w:eastAsia="zh-CN"/>
        </w:rPr>
        <w:t xml:space="preserve">3</w:t>
      </w:r>
      <w:r>
        <w:rPr>
          <w:rFonts w:ascii="宋体" w:eastAsia="宋体" w:hAnsi="宋体" w:cs="宋体" w:hint="eastAsia"/>
          <w:color w:val="auto"/>
          <w:sz w:val="21"/>
          <w:szCs w:val="21"/>
          <w:highlight w:val="none"/>
          <w:lang w:val="en-US" w:eastAsia="zh-CN"/>
        </w:rPr>
        <w:t xml:space="preserve">、</w:t>
      </w:r>
      <w:r>
        <w:rPr>
          <w:rFonts w:ascii="SimSun" w:eastAsia="SimSun" w:hAnsi="SimSun" w:cs="SimSun"/>
          <w:color w:val="000000"/>
          <w:sz w:val="21"/>
        </w:rPr>
        <w:t xml:space="preserve">财政监督管理部门联系人及地址：</w:t>
      </w:r>
    </w:p>
    <w:p>
      <w:pPr>
        <w:pBdr>
          <w:top w:val="none" w:sz="0" w:space="0" w:color="auto"/>
          <w:left w:val="none" w:sz="0" w:space="0" w:color="auto"/>
          <w:bottom w:val="none" w:sz="0" w:space="0" w:color="auto"/>
          <w:right w:val="none" w:sz="0" w:space="0" w:color="auto"/>
        </w:pBdr>
        <w:spacing w:before="0" w:after="0" w:line="85" w:lineRule="atLeast"/>
        <w:ind w:left="0" w:right="0" w:firstLine="424"/>
        <w:jc w:val="both"/>
      </w:pPr>
      <w:r>
        <w:rPr>
          <w:rFonts w:ascii="SimSun" w:eastAsia="SimSun" w:hAnsi="SimSun" w:cs="SimSun"/>
          <w:color w:val="000000"/>
          <w:sz w:val="21"/>
        </w:rPr>
        <w:t xml:space="preserve">联系人：张林，电话：0517—84934506</w:t>
      </w:r>
    </w:p>
    <w:p>
      <w:pPr>
        <w:pBdr>
          <w:top w:val="none" w:sz="0" w:space="0" w:color="auto"/>
          <w:left w:val="none" w:sz="0" w:space="0" w:color="auto"/>
          <w:bottom w:val="none" w:sz="0" w:space="0" w:color="auto"/>
          <w:right w:val="none" w:sz="0" w:space="0" w:color="auto"/>
        </w:pBdr>
        <w:spacing w:before="0" w:after="0" w:line="85" w:lineRule="atLeast"/>
        <w:ind w:left="0" w:right="0" w:firstLine="424"/>
        <w:jc w:val="both"/>
      </w:pPr>
      <w:r>
        <w:rPr>
          <w:rFonts w:ascii="SimSun" w:eastAsia="SimSun" w:hAnsi="SimSun" w:cs="SimSun"/>
          <w:color w:val="000000"/>
          <w:sz w:val="21"/>
        </w:rPr>
        <w:t xml:space="preserve">联系地址：淮阴区承德北路606号（区政府927室）</w:t>
      </w:r>
    </w:p>
    <w:p>
      <w:pPr>
        <w:spacing w:line="360" w:lineRule="auto"/>
        <w:ind w:firstLine="424"/>
        <w:rPr>
          <w:rFonts w:ascii="宋体" w:eastAsia="宋体" w:hAnsi="宋体" w:cs="宋体" w:hint="eastAsia"/>
          <w:color w:val="auto"/>
          <w:sz w:val="21"/>
          <w:szCs w:val="21"/>
          <w:highlight w:val="none"/>
          <w:lang w:val="en-US" w:eastAsia="zh-CN"/>
        </w:rPr>
      </w:pPr>
      <w:r>
        <w:rPr>
          <w:rFonts w:ascii="宋体" w:eastAsia="宋体" w:hAnsi="宋体" w:cs="宋体" w:hint="eastAsia"/>
          <w:color w:val="auto"/>
          <w:sz w:val="21"/>
          <w:szCs w:val="21"/>
          <w:highlight w:val="none"/>
        </w:rPr>
        <w:t xml:space="preserve">九、</w:t>
      </w:r>
      <w:bookmarkEnd w:id="2"/>
      <w:bookmarkEnd w:id="3"/>
      <w:bookmarkEnd w:id="4"/>
      <w:r>
        <w:rPr>
          <w:rFonts w:ascii="宋体" w:eastAsia="宋体" w:hAnsi="宋体" w:cs="宋体" w:hint="eastAsia"/>
          <w:color w:val="auto"/>
          <w:sz w:val="21"/>
          <w:szCs w:val="21"/>
          <w:highlight w:val="none"/>
          <w:lang w:val="en-US" w:eastAsia="zh-CN"/>
        </w:rPr>
        <w:t xml:space="preserve">其它</w:t>
      </w:r>
    </w:p>
    <w:p>
      <w:pPr>
        <w:spacing w:line="360" w:lineRule="auto"/>
        <w:ind w:firstLine="424"/>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p>
    <w:p>
      <w:pPr>
        <w:spacing w:line="360" w:lineRule="auto"/>
        <w:ind w:firstLine="424"/>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2.根据省财政厅《关</w:t>
      </w:r>
      <w:r>
        <w:rPr>
          <w:rFonts w:ascii="宋体" w:eastAsia="宋体" w:hAnsi="宋体" w:cs="宋体" w:hint="eastAsia"/>
          <w:color w:val="auto"/>
          <w:sz w:val="21"/>
          <w:szCs w:val="21"/>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pPr>
        <w:spacing w:line="360" w:lineRule="auto"/>
        <w:ind w:firstLine="424"/>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5"/>
    </w:p>
    <w:p>
      <w:pPr>
        <w:spacing w:line="360" w:lineRule="auto"/>
        <w:ind w:firstLine="2992"/>
        <w:outlineLvl w:val="0"/>
        <w:rPr>
          <w:rFonts w:ascii="宋体" w:eastAsia="宋体" w:hAnsi="宋体" w:cs="宋体" w:hint="eastAsia"/>
          <w:b/>
          <w:bCs/>
          <w:color w:val="auto"/>
          <w:sz w:val="40"/>
          <w:szCs w:val="40"/>
          <w:highlight w:val="none"/>
        </w:rPr>
      </w:pPr>
      <w:r>
        <w:br w:type="page"/>
      </w:r>
      <w:bookmarkStart w:id="6" w:name="_Toc14001"/>
      <w:r>
        <w:rPr>
          <w:rFonts w:ascii="宋体" w:eastAsia="宋体" w:hAnsi="宋体" w:cs="宋体" w:hint="eastAsia"/>
          <w:b/>
          <w:bCs/>
          <w:color w:val="auto"/>
          <w:sz w:val="36"/>
          <w:szCs w:val="36"/>
          <w:highlight w:val="none"/>
        </w:rPr>
        <w:t xml:space="preserve">第二章  供应商须知</w:t>
      </w:r>
      <w:bookmarkEnd w:id="6"/>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一、总则</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1.适用范围</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本竞争性磋商文件仅适用于本次采购邀请中所述项目的采购。</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2.合格的供应商</w:t>
      </w:r>
    </w:p>
    <w:p>
      <w:pPr>
        <w:keepNext w:val="0"/>
        <w:keepLines w:val="0"/>
        <w:pageBreakBefore w:val="0"/>
        <w:widowControl w:val="0"/>
        <w:spacing w:line="288" w:lineRule="auto"/>
        <w:ind w:firstLine="407"/>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2.1 满足第一章磋商邀请中供应商资格要求的规定。</w:t>
      </w:r>
    </w:p>
    <w:p>
      <w:pPr>
        <w:keepNext w:val="0"/>
        <w:keepLines w:val="0"/>
        <w:pageBreakBefore w:val="0"/>
        <w:widowControl w:val="0"/>
        <w:spacing w:line="288" w:lineRule="auto"/>
        <w:ind w:firstLine="407"/>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2.2 满足磋商文件中实质性条款的规定。</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3.适用法律</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3.1 《中华人民共和国政府采购法》、《中华人民共和国政府采购法实施条例》、《政府采购竞争性磋商采购方式管理暂行办法》等有关法律、规章和规定等。</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4.磋商费用</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4.1 供应商应自行承担所有与参加磋商有关的费用。不论磋商的结果如何，采购人和采购代理机构在任何情况下均无义务和责任承担这些费用。</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4.2 本次采购代理服务费</w:t>
      </w:r>
      <w:r>
        <w:rPr>
          <w:rFonts w:ascii="宋体" w:hAnsi="宋体" w:cs="宋体" w:hint="eastAsia"/>
          <w:color w:val="auto"/>
          <w:sz w:val="21"/>
          <w:szCs w:val="21"/>
          <w:highlight w:val="none"/>
          <w:lang w:val="en-US" w:eastAsia="zh-CN"/>
        </w:rPr>
        <w:t xml:space="preserve">20000元</w:t>
      </w:r>
      <w:r>
        <w:rPr>
          <w:rFonts w:ascii="宋体" w:eastAsia="宋体" w:hAnsi="宋体" w:cs="宋体" w:hint="eastAsia"/>
          <w:color w:val="auto"/>
          <w:sz w:val="21"/>
          <w:szCs w:val="21"/>
          <w:highlight w:val="none"/>
        </w:rPr>
        <w:t xml:space="preserve">，评审费按实计取，不单独列项，供应商在报价时综合考虑，由成交供应商在领取成交通知书前向代理机构一次性付清。</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5.勘察现场</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5.1供应商可以自行组织对工程施工现场和周围环境进行勘察，以获取编制响应文件和签署合同所需的所有资料。勘察现场所发生的费用由供应商自行承担。</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5.2供应商被视为充分熟悉本次项目所在地与履行合同有关的各种情况，包括自然环境、气候条件、劳动力及公用设施等。</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5.3采购人向供应商提供的有关施工现场的资料和数据是采购人现有的能使供应商利用的资料。采购人对供应商由此而做出的推论、理解和结论概不负责。</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5.4在现场考察过程中，供应商如果发生人身伤亡、财产或其他损失，无论何种原因造成，采购人均不负责。</w:t>
      </w:r>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二、磋商文件</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6.磋商文件</w:t>
      </w:r>
      <w:r>
        <w:rPr>
          <w:rFonts w:ascii="宋体" w:eastAsia="宋体" w:hAnsi="宋体" w:cs="宋体" w:hint="eastAsia"/>
          <w:color w:val="auto"/>
          <w:sz w:val="21"/>
          <w:szCs w:val="21"/>
          <w:highlight w:val="none"/>
        </w:rPr>
        <w:t xml:space="preserve">由以下部分组成:</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6.1 磋商邀请</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6.2 供应商须知</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6.3 评标标准</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6.4 合同格式及条款</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6.5 项目采购需求</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6.6 响应文件</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7.磋商文件的澄清</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color w:val="auto"/>
          <w:sz w:val="21"/>
          <w:szCs w:val="21"/>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pPr>
        <w:keepNext w:val="0"/>
        <w:keepLines w:val="0"/>
        <w:pageBreakBefore w:val="0"/>
        <w:widowControl w:val="0"/>
        <w:spacing w:line="288" w:lineRule="auto"/>
        <w:ind w:firstLine="403"/>
        <w:rPr>
          <w:rFonts w:ascii="宋体" w:eastAsia="宋体" w:hAnsi="宋体" w:cs="宋体" w:hint="eastAsia"/>
          <w:color w:val="auto"/>
          <w:sz w:val="21"/>
          <w:szCs w:val="21"/>
          <w:highlight w:val="none"/>
          <w:lang w:val="zh-CN"/>
        </w:rPr>
      </w:pPr>
      <w:r>
        <w:rPr>
          <w:rFonts w:ascii="宋体" w:eastAsia="宋体" w:hAnsi="宋体" w:cs="宋体" w:hint="eastAsia"/>
          <w:bCs/>
          <w:color w:val="auto"/>
          <w:sz w:val="21"/>
          <w:szCs w:val="21"/>
          <w:highlight w:val="none"/>
        </w:rPr>
        <w:t xml:space="preserve">8.磋商文件的更正或补充</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lang w:val="zh-CN"/>
        </w:rPr>
      </w:pPr>
      <w:r>
        <w:rPr>
          <w:rFonts w:ascii="宋体" w:eastAsia="宋体" w:hAnsi="宋体" w:cs="宋体" w:hint="eastAsia"/>
          <w:color w:val="auto"/>
          <w:sz w:val="21"/>
          <w:szCs w:val="21"/>
          <w:highlight w:val="none"/>
          <w:lang w:val="zh-CN"/>
        </w:rPr>
        <w:t xml:space="preserve">8.1在电子响应文件上传截止时间前，采购人或采购代理机构可主动或在解答供应商提出的澄清问题时对磋商文件用更正公告的方式进行修正。</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lang w:val="zh-CN"/>
        </w:rPr>
      </w:pPr>
      <w:r>
        <w:rPr>
          <w:rFonts w:ascii="宋体" w:eastAsia="宋体" w:hAnsi="宋体" w:cs="宋体" w:hint="eastAsia"/>
          <w:color w:val="auto"/>
          <w:sz w:val="21"/>
          <w:szCs w:val="21"/>
          <w:highlight w:val="none"/>
          <w:lang w:val="zh-CN"/>
        </w:rPr>
        <w:t xml:space="preserve">8.2对磋商文件的修改将在淮安市政府采购网进行公告，更正公告将作为磋商文件的组成部分，对所有参加本次磋商的供应商都具有约束力。</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zh-CN"/>
        </w:rPr>
        <w:t xml:space="preserve">8.3为使供应商有足够的时间按磋商文件的更正要求修正响应文件，采购人有权按照相关法定的要求推迟电子响应文件上传截止时间和</w:t>
      </w:r>
      <w:r>
        <w:rPr>
          <w:rFonts w:ascii="宋体" w:eastAsia="宋体" w:hAnsi="宋体" w:cs="宋体" w:hint="eastAsia"/>
          <w:color w:val="auto"/>
          <w:sz w:val="21"/>
          <w:szCs w:val="21"/>
          <w:highlight w:val="none"/>
        </w:rPr>
        <w:t xml:space="preserve">活动组织时</w:t>
      </w:r>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三、响应文件的编制</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9.响应文件的编制</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9.1供应商编写的响应文件应按磋商文件第七章“响应文件”中的要求进行编写。</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9.2电子响应文件编制必须按“苏采云政府采购一体化平台”要求制作，具体操作详见《操作手册》。</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10.磋商报价</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10.1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10.2 报价方式</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10.2.1 本项目采用工程量清单报价方式。</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10.2.2供应商应充分考虑施工期间各类建材的市场风险以及国家政策性调整的风险，并计入总报价，今后不作调整。设计变更和采购人要求变动的内容除外。结算方式在合同专用条款中明确。</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10.3 可供执行的工程预算、费用定额和政策性文件:</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10.3.1《建设工程工程量清单计价规范》（GB50500-2013）、2014年《江苏省</w:t>
      </w:r>
      <w:r>
        <w:rPr>
          <w:rFonts w:ascii="宋体" w:hAnsi="宋体" w:cs="宋体" w:hint="eastAsia"/>
          <w:color w:val="auto"/>
          <w:sz w:val="21"/>
          <w:szCs w:val="21"/>
          <w:highlight w:val="none"/>
          <w:lang w:val="en-US" w:eastAsia="zh-CN"/>
        </w:rPr>
        <w:t xml:space="preserve">市政</w:t>
      </w:r>
      <w:r>
        <w:rPr>
          <w:rFonts w:ascii="宋体" w:eastAsia="宋体" w:hAnsi="宋体" w:cs="宋体" w:hint="eastAsia"/>
          <w:color w:val="auto"/>
          <w:sz w:val="21"/>
          <w:szCs w:val="21"/>
          <w:highlight w:val="none"/>
        </w:rPr>
        <w:t xml:space="preserve">工程计价定额》、2014年《江苏省建设工程费用定额》、2014年《江苏省市政工程计价定额》以及相应补充规定和淮安市有关规定。</w:t>
      </w:r>
    </w:p>
    <w:p>
      <w:pPr>
        <w:keepNext w:val="0"/>
        <w:keepLines w:val="0"/>
        <w:pageBreakBefore w:val="0"/>
        <w:widowControl w:val="0"/>
        <w:spacing w:line="288" w:lineRule="auto"/>
        <w:ind w:firstLine="403"/>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10.3.2《江苏省住房城乡建设厅关于建筑业实施营改增后江苏省建设工程计价依据调整的通知》苏建价[2016]154号文件及相关附件。</w:t>
      </w:r>
    </w:p>
    <w:p>
      <w:pPr>
        <w:keepNext w:val="0"/>
        <w:keepLines w:val="0"/>
        <w:pageBreakBefore w:val="0"/>
        <w:widowControl w:val="0"/>
        <w:spacing w:line="288" w:lineRule="auto"/>
        <w:ind w:firstLine="403"/>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10.3.3 现行法律法规规定的文件；</w:t>
      </w:r>
    </w:p>
    <w:p>
      <w:pPr>
        <w:keepNext w:val="0"/>
        <w:keepLines w:val="0"/>
        <w:pageBreakBefore w:val="0"/>
        <w:widowControl w:val="0"/>
        <w:spacing w:line="288" w:lineRule="auto"/>
        <w:ind w:firstLine="403"/>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10.3.4 市造价处定期公布的市场材料参考价。</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主材按采购人提供的品牌、规格、型号自主报价（暂定价除外）。</w:t>
      </w:r>
    </w:p>
    <w:p>
      <w:pPr>
        <w:keepNext w:val="0"/>
        <w:keepLines w:val="0"/>
        <w:pageBreakBefore w:val="0"/>
        <w:widowControl w:val="0"/>
        <w:tabs>
          <w:tab w:val="left" w:pos="993"/>
          <w:tab w:val="left" w:pos="1134"/>
        </w:tabs>
        <w:spacing w:line="288" w:lineRule="auto"/>
        <w:ind w:firstLine="403"/>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 供应商不得将下列不可竞争费用降低造价标准计取，否则作无效响应文件处理：</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10.4.1 现场安全文明施工措施费基本费率；</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10.4.2 社会保障费率；</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10.4.3 省级以上财政、税收、物价等部门批准的税金和行政性规费；</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10.4.4 工程量清单中的暂列金额；</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10.4.5 其它按照法律法规规定不可竞争的费用。</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10.5 报价编制要求</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10.5.2 合同工期执行磋商文件要求，成交供应商必须在约定的工期内完成所有工程的施工。</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10.5.3 施工措施费用供应商根据施工组织设计，在报价时自行考虑。</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10.5.4供应商的磋商报价要充分考虑各种材料的和施工过程中（试块、试件、成品、环境）的检测试验费用。</w:t>
      </w:r>
    </w:p>
    <w:p>
      <w:pPr>
        <w:keepNext w:val="0"/>
        <w:keepLines w:val="0"/>
        <w:pageBreakBefore w:val="0"/>
        <w:widowControl w:val="0"/>
        <w:spacing w:line="288" w:lineRule="auto"/>
        <w:ind w:firstLine="426"/>
        <w:rPr>
          <w:rFonts w:ascii="宋体" w:eastAsia="宋体" w:hAnsi="宋体" w:cs="宋体" w:hint="eastAsia"/>
          <w:bCs/>
          <w:color w:val="auto"/>
          <w:sz w:val="21"/>
          <w:szCs w:val="21"/>
          <w:highlight w:val="none"/>
        </w:rPr>
      </w:pPr>
      <w:r>
        <w:rPr>
          <w:rFonts w:ascii="宋体" w:eastAsia="宋体" w:hAnsi="宋体" w:cs="宋体" w:hint="eastAsia"/>
          <w:b/>
          <w:bCs/>
          <w:color w:val="auto"/>
          <w:sz w:val="21"/>
          <w:szCs w:val="21"/>
          <w:highlight w:val="none"/>
        </w:rPr>
        <w:t xml:space="preserve">10.6本次项目控制价为：人民币</w:t>
      </w:r>
      <w:r>
        <w:rPr>
          <w:rFonts w:ascii="宋体" w:eastAsia="宋体" w:hAnsi="宋体" w:cs="宋体" w:hint="eastAsia"/>
          <w:b/>
          <w:bCs/>
          <w:color w:val="auto"/>
          <w:sz w:val="21"/>
          <w:szCs w:val="21"/>
          <w:highlight w:val="none"/>
          <w:lang w:eastAsia="zh-CN"/>
        </w:rPr>
        <w:t xml:space="preserve">1673824.60元</w:t>
      </w:r>
      <w:r>
        <w:rPr>
          <w:rFonts w:ascii="宋体" w:eastAsia="宋体" w:hAnsi="宋体" w:cs="宋体" w:hint="eastAsia"/>
          <w:b/>
          <w:bCs/>
          <w:color w:val="auto"/>
          <w:sz w:val="21"/>
          <w:szCs w:val="21"/>
          <w:highlight w:val="none"/>
        </w:rPr>
        <w:t xml:space="preserve">，即供应商的磋商总报价不得高于磋商文件规定的招标控制价，否则作无效响应文件处理。</w:t>
      </w:r>
    </w:p>
    <w:p>
      <w:pPr>
        <w:keepNext w:val="0"/>
        <w:keepLines w:val="0"/>
        <w:pageBreakBefore w:val="0"/>
        <w:widowControl w:val="0"/>
        <w:spacing w:line="288" w:lineRule="auto"/>
        <w:ind w:firstLine="424"/>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10.7</w:t>
      </w:r>
      <w:r>
        <w:rPr>
          <w:rFonts w:ascii="宋体" w:eastAsia="宋体" w:hAnsi="宋体" w:cs="宋体" w:hint="eastAsia"/>
          <w:color w:val="auto"/>
          <w:sz w:val="21"/>
          <w:szCs w:val="21"/>
          <w:highlight w:val="none"/>
        </w:rPr>
        <w:t xml:space="preserve">本次项目报价均须以人民币为货币单位。</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11.服务承诺</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11.1供应商的服务承诺不能低于磋商文件中对于服务的要求。</w:t>
      </w:r>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12.磋商保证金</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本项目不收取磋商保证金。</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13.磋商有效期</w:t>
      </w:r>
    </w:p>
    <w:p>
      <w:pPr>
        <w:keepNext w:val="0"/>
        <w:keepLines w:val="0"/>
        <w:pageBreakBefore w:val="0"/>
        <w:widowControl w:val="0"/>
        <w:spacing w:line="288" w:lineRule="auto"/>
        <w:ind w:firstLine="540"/>
        <w:rPr>
          <w:rFonts w:ascii="宋体" w:eastAsia="宋体" w:hAnsi="宋体" w:cs="宋体" w:hint="eastAsia"/>
          <w:b/>
          <w:bCs/>
          <w:color w:val="auto"/>
          <w:sz w:val="21"/>
          <w:szCs w:val="21"/>
          <w:highlight w:val="none"/>
        </w:rPr>
      </w:pPr>
      <w:r>
        <w:rPr>
          <w:rFonts w:ascii="宋体" w:eastAsia="宋体" w:hAnsi="宋体" w:cs="宋体" w:hint="eastAsia"/>
          <w:color w:val="auto"/>
          <w:sz w:val="21"/>
          <w:szCs w:val="21"/>
          <w:highlight w:val="none"/>
        </w:rPr>
        <w:t xml:space="preserve">13.1磋商有效期为从磋商之日起计算的</w:t>
      </w:r>
      <w:r>
        <w:rPr>
          <w:rFonts w:ascii="宋体" w:eastAsia="宋体" w:hAnsi="宋体" w:cs="宋体" w:hint="eastAsia"/>
          <w:bCs/>
          <w:color w:val="auto"/>
          <w:sz w:val="21"/>
          <w:szCs w:val="21"/>
          <w:highlight w:val="none"/>
        </w:rPr>
        <w:t xml:space="preserve">九十天</w:t>
      </w:r>
      <w:r>
        <w:rPr>
          <w:rFonts w:ascii="宋体" w:eastAsia="宋体" w:hAnsi="宋体" w:cs="宋体" w:hint="eastAsia"/>
          <w:color w:val="auto"/>
          <w:sz w:val="21"/>
          <w:szCs w:val="21"/>
          <w:highlight w:val="none"/>
        </w:rPr>
        <w:t xml:space="preserve">。磋商有效期比规定短的将被视为</w:t>
      </w:r>
      <w:r>
        <w:rPr>
          <w:rFonts w:ascii="宋体" w:eastAsia="宋体" w:hAnsi="宋体" w:cs="宋体" w:hint="eastAsia"/>
          <w:color w:val="auto"/>
          <w:sz w:val="21"/>
          <w:szCs w:val="21"/>
          <w:highlight w:val="none"/>
          <w:lang w:val="zh-CN"/>
        </w:rPr>
        <w:t xml:space="preserve">非响应磋商而予以拒绝。</w:t>
      </w:r>
    </w:p>
    <w:p>
      <w:pPr>
        <w:keepNext w:val="0"/>
        <w:keepLines w:val="0"/>
        <w:pageBreakBefore w:val="0"/>
        <w:widowControl w:val="0"/>
        <w:spacing w:line="288" w:lineRule="auto"/>
        <w:ind w:firstLine="540"/>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13.2</w:t>
      </w:r>
      <w:r>
        <w:rPr>
          <w:rFonts w:ascii="宋体" w:eastAsia="宋体" w:hAnsi="宋体" w:cs="宋体" w:hint="eastAsia"/>
          <w:color w:val="auto"/>
          <w:sz w:val="21"/>
          <w:szCs w:val="21"/>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14.响应文件的签署</w:t>
      </w:r>
    </w:p>
    <w:p>
      <w:pPr>
        <w:keepNext w:val="0"/>
        <w:keepLines w:val="0"/>
        <w:pageBreakBefore w:val="0"/>
        <w:widowControl w:val="0"/>
        <w:spacing w:line="288" w:lineRule="auto"/>
        <w:ind w:firstLine="54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14.1响应文件仅需要在供应商进行签章的位置应进行电子签章。电子响应文件不得涂改、行间插字或删除，如果出现上述情况应重新编制。</w:t>
      </w:r>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四、响应文件上传</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15.响应文件的上传</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15.1供应商应当按照《操作手册》的规定，在磋商响应文件接收截止时间前制作并上传电子响应文件。</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lang w:val="zh-CN"/>
        </w:rPr>
      </w:pPr>
      <w:r>
        <w:rPr>
          <w:rFonts w:ascii="宋体" w:eastAsia="宋体" w:hAnsi="宋体" w:cs="宋体" w:hint="eastAsia"/>
          <w:color w:val="auto"/>
          <w:sz w:val="21"/>
          <w:szCs w:val="21"/>
          <w:highlight w:val="none"/>
        </w:rPr>
        <w:t xml:space="preserve">15.2供应商上传的电子响应文件内容不清楚或不清晰的（含扫描件），造成无法评审或部分影响评审的，</w:t>
      </w:r>
      <w:r>
        <w:rPr>
          <w:rFonts w:ascii="宋体" w:eastAsia="宋体" w:hAnsi="宋体" w:cs="宋体" w:hint="eastAsia"/>
          <w:color w:val="auto"/>
          <w:sz w:val="21"/>
          <w:szCs w:val="21"/>
          <w:highlight w:val="none"/>
          <w:lang w:val="zh-CN"/>
        </w:rPr>
        <w:t xml:space="preserve">责任由</w:t>
      </w:r>
      <w:r>
        <w:rPr>
          <w:rFonts w:ascii="宋体" w:eastAsia="宋体" w:hAnsi="宋体" w:cs="宋体" w:hint="eastAsia"/>
          <w:color w:val="auto"/>
          <w:sz w:val="21"/>
          <w:szCs w:val="21"/>
          <w:highlight w:val="none"/>
        </w:rPr>
        <w:t xml:space="preserve">供应商</w:t>
      </w:r>
      <w:r>
        <w:rPr>
          <w:rFonts w:ascii="宋体" w:eastAsia="宋体" w:hAnsi="宋体" w:cs="宋体" w:hint="eastAsia"/>
          <w:color w:val="auto"/>
          <w:sz w:val="21"/>
          <w:szCs w:val="21"/>
          <w:highlight w:val="none"/>
          <w:lang w:val="zh-CN"/>
        </w:rPr>
        <w:t xml:space="preserve">自负。</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15.3供应商上传电子响应文件的时间不得迟于磋商邀请中规定的截止时间。</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15.4采购人可以按第7条规定，通过修改磋商文件有权酌情延长响应文件接收截止时间。在此情况下，供应商的所有权利和义务以及供应商受制约的截止日期均应以延长后新的截止日期为准。</w:t>
      </w:r>
    </w:p>
    <w:p>
      <w:pPr>
        <w:keepNext w:val="0"/>
        <w:keepLines w:val="0"/>
        <w:pageBreakBefore w:val="0"/>
        <w:widowControl w:val="0"/>
        <w:spacing w:line="288"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15.5成交供应商在领取成交通知书之前，必须提供两份与电子响应文件一致的纸质打印响应文件（胶装打印完整）。</w:t>
      </w:r>
    </w:p>
    <w:p>
      <w:pPr>
        <w:keepNext w:val="0"/>
        <w:keepLines w:val="0"/>
        <w:pageBreakBefore w:val="0"/>
        <w:widowControl w:val="0"/>
        <w:spacing w:line="288"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16.响应文件被拒绝接收的情形</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16.1 在磋商文件规定的提交响应文件截止时间后上传的电子响应文件。</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17.响应文件的修改和撤回</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17.1供应商在上传电子响应文件后可以对其修改或撤回，但这种修改和撤回，必须在规定的磋商时间之前。</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17.2对于电子响应文件的修改，供应商可在磋商时间前</w:t>
      </w:r>
      <w:r>
        <w:rPr>
          <w:rFonts w:ascii="宋体" w:eastAsia="宋体" w:hAnsi="宋体" w:cs="宋体" w:hint="eastAsia"/>
          <w:color w:val="auto"/>
          <w:sz w:val="21"/>
          <w:szCs w:val="21"/>
          <w:highlight w:val="none"/>
          <w:lang w:eastAsia="zh-CN"/>
        </w:rPr>
        <w:t xml:space="preserve">登</w:t>
      </w:r>
      <w:r>
        <w:rPr>
          <w:rFonts w:ascii="宋体" w:eastAsia="宋体" w:hAnsi="宋体" w:cs="宋体" w:hint="eastAsia"/>
          <w:color w:val="auto"/>
          <w:sz w:val="21"/>
          <w:szCs w:val="21"/>
          <w:highlight w:val="none"/>
          <w:lang w:val="en-US" w:eastAsia="zh-CN"/>
        </w:rPr>
        <w:t xml:space="preserve">录</w:t>
      </w:r>
      <w:r>
        <w:rPr>
          <w:rFonts w:ascii="宋体" w:eastAsia="宋体" w:hAnsi="宋体" w:cs="宋体" w:hint="eastAsia"/>
          <w:color w:val="auto"/>
          <w:sz w:val="21"/>
          <w:szCs w:val="21"/>
          <w:highlight w:val="none"/>
        </w:rPr>
        <w:t xml:space="preserve">苏采云政府采购一体化平台撤回电子响应文件，并上传新的电子响应文件。电子响应文件以最终完成上传的为准。</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17.3供应商不得在磋商时间以后修改电子响应文件。</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17.4供应商不得在提交电子响应文件截止时间起至磋商有效期满前撤回电子响应文件。</w:t>
      </w:r>
    </w:p>
    <w:p>
      <w:pPr>
        <w:keepNext w:val="0"/>
        <w:keepLines w:val="0"/>
        <w:pageBreakBefore w:val="0"/>
        <w:widowControl w:val="0"/>
        <w:spacing w:line="288" w:lineRule="auto"/>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五、磋商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18.磋商组织</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18.2代理机构将在采购公告中规定的时间和地点组织磋商开始仪式。供应商应当按照《操作手册》规定，参加磋商活动。</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18.2.1供应商在磋商过程中涉及到的响应文件解密等工作，应按照《操作手册》规定执行。</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18.3磋商工作由采购人及代理公司负责组织，具体磋商事务由依法组建的磋商小组负责。</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18.3.1磋商小组由采购人代表和评审专家共3人及以上单数组成。</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18.3.2磋商小组应以科学、公正的态度参加评审工作并推荐成交候选人。磋商小组在评审过程中不受任何干扰，独立、负责地提出评审意见，并对自己的评审意见承担责任。</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18.3.3磋商小组应对供应商的商业、技术秘密予以保密。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18.4苏采云全流程不见面交易采购说明</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18.4.1由于“苏采云政府采购一体化平台”自身原因导致项目不能正常进行的，项目作废标处理。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18.4.2本项目中的时间均以国家授时中心发布的时间为准。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18.4.3本项目的下载文件、上传响应文件均通过互联网操作，请供应商充分考虑网络拥堵及平台操作所需时间等因素。因供应商自身原因导致操作失败的，其责任自负。</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18.4.6电子响应文件开启时间前，各供应商的授权委托人或法人代表提前进入江苏省政府采购一体化不见面开标（采购）大厅，根据操作手册验证CA与签章是否正常，以免影响响应文件的解密。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18.4.7电子响应文件开启后，代理机构将在江苏省政府采购一体化不见面开标（采购）大厅内公布供应商名单，然后通过大厅操作区发出响应文</w:t>
      </w:r>
      <w:r>
        <w:rPr>
          <w:rFonts w:ascii="宋体" w:eastAsia="宋体" w:hAnsi="宋体" w:cs="宋体" w:hint="eastAsia"/>
          <w:bCs/>
          <w:color w:val="auto"/>
          <w:sz w:val="21"/>
          <w:szCs w:val="21"/>
          <w:highlight w:val="none"/>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18.4.9为顺利实现本项目不见面交易活动组织的远程交互，建议供应商配置相关软硬件设施，具体包括:</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18.4.9.1谷歌浏览器或360安全浏览器，同时必须安装“苏采云政府采购一体化平台”客户端所要求的驱动。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18.4.9.2硬件设施:高配置电脑（内存4G以上，建议屏幕分辨率用1024*768像素或以上，不要使用上网本）、高速稳定的网络、CA锁、音视频设备［话筒、耳麦、高清摄像头（支持分辨率720P及以上）、音响］等。</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lang w:val="en-US" w:eastAsia="zh-CN"/>
        </w:rPr>
      </w:pPr>
      <w:r>
        <w:rPr>
          <w:rFonts w:ascii="宋体" w:eastAsia="宋体" w:hAnsi="宋体" w:cs="宋体" w:hint="eastAsia"/>
          <w:bCs/>
          <w:color w:val="auto"/>
          <w:sz w:val="21"/>
          <w:szCs w:val="21"/>
          <w:highlight w:val="none"/>
          <w:lang w:val="en-US" w:eastAsia="zh-CN"/>
        </w:rPr>
        <w:t xml:space="preserve">18.4.10供应商在制作上传电子响应文件、观看活动组织、响应文件解密等技术方面遇到问题时，请与软件公司技术人员咨询，联系电话: 0519-86722802，18019691765。</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19.磋商程序</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19.1 响应文件的资格审查</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19.1.1 磋商小组依法对供应商的资格进行审查。</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19.1.1.1资格性审查:依据法律法规和磋商文件的规定，对响应文件中的资格证明文件进行审查，以确定供应商是否具备磋商资格。</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19.1.1.3 响应文件有下列情况之一的，在资格性审查时按照无效响应文件处理: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（1）不具备磋商文件中规定的资格要求的；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（2）供应商被“信用中国”网站、“中国政府采购网”列入失信被执行人、重大税收违法案件当事人名单、政府采购严重违法失信行为记录名单。</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19.2 响应文件的符合性审查</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19.2.1磋商小组对响应文件的有效性、完整性和对磋商文件的响应程度进行审查，以确定是否对磋商文件的实质性要求作出响应。</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19.2.3如果响应文件没有实质上响应磋商文件的要求，磋商小组将予以拒绝。</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19.2.4磋商小组将对确定为实质性响应的响应文件进行进一步初审，看其是否有计算上或累加上的算术错误，修正原则如下:</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（1）大写金额和小写金额不一致的，以大写金额为准.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（2）总价金额与按单价汇总金额不一致的，以单价金额计算结果为准。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（3）单价金额小数点有明显错位的，以总价为准并修改单价。</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同时出现两种以上错误的，按照前款规定的顺序修正。</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磋商小组将按上述修正错误的方法调整响应文件中的磋商报价，调整后的价格应对供应商具有约束力。如果供应商不同意修正的，其响应文件无效。</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19.3磋商小组通过开标大厅与单一供应商以视频方式分别进行磋商，并给予所有参加磋商的供应商平等的磋商机会。磋商可以是多轮次进行。</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19.3.1在视频单一磋商时，磋商小组首先会核实授权委托人或法人代表的身份信息，如身份信息不符视同供应商放弃磋商的权利。</w:t>
      </w:r>
    </w:p>
    <w:p>
      <w:pPr>
        <w:keepNext w:val="0"/>
        <w:keepLines w:val="0"/>
        <w:pageBreakBefore w:val="0"/>
        <w:widowControl w:val="0"/>
        <w:spacing w:line="288" w:lineRule="auto"/>
        <w:ind w:firstLine="422"/>
        <w:rPr>
          <w:rFonts w:ascii="宋体" w:eastAsia="宋体" w:hAnsi="宋体" w:cs="宋体" w:hint="eastAsia"/>
          <w:b/>
          <w:color w:val="auto"/>
          <w:sz w:val="21"/>
          <w:szCs w:val="21"/>
          <w:highlight w:val="none"/>
        </w:rPr>
      </w:pPr>
      <w:r>
        <w:rPr>
          <w:rFonts w:ascii="宋体" w:eastAsia="宋体" w:hAnsi="宋体" w:cs="宋体" w:hint="eastAsia"/>
          <w:b/>
          <w:color w:val="auto"/>
          <w:sz w:val="21"/>
          <w:szCs w:val="21"/>
          <w:highlight w:val="none"/>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19.5磋商中，磋商的任何一方不得透露与磋商有关的其他参加供应商的技术资料、价格和其他信息。如果参加供应商试图向采购人、</w:t>
      </w:r>
      <w:r>
        <w:rPr>
          <w:rFonts w:ascii="宋体" w:eastAsia="宋体" w:hAnsi="宋体" w:cs="宋体" w:hint="eastAsia"/>
          <w:color w:val="auto"/>
          <w:sz w:val="21"/>
          <w:szCs w:val="21"/>
          <w:highlight w:val="none"/>
        </w:rPr>
        <w:t xml:space="preserve">采购代理机构</w:t>
      </w:r>
      <w:r>
        <w:rPr>
          <w:rFonts w:ascii="宋体" w:eastAsia="宋体" w:hAnsi="宋体" w:cs="宋体" w:hint="eastAsia"/>
          <w:bCs/>
          <w:color w:val="auto"/>
          <w:sz w:val="21"/>
          <w:szCs w:val="21"/>
          <w:highlight w:val="none"/>
        </w:rPr>
        <w:t xml:space="preserve">和磋商小组人员施加任何影响，都将会导致其磋商被拒绝。</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19.6 响应文件的澄清</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19.6.1在磋商期间，为有助于对响</w:t>
      </w:r>
      <w:r>
        <w:rPr>
          <w:rFonts w:ascii="宋体" w:eastAsia="宋体" w:hAnsi="宋体" w:cs="宋体" w:hint="eastAsia"/>
          <w:bCs/>
          <w:color w:val="auto"/>
          <w:sz w:val="21"/>
          <w:szCs w:val="21"/>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19.6.2接到磋商小组澄清要求的供应商如未按第19.6.1的规定作出澄清的，将视为放弃该澄清权利。</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19.7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19.7.1如果供应商未在规定时间内进行报价或因其自身网络问题无法及时提交报价的，系统将默认其报价为电子响应文件提交的初始报价。</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20.出现下列情形之一的，响应文件按照无效处理: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（1）未按照磋商文件规定要求进行电子签字、电子签章的；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（2）已上传电子响应文件但因供应商原因未在规定时间前进行系统签到的；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（3）供应商在磋商时未在规定时间内进行承诺并电子签章的；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（5）经磋商，供应商仍不承诺满足磋商文件要求的；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（6）不符合法律、法规和磋商文件中规定的其他实质性要求的；</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（7）经查实提供虚假材料谋取成交的；</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（8）磋商报价超出磋商文件规定的预算金额或者最高限价的；</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bCs/>
          <w:color w:val="auto"/>
          <w:sz w:val="21"/>
          <w:szCs w:val="21"/>
          <w:highlight w:val="none"/>
        </w:rPr>
        <w:t xml:space="preserve">（9）与采购人提供的工程量清单中的项目编码、项目名称、项目特征、计量单位、工程量不一致的。</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21.出现下列情形之一的，磋商终止:</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（1）因情况变化，不再符合规定的竞争性磋商采购方式适用情形的；</w:t>
      </w:r>
    </w:p>
    <w:p>
      <w:pPr>
        <w:keepNext w:val="0"/>
        <w:keepLines w:val="0"/>
        <w:pageBreakBefore w:val="0"/>
        <w:widowControl w:val="0"/>
        <w:spacing w:line="288" w:lineRule="auto"/>
        <w:ind w:firstLine="420"/>
        <w:rPr>
          <w:rFonts w:ascii="Segoe UI" w:eastAsia="宋体" w:hAnsi="Segoe UI" w:cs="Segoe UI" w:hint="eastAsia"/>
          <w:color w:val="auto"/>
          <w:sz w:val="21"/>
          <w:szCs w:val="21"/>
          <w:highlight w:val="none"/>
          <w:lang w:eastAsia="zh-CN"/>
        </w:rPr>
      </w:pPr>
      <w:r>
        <w:rPr>
          <w:rFonts w:ascii="宋体" w:eastAsia="宋体" w:hAnsi="宋体" w:cs="宋体" w:hint="eastAsia"/>
          <w:bCs/>
          <w:color w:val="auto"/>
          <w:sz w:val="21"/>
          <w:szCs w:val="21"/>
          <w:highlight w:val="none"/>
        </w:rPr>
        <w:t xml:space="preserve">（2）</w:t>
      </w:r>
      <w:r>
        <w:rPr>
          <w:rFonts w:ascii="Segoe UI" w:eastAsia="Segoe UI" w:hAnsi="Segoe UI" w:cs="Segoe UI"/>
          <w:color w:val="auto"/>
          <w:sz w:val="21"/>
          <w:szCs w:val="21"/>
          <w:highlight w:val="none"/>
        </w:rPr>
        <w:t xml:space="preserve">出现影响采购公正的违法、违规行为的</w:t>
      </w:r>
      <w:r>
        <w:rPr>
          <w:rFonts w:ascii="Segoe UI" w:eastAsia="宋体" w:hAnsi="Segoe UI" w:cs="Segoe UI" w:hint="eastAsia"/>
          <w:color w:val="auto"/>
          <w:sz w:val="21"/>
          <w:szCs w:val="21"/>
          <w:highlight w:val="none"/>
          <w:lang w:eastAsia="zh-CN"/>
        </w:rPr>
        <w:t xml:space="preserve">；</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（4）磋商终止后，采购人应当将磋商终止的理由通知所有供应商。在特殊情况下，经采购人申请后，可以与两家或一家供应商进行磋商。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22.推荐成交候选供应商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22.1 磋商小组将对通过资格性审查和符合性审查的响应文件进行评价和比较。</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22.2 磋商小组按磋商文件第三章中公布的评标标准对每份合格响应文件进行评审，推荐3名成交候选供应商。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22.3 磋商小组发现磋商文件存在歧义、重大缺陷导致评审工作无法进行，或者磋商文件内容存在违反国家有关规定的，评审工作停止，采购人修改磋商文件后重新组织采购活动。</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23.磋商过程保密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23.1 在宣布成交结果前，凡属于审查、澄清、磋商、评审响应文件和确定成交等相关信息，均不得泄露给任何供应商或与评审工作无关的人员。</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23.2 供应商不得探听上述信息，不得以任何行为影响磋商过程，否则将被取消成交资格。</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23.3 磋商小组名单在磋商前确定，并在磋商结果确定前保密。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六、确定成交及签订合同</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24.确定成交供应商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24.1采购人将从磋商小组推荐的符合采购需求的成交候选供应商中按排名先后确定成交供应商。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24.2 成交结果将在淮安市政府采购网进行公告。</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24.3成交候选供应商在合同签订前，如经查实从参加该成交项目之日起计算所参加的政府采购活动前三年内，在经营活动中有行贿犯罪记录的，采购人将取消其成交候选供应商资格。</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25.成交通知书</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25.1成交结果公示结束且在无疑义情况下，</w:t>
      </w:r>
      <w:r>
        <w:rPr>
          <w:rFonts w:ascii="宋体" w:eastAsia="宋体" w:hAnsi="宋体" w:cs="宋体" w:hint="eastAsia"/>
          <w:color w:val="auto"/>
          <w:sz w:val="21"/>
          <w:szCs w:val="21"/>
          <w:highlight w:val="none"/>
        </w:rPr>
        <w:t xml:space="preserve">采购代理机构</w:t>
      </w:r>
      <w:r>
        <w:rPr>
          <w:rFonts w:ascii="宋体" w:eastAsia="宋体" w:hAnsi="宋体" w:cs="宋体" w:hint="eastAsia"/>
          <w:bCs/>
          <w:color w:val="auto"/>
          <w:sz w:val="21"/>
          <w:szCs w:val="21"/>
          <w:highlight w:val="none"/>
        </w:rPr>
        <w:t xml:space="preserve">将向成交供应商发布成交通知书。</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25.2成交供应商在收到领取成交通知书通知后</w:t>
      </w:r>
      <w:r>
        <w:rPr>
          <w:rFonts w:ascii="宋体" w:eastAsia="宋体" w:hAnsi="宋体" w:cs="宋体" w:hint="eastAsia"/>
          <w:bCs/>
          <w:color w:val="auto"/>
          <w:sz w:val="21"/>
          <w:szCs w:val="21"/>
          <w:highlight w:val="none"/>
          <w:lang w:eastAsia="zh-CN"/>
        </w:rPr>
        <w:t xml:space="preserve">十五日内向采购人提交履约保证金</w:t>
      </w:r>
      <w:r>
        <w:rPr>
          <w:rFonts w:ascii="宋体" w:eastAsia="宋体" w:hAnsi="宋体" w:cs="宋体" w:hint="eastAsia"/>
          <w:bCs/>
          <w:color w:val="auto"/>
          <w:sz w:val="21"/>
          <w:szCs w:val="21"/>
          <w:highlight w:val="none"/>
        </w:rPr>
        <w:t xml:space="preserve">。逾期未办理作自动放弃处理。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25.3 成交通知书将是合同的一个组成部分。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26.签订合同</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26.1采购人与成交供应商应在成交通知书发出之日起十五日内签订政府采购合同。磋商文件、成交供应商的响应文件及澄清文件等均为签订合同依据。</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26.2成交供应商自成交通知书发出之日起十五日内无正当理由不与采购人签订合同的，将按规定进行处理。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27.货物和服务的减少</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27.1采购结束后，采购人若由于各种客观原因，必须对采购项目所牵涉的货物和服务进行适当的减少时，在双方协商一致的前提下，可以按照磋商时的价格水平做相应的调减，并据此签订补充合同。</w:t>
      </w:r>
    </w:p>
    <w:p>
      <w:pPr>
        <w:keepNext w:val="0"/>
        <w:keepLines w:val="0"/>
        <w:pageBreakBefore w:val="0"/>
        <w:widowControl w:val="0"/>
        <w:spacing w:line="288" w:lineRule="auto"/>
        <w:rPr>
          <w:rFonts w:ascii="宋体" w:eastAsia="宋体" w:hAnsi="宋体" w:cs="宋体" w:hint="eastAsia"/>
          <w:b/>
          <w:bCs w:val="0"/>
          <w:color w:val="auto"/>
          <w:sz w:val="21"/>
          <w:szCs w:val="21"/>
          <w:highlight w:val="none"/>
          <w:lang w:eastAsia="zh-CN"/>
        </w:rPr>
      </w:pPr>
      <w:r>
        <w:rPr>
          <w:rFonts w:ascii="宋体" w:eastAsia="宋体" w:hAnsi="宋体" w:cs="宋体" w:hint="eastAsia"/>
          <w:b/>
          <w:bCs w:val="0"/>
          <w:color w:val="auto"/>
          <w:sz w:val="21"/>
          <w:szCs w:val="21"/>
          <w:highlight w:val="none"/>
        </w:rPr>
        <w:t xml:space="preserve">28.履约保证金</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本项目</w:t>
      </w:r>
      <w:r>
        <w:rPr>
          <w:rFonts w:ascii="宋体" w:hAnsi="宋体" w:cs="宋体" w:hint="eastAsia"/>
          <w:bCs/>
          <w:color w:val="auto"/>
          <w:sz w:val="21"/>
          <w:szCs w:val="21"/>
          <w:highlight w:val="none"/>
          <w:lang w:val="en-US" w:eastAsia="zh-CN"/>
        </w:rPr>
        <w:t xml:space="preserve">无需缴纳履约</w:t>
      </w:r>
      <w:r>
        <w:rPr>
          <w:rFonts w:ascii="宋体" w:eastAsia="宋体" w:hAnsi="宋体" w:cs="宋体" w:hint="eastAsia"/>
          <w:bCs/>
          <w:color w:val="auto"/>
          <w:sz w:val="21"/>
          <w:szCs w:val="21"/>
          <w:highlight w:val="none"/>
        </w:rPr>
        <w:t xml:space="preserve">保证金。</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七、质疑处理</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29.质疑处理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29.2上述应知其权益受到损害之日是指:</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（1）对磋商文件提出质疑的，为采购文件公告期限届满之日起计算；</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（2）对采购过程提出质疑的，为各采购程序环节结束之日起计算；</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（3）对成交结果提出质疑的，为成交结果公告期限届满之日起计算。</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29.3质疑供应商是指直接参加本次磋商活动的供应商，未参加磋商活动的供应商或在磋商活动中自身权益未受到损害的供应商所提出的质疑不予受理。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29.4 质疑供应商在法定质疑期内应当一次性提出针对同一采购环节提出质疑。</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29.6质疑函应当包括以下主要内容，并附上相关证明材料。否则，采购人或采购代理机构不予受理。</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（1）质疑磋商供应商的名称、地址、邮编、联系人及联系电话；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（2）质疑项目的名称、编号；</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（3）具体、明确的质疑事项和与质疑事实相关的请求；</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（4）事实依据；</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（5）必要的法律依据；</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（6）提起质疑的日期；</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（7）质疑函应当署名:应当由法定代表人签字并加盖单位公章。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29.8对于内容、格式符合规定的质疑函，采购人或采购代理机构将在七个工作日内以书面形式作出答复。</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29.9供应商提出书面质疑必须有理、有据，不得恶意质疑或提交虚假质疑。否则，一经查实，采购人有权依据政府采购的有关规定，报请政府采购监管部门对该供应商列入失信行为或不良行为记录名单，进行相应的行政处罚。 </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八、政府采购政策功能落实</w:t>
      </w:r>
    </w:p>
    <w:p>
      <w:pPr>
        <w:keepNext w:val="0"/>
        <w:keepLines w:val="0"/>
        <w:pageBreakBefore w:val="0"/>
        <w:widowControl w:val="0"/>
        <w:spacing w:line="288" w:lineRule="auto"/>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30.政策功能落实</w:t>
      </w:r>
    </w:p>
    <w:p>
      <w:pPr>
        <w:keepNext w:val="0"/>
        <w:keepLines w:val="0"/>
        <w:pageBreakBefore w:val="0"/>
        <w:widowControl w:val="0"/>
        <w:spacing w:line="288" w:lineRule="auto"/>
        <w:ind w:firstLine="420"/>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30.1 小微型企业价格扣除</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30.1.1</w:t>
      </w:r>
      <w:r>
        <w:rPr>
          <w:rFonts w:ascii="宋体" w:eastAsia="宋体" w:hAnsi="宋体" w:cs="宋体" w:hint="eastAsia"/>
          <w:color w:val="auto"/>
          <w:sz w:val="21"/>
          <w:szCs w:val="21"/>
          <w:highlight w:val="none"/>
          <w:lang w:val="zh-CN"/>
        </w:rPr>
        <w:t xml:space="preserve">对于未预留份额专门面向中小企业采购的采购项目，供应商提供的货物、</w:t>
      </w:r>
      <w:r>
        <w:rPr>
          <w:rFonts w:ascii="宋体" w:eastAsia="宋体" w:hAnsi="宋体" w:cs="宋体" w:hint="eastAsia"/>
          <w:color w:val="auto"/>
          <w:sz w:val="21"/>
          <w:szCs w:val="21"/>
          <w:highlight w:val="none"/>
        </w:rPr>
        <w:t xml:space="preserve">工程</w:t>
      </w:r>
      <w:r>
        <w:rPr>
          <w:rFonts w:ascii="宋体" w:eastAsia="宋体" w:hAnsi="宋体" w:cs="宋体" w:hint="eastAsia"/>
          <w:color w:val="auto"/>
          <w:sz w:val="21"/>
          <w:szCs w:val="21"/>
          <w:highlight w:val="none"/>
          <w:lang w:val="zh-CN"/>
        </w:rPr>
        <w:t xml:space="preserve">或者服务</w:t>
      </w:r>
      <w:r>
        <w:rPr>
          <w:rFonts w:ascii="宋体" w:eastAsia="宋体" w:hAnsi="宋体" w:cs="宋体" w:hint="eastAsia"/>
          <w:color w:val="auto"/>
          <w:sz w:val="21"/>
          <w:szCs w:val="21"/>
          <w:highlight w:val="none"/>
        </w:rPr>
        <w:t xml:space="preserve">符合下列情形的，享受本办法规定的中小企业扶持政策给予小微企业报价</w:t>
      </w:r>
      <w:r>
        <w:rPr>
          <w:rFonts w:ascii="宋体" w:eastAsia="宋体" w:hAnsi="宋体" w:cs="宋体" w:hint="eastAsia"/>
          <w:color w:val="auto"/>
          <w:sz w:val="21"/>
          <w:szCs w:val="21"/>
          <w:highlight w:val="none"/>
          <w:lang w:val="en-US" w:eastAsia="zh-CN"/>
        </w:rPr>
        <w:t xml:space="preserve">20</w:t>
      </w:r>
      <w:r>
        <w:rPr>
          <w:rFonts w:ascii="宋体" w:eastAsia="宋体" w:hAnsi="宋体" w:cs="宋体" w:hint="eastAsia"/>
          <w:color w:val="auto"/>
          <w:sz w:val="21"/>
          <w:szCs w:val="21"/>
          <w:highlight w:val="none"/>
        </w:rPr>
        <w:t xml:space="preserve">%的扣除，用扣除后的价格参与评审：</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（1）在货物采购项目中，货物由中小企业制造，即货物由中小企业生产且使用该中小企业商号或者注册商标；</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（2）在工程采购项目中，工程由中小企业承建，即工程施工单位为中小企业</w:t>
      </w:r>
      <w:r>
        <w:rPr>
          <w:rFonts w:ascii="宋体" w:eastAsia="宋体" w:hAnsi="宋体" w:cs="宋体" w:hint="eastAsia"/>
          <w:color w:val="auto"/>
          <w:sz w:val="21"/>
          <w:szCs w:val="21"/>
          <w:highlight w:val="none"/>
          <w:lang w:eastAsia="zh-CN"/>
        </w:rPr>
        <w:t xml:space="preserve">；</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（3）在服务采购项目中，服务由中小企业承接，即提供服务的人员为中小企业依照《中华人民共和国劳动合同法》订立劳动合同的从业人员</w:t>
      </w:r>
      <w:r>
        <w:rPr>
          <w:rFonts w:ascii="宋体" w:eastAsia="宋体" w:hAnsi="宋体" w:cs="宋体" w:hint="eastAsia"/>
          <w:color w:val="auto"/>
          <w:sz w:val="21"/>
          <w:szCs w:val="21"/>
          <w:highlight w:val="none"/>
          <w:lang w:eastAsia="zh-CN"/>
        </w:rPr>
        <w:t xml:space="preserve">；</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30.1.2在货物采购项目中，供应商提供的货物既有中小企业制造货物，也有大型企业制造货物的，不享受本办法规定的中小企业扶持政策。</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30.2 联合体及分包</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30.2.1以联合体形式参加政府采购活动，联合体各方均为中小企业的，联合体视同中小企业。其中，联合体各方均为小微企业的，联合体视同小微企业。</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30.2.2享受扶持政策获得政府采购合同的，小微企业不得将合同分包给大中型企业，中型企业不得将合同分包给大型企业。</w:t>
      </w:r>
    </w:p>
    <w:p>
      <w:pPr>
        <w:keepNext w:val="0"/>
        <w:keepLines w:val="0"/>
        <w:pageBreakBefore w:val="0"/>
        <w:widowControl w:val="0"/>
        <w:spacing w:line="288"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color w:val="auto"/>
          <w:sz w:val="21"/>
          <w:szCs w:val="21"/>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eastAsia="宋体" w:hAnsi="宋体" w:cs="宋体" w:hint="eastAsia"/>
          <w:bCs/>
          <w:color w:val="auto"/>
          <w:sz w:val="21"/>
          <w:szCs w:val="21"/>
          <w:highlight w:val="none"/>
        </w:rPr>
        <w:t xml:space="preserve">。</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30.3 小微型企业</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（1）供应商须按照磋商文件的要求提供相应的《企业声明函》，详见磋商文件第六章示范格式。</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（2）企业标准请参照《政府采购促进中小企业发展管理办法》（财库【2020】46号）文件规定自行填写。</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30.4 残疾人福利单位</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（1）残疾人福利单位需按照磋商文件的要求提供《残疾人福利性单位声明函》，详见磋商文件第六章示范格式。</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（2）残疾人福利单位标准请参照《关于促进残疾人就业政府采购政策的通知》（财库〔2017〕141号）。</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30.5 监狱和戒毒企业</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（1）监狱企业参加政府采购活动时，需提供由省级以上监狱管理局、戒毒管理局（含新疆生产建设兵团）出具的属于监狱企业的证明文件，（磋商文件中上传加盖出具单位公章的电子件）。</w:t>
      </w:r>
    </w:p>
    <w:p>
      <w:pPr>
        <w:keepNext w:val="0"/>
        <w:keepLines w:val="0"/>
        <w:pageBreakBefore w:val="0"/>
        <w:widowControl w:val="0"/>
        <w:spacing w:line="288"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（2）监狱企业标准请参照《关于政府采购支持监狱企业发展有关问题的通知》（财库[2014]68号）。</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hAnsi="宋体" w:cs="宋体" w:hint="eastAsia"/>
          <w:bCs/>
          <w:color w:val="auto"/>
          <w:sz w:val="21"/>
          <w:szCs w:val="21"/>
          <w:highlight w:val="none"/>
          <w:lang w:val="en-US" w:eastAsia="zh-CN"/>
        </w:rPr>
        <w:t xml:space="preserve">31</w:t>
      </w:r>
      <w:r>
        <w:rPr>
          <w:rFonts w:ascii="宋体" w:eastAsia="宋体" w:hAnsi="宋体" w:cs="宋体" w:hint="eastAsia"/>
          <w:bCs/>
          <w:color w:val="auto"/>
          <w:sz w:val="21"/>
          <w:szCs w:val="21"/>
          <w:highlight w:val="none"/>
        </w:rPr>
        <w:t xml:space="preserve">.节能、环保政策（本项目不涉及）</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1</w:t>
      </w:r>
      <w:r>
        <w:rPr>
          <w:rFonts w:ascii="宋体" w:eastAsia="宋体" w:hAnsi="宋体" w:cs="宋体" w:hint="eastAsia"/>
          <w:bCs/>
          <w:color w:val="auto"/>
          <w:sz w:val="21"/>
          <w:szCs w:val="21"/>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1</w:t>
      </w:r>
      <w:r>
        <w:rPr>
          <w:rFonts w:ascii="宋体" w:eastAsia="宋体" w:hAnsi="宋体" w:cs="宋体" w:hint="eastAsia"/>
          <w:bCs/>
          <w:color w:val="auto"/>
          <w:sz w:val="21"/>
          <w:szCs w:val="21"/>
          <w:highlight w:val="none"/>
        </w:rPr>
        <w:t xml:space="preserve">.2节能产品</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本项目/被列入“节能产品品目清单”的，实行（优先采购/强制采购）。</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1</w:t>
      </w:r>
      <w:r>
        <w:rPr>
          <w:rFonts w:ascii="宋体" w:eastAsia="宋体" w:hAnsi="宋体" w:cs="宋体" w:hint="eastAsia"/>
          <w:bCs/>
          <w:color w:val="auto"/>
          <w:sz w:val="21"/>
          <w:szCs w:val="21"/>
          <w:highlight w:val="none"/>
        </w:rPr>
        <w:t xml:space="preserve">.3环保产品</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本项目中 /被列入“环境标志产品品目清单”的，实行优先采购。</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1</w:t>
      </w:r>
      <w:r>
        <w:rPr>
          <w:rFonts w:ascii="宋体" w:eastAsia="宋体" w:hAnsi="宋体" w:cs="宋体" w:hint="eastAsia"/>
          <w:bCs/>
          <w:color w:val="auto"/>
          <w:sz w:val="21"/>
          <w:szCs w:val="21"/>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1</w:t>
      </w:r>
      <w:r>
        <w:rPr>
          <w:rFonts w:ascii="宋体" w:eastAsia="宋体" w:hAnsi="宋体" w:cs="宋体" w:hint="eastAsia"/>
          <w:bCs/>
          <w:color w:val="auto"/>
          <w:sz w:val="21"/>
          <w:szCs w:val="21"/>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2</w:t>
      </w:r>
      <w:r>
        <w:rPr>
          <w:rFonts w:ascii="宋体" w:eastAsia="宋体" w:hAnsi="宋体" w:cs="宋体" w:hint="eastAsia"/>
          <w:bCs/>
          <w:color w:val="auto"/>
          <w:sz w:val="21"/>
          <w:szCs w:val="21"/>
          <w:highlight w:val="none"/>
        </w:rPr>
        <w:t xml:space="preserve">．政府绿色采购</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根据《江苏省财政厅关于加强政府绿色采购有关事项的通知》（苏财购〔2023〕65号）的要求，落实政府绿色采购相关政策，具体如下：</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hAnsi="宋体" w:cs="宋体" w:hint="eastAsia"/>
          <w:bCs/>
          <w:color w:val="auto"/>
          <w:sz w:val="21"/>
          <w:szCs w:val="21"/>
          <w:highlight w:val="none"/>
          <w:lang w:val="en-US" w:eastAsia="zh-CN"/>
        </w:rPr>
        <w:t xml:space="preserve">32</w:t>
      </w:r>
      <w:r>
        <w:rPr>
          <w:rFonts w:ascii="宋体" w:eastAsia="宋体" w:hAnsi="宋体" w:cs="宋体" w:hint="eastAsia"/>
          <w:bCs/>
          <w:color w:val="auto"/>
          <w:sz w:val="21"/>
          <w:szCs w:val="21"/>
          <w:highlight w:val="none"/>
        </w:rPr>
        <w:t xml:space="preserve">.1本项目为货物类采购项目的，所提供的产品需综合考虑节能环保、节水、循环再生、低碳、有机等因素；本项目为物业、合同能源管理等服务类采购项目的，应在服务中加强绿色低碳管理。</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2</w:t>
      </w:r>
      <w:r>
        <w:rPr>
          <w:rFonts w:ascii="宋体" w:eastAsia="宋体" w:hAnsi="宋体" w:cs="宋体" w:hint="eastAsia"/>
          <w:bCs/>
          <w:color w:val="auto"/>
          <w:sz w:val="21"/>
          <w:szCs w:val="21"/>
          <w:highlight w:val="none"/>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2</w:t>
      </w:r>
      <w:r>
        <w:rPr>
          <w:rFonts w:ascii="宋体" w:eastAsia="宋体" w:hAnsi="宋体" w:cs="宋体" w:hint="eastAsia"/>
          <w:bCs/>
          <w:color w:val="auto"/>
          <w:sz w:val="21"/>
          <w:szCs w:val="21"/>
          <w:highlight w:val="none"/>
        </w:rPr>
        <w:t xml:space="preserve">.3本项目中涉及涂料、胶黏剂、油墨、清洗剂等挥发性有机物产品的，要执行国家和江苏省VOCs含量限制标准，优先使用低挥发性原辅材料，使用低VOCs含量的涂料、胶黏剂等。</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3</w:t>
      </w:r>
      <w:r>
        <w:rPr>
          <w:rFonts w:ascii="宋体" w:eastAsia="宋体" w:hAnsi="宋体" w:cs="宋体" w:hint="eastAsia"/>
          <w:bCs/>
          <w:color w:val="auto"/>
          <w:sz w:val="21"/>
          <w:szCs w:val="21"/>
          <w:highlight w:val="none"/>
        </w:rPr>
        <w:t xml:space="preserve">.履约资金扶持政策</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3</w:t>
      </w:r>
      <w:r>
        <w:rPr>
          <w:rFonts w:ascii="宋体" w:eastAsia="宋体" w:hAnsi="宋体" w:cs="宋体" w:hint="eastAsia"/>
          <w:bCs/>
          <w:color w:val="auto"/>
          <w:sz w:val="21"/>
          <w:szCs w:val="21"/>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keepNext w:val="0"/>
        <w:keepLines w:val="0"/>
        <w:pageBreakBefore w:val="0"/>
        <w:widowControl w:val="0"/>
        <w:spacing w:line="288" w:lineRule="auto"/>
        <w:ind w:firstLine="420"/>
        <w:jc w:val="left"/>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w:t>
      </w:r>
      <w:r>
        <w:rPr>
          <w:rFonts w:ascii="宋体" w:hAnsi="宋体" w:cs="宋体" w:hint="eastAsia"/>
          <w:bCs/>
          <w:color w:val="auto"/>
          <w:sz w:val="21"/>
          <w:szCs w:val="21"/>
          <w:highlight w:val="none"/>
          <w:lang w:val="en-US" w:eastAsia="zh-CN"/>
        </w:rPr>
        <w:t xml:space="preserve">3</w:t>
      </w:r>
      <w:r>
        <w:rPr>
          <w:rFonts w:ascii="宋体" w:eastAsia="宋体" w:hAnsi="宋体" w:cs="宋体" w:hint="eastAsia"/>
          <w:bCs/>
          <w:color w:val="auto"/>
          <w:sz w:val="21"/>
          <w:szCs w:val="21"/>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p>
    <w:p>
      <w:pPr>
        <w:pStyle w:val="索引91"/>
        <w:spacing w:line="360" w:lineRule="auto"/>
        <w:ind w:left="3360"/>
        <w:rPr>
          <w:rFonts w:ascii="宋体" w:eastAsia="宋体" w:hAnsi="宋体" w:cs="宋体" w:hint="eastAsia"/>
          <w:color w:val="auto"/>
          <w:sz w:val="22"/>
          <w:szCs w:val="28"/>
          <w:highlight w:val="none"/>
        </w:rPr>
      </w:pPr>
    </w:p>
    <w:p>
      <w:pPr>
        <w:spacing w:line="360" w:lineRule="auto"/>
        <w:rPr>
          <w:rFonts w:ascii="宋体" w:eastAsia="宋体" w:hAnsi="宋体" w:cs="宋体" w:hint="eastAsia"/>
          <w:b/>
          <w:color w:val="auto"/>
          <w:sz w:val="40"/>
          <w:szCs w:val="40"/>
          <w:highlight w:val="none"/>
        </w:rPr>
        <w:sectPr>
          <w:footerReference w:type="default" r:id="rId5"/>
          <w:type w:val="nextPage"/>
          <w:pgSz w:w="11905" w:h="16838" w:orient="portrait"/>
          <w:pgMar w:top="1440" w:right="1304" w:bottom="1440" w:left="1304" w:header="851" w:footer="992" w:gutter="0"/>
          <w:pgBorders/>
          <w:pgNumType w:start="1"/>
          <w:cols w:num="1" w:sep="0" w:space="1701" w:equalWidth="1">
            <w:col w:w="9297" w:space="1701"/>
          </w:cols>
          <w:docGrid w:linePitch="360"/>
        </w:sectPr>
      </w:pPr>
    </w:p>
    <w:p>
      <w:pPr>
        <w:spacing w:line="360" w:lineRule="auto"/>
        <w:jc w:val="center"/>
        <w:outlineLvl w:val="0"/>
        <w:rPr>
          <w:rFonts w:ascii="宋体" w:eastAsia="宋体" w:hAnsi="宋体" w:cs="宋体" w:hint="eastAsia"/>
          <w:b/>
          <w:color w:val="auto"/>
          <w:sz w:val="36"/>
          <w:szCs w:val="36"/>
          <w:highlight w:val="none"/>
        </w:rPr>
      </w:pPr>
      <w:bookmarkStart w:id="7" w:name="_Toc20844"/>
      <w:r>
        <w:rPr>
          <w:rFonts w:ascii="宋体" w:eastAsia="宋体" w:hAnsi="宋体" w:cs="宋体" w:hint="eastAsia"/>
          <w:b/>
          <w:color w:val="auto"/>
          <w:sz w:val="36"/>
          <w:szCs w:val="36"/>
          <w:highlight w:val="none"/>
        </w:rPr>
        <w:t xml:space="preserve">第三章  评标标准</w:t>
      </w:r>
      <w:bookmarkEnd w:id="7"/>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lang w:val="zh-CN"/>
        </w:rPr>
        <w:t xml:space="preserve">一、本项目采用综合评分法进行评审。</w:t>
      </w:r>
      <w:r>
        <w:rPr>
          <w:rFonts w:ascii="宋体" w:eastAsia="宋体" w:hAnsi="宋体" w:cs="宋体" w:hint="eastAsia"/>
          <w:bCs/>
          <w:color w:val="auto"/>
          <w:sz w:val="21"/>
          <w:szCs w:val="21"/>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pPr>
        <w:spacing w:line="360" w:lineRule="auto"/>
        <w:ind w:firstLine="420"/>
        <w:rPr>
          <w:rFonts w:ascii="宋体" w:eastAsia="宋体" w:hAnsi="宋体" w:cs="宋体" w:hint="eastAsia"/>
          <w:b w:val="0"/>
          <w:bCs/>
          <w:color w:val="auto"/>
          <w:sz w:val="21"/>
          <w:szCs w:val="21"/>
          <w:highlight w:val="none"/>
        </w:rPr>
      </w:pPr>
      <w:r>
        <w:rPr>
          <w:rFonts w:ascii="宋体" w:eastAsia="宋体" w:hAnsi="宋体" w:cs="宋体" w:hint="eastAsia"/>
          <w:b w:val="0"/>
          <w:bCs/>
          <w:color w:val="auto"/>
          <w:sz w:val="21"/>
          <w:szCs w:val="21"/>
          <w:highlight w:val="none"/>
        </w:rPr>
        <w:t xml:space="preserve">三、具体标准:（本评标标准的总分为100分）</w:t>
      </w:r>
    </w:p>
    <w:tbl>
      <w:tblPr>
        <w:tblStyle w:val="NormalTable"/>
        <w:tblpPr w:leftFromText="180" w:rightFromText="180" w:topFromText="0" w:bottomFromText="0" w:vertAnchor="text" w:horzAnchor="page" w:tblpXSpec="center" w:tblpY="386"/>
        <w:tblW w:w="472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4A0" w:firstRow="1" w:lastRow="0" w:firstColumn="1" w:lastColumn="0" w:noHBand="0" w:noVBand="1"/>
      </w:tblPr>
      <w:tblGrid>
        <w:gridCol w:w="715"/>
        <w:gridCol w:w="1175"/>
        <w:gridCol w:w="7104"/>
      </w:tblGrid>
      <w:tr>
        <w:trPr>
          <w:trHeight w:val="183"/>
          <w:jc w:val="center"/>
        </w:trPr>
        <w:tc>
          <w:tcPr>
            <w:tcW w:w="715" w:type="dxa"/>
            <w:noWrap w:val="0"/>
            <w:vAlign w:val="center"/>
          </w:tcPr>
          <w:p>
            <w:pPr>
              <w:keepNext w:val="0"/>
              <w:keepLines w:val="0"/>
              <w:pageBreakBefore w:val="0"/>
              <w:spacing w:line="400" w:lineRule="exact"/>
              <w:jc w:val="center"/>
              <w:rPr>
                <w:rFonts w:ascii="宋体" w:eastAsia="宋体" w:hAnsi="宋体" w:cs="宋体" w:hint="eastAsia"/>
                <w:b/>
                <w:bCs/>
                <w:color w:val="auto"/>
                <w:sz w:val="21"/>
                <w:szCs w:val="21"/>
                <w:highlight w:val="none"/>
              </w:rPr>
            </w:pPr>
            <w:bookmarkStart w:id="8" w:name="_Hlk63676331"/>
            <w:bookmarkStart w:id="9" w:name="_Toc5115"/>
            <w:r>
              <w:rPr>
                <w:rFonts w:ascii="宋体" w:eastAsia="宋体" w:hAnsi="宋体" w:cs="宋体" w:hint="eastAsia"/>
                <w:b/>
                <w:bCs/>
                <w:color w:val="auto"/>
                <w:sz w:val="21"/>
                <w:szCs w:val="21"/>
                <w:highlight w:val="none"/>
              </w:rPr>
              <w:t xml:space="preserve">序号</w:t>
            </w:r>
          </w:p>
        </w:tc>
        <w:tc>
          <w:tcPr>
            <w:tcW w:w="1175" w:type="dxa"/>
            <w:noWrap w:val="0"/>
            <w:vAlign w:val="center"/>
          </w:tcPr>
          <w:p>
            <w:pPr>
              <w:keepNext w:val="0"/>
              <w:keepLines w:val="0"/>
              <w:pageBreakBefore w:val="0"/>
              <w:spacing w:line="400" w:lineRule="exact"/>
              <w:jc w:val="center"/>
              <w:rPr>
                <w:rFonts w:ascii="宋体" w:eastAsia="宋体" w:hAnsi="宋体" w:cs="宋体" w:hint="eastAsia"/>
                <w:b/>
                <w:bCs/>
                <w:color w:val="auto"/>
                <w:sz w:val="21"/>
                <w:szCs w:val="21"/>
                <w:highlight w:val="none"/>
                <w:lang w:val="en-US" w:eastAsia="zh-CN"/>
              </w:rPr>
            </w:pPr>
            <w:r>
              <w:rPr>
                <w:rFonts w:ascii="宋体" w:eastAsia="宋体" w:hAnsi="宋体" w:cs="宋体" w:hint="eastAsia"/>
                <w:b/>
                <w:bCs/>
                <w:color w:val="auto"/>
                <w:sz w:val="21"/>
                <w:szCs w:val="21"/>
                <w:highlight w:val="none"/>
              </w:rPr>
              <w:t xml:space="preserve">评分</w:t>
            </w:r>
            <w:r>
              <w:rPr>
                <w:rFonts w:ascii="宋体" w:eastAsia="宋体" w:hAnsi="宋体" w:cs="宋体" w:hint="eastAsia"/>
                <w:b/>
                <w:bCs/>
                <w:color w:val="auto"/>
                <w:sz w:val="21"/>
                <w:szCs w:val="21"/>
                <w:highlight w:val="none"/>
                <w:lang w:val="en-US" w:eastAsia="zh-CN"/>
              </w:rPr>
              <w:t xml:space="preserve">因素</w:t>
            </w:r>
          </w:p>
        </w:tc>
        <w:tc>
          <w:tcPr>
            <w:tcW w:w="7105" w:type="dxa"/>
            <w:noWrap w:val="0"/>
            <w:vAlign w:val="center"/>
          </w:tcPr>
          <w:p>
            <w:pPr>
              <w:keepNext w:val="0"/>
              <w:keepLines w:val="0"/>
              <w:pageBreakBefore w:val="0"/>
              <w:spacing w:line="400" w:lineRule="exact"/>
              <w:jc w:val="center"/>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评价标准</w:t>
            </w:r>
          </w:p>
        </w:tc>
      </w:tr>
      <w:tr>
        <w:trPr>
          <w:trHeight w:val="1100"/>
          <w:jc w:val="center"/>
        </w:trPr>
        <w:tc>
          <w:tcPr>
            <w:tcW w:w="715" w:type="dxa"/>
            <w:noWrap w:val="0"/>
            <w:vAlign w:val="center"/>
          </w:tcPr>
          <w:p>
            <w:pPr>
              <w:keepNext w:val="0"/>
              <w:keepLines w:val="0"/>
              <w:pageBreakBefore w:val="0"/>
              <w:spacing w:line="400" w:lineRule="exact"/>
              <w:jc w:val="center"/>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lang w:val="en-US" w:eastAsia="zh-CN"/>
              </w:rPr>
              <w:t xml:space="preserve">一</w:t>
            </w:r>
          </w:p>
        </w:tc>
        <w:tc>
          <w:tcPr>
            <w:tcW w:w="1175" w:type="dxa"/>
            <w:noWrap w:val="0"/>
            <w:vAlign w:val="center"/>
          </w:tcPr>
          <w:p>
            <w:pPr>
              <w:keepNext w:val="0"/>
              <w:keepLines w:val="0"/>
              <w:pageBreakBefore w:val="0"/>
              <w:spacing w:line="400" w:lineRule="exact"/>
              <w:jc w:val="center"/>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价格部分</w:t>
            </w:r>
          </w:p>
          <w:p>
            <w:pPr>
              <w:keepNext w:val="0"/>
              <w:keepLines w:val="0"/>
              <w:pageBreakBefore w:val="0"/>
              <w:spacing w:line="400" w:lineRule="exact"/>
              <w:jc w:val="center"/>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50</w:t>
            </w:r>
            <w:r>
              <w:rPr>
                <w:rFonts w:ascii="宋体" w:eastAsia="宋体" w:hAnsi="宋体" w:cs="宋体" w:hint="eastAsia"/>
                <w:color w:val="auto"/>
                <w:sz w:val="21"/>
                <w:szCs w:val="21"/>
                <w:highlight w:val="none"/>
              </w:rPr>
              <w:t xml:space="preserve">分）</w:t>
            </w:r>
          </w:p>
        </w:tc>
        <w:tc>
          <w:tcPr>
            <w:tcW w:w="7105" w:type="dxa"/>
            <w:noWrap w:val="0"/>
            <w:vAlign w:val="center"/>
          </w:tcPr>
          <w:p>
            <w:pPr>
              <w:keepNext w:val="0"/>
              <w:keepLines w:val="0"/>
              <w:pageBreakBefore w:val="0"/>
              <w:spacing w:line="400" w:lineRule="exact"/>
              <w:jc w:val="lef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价格分采用低价优先法计算，即满足磋商文件要求且最后报价最低的供应商的价格为磋商基准价，其价格分为满分。其他供应商的价格分按照下列公式计算（小数点保留两位）:</w:t>
            </w:r>
          </w:p>
          <w:p>
            <w:pPr>
              <w:keepNext w:val="0"/>
              <w:keepLines w:val="0"/>
              <w:pageBreakBefore w:val="0"/>
              <w:spacing w:line="400" w:lineRule="exact"/>
              <w:jc w:val="left"/>
              <w:rPr>
                <w:rFonts w:ascii="宋体" w:eastAsia="宋体" w:hAnsi="宋体" w:cs="宋体" w:hint="eastAsia"/>
                <w:bCs/>
                <w:color w:val="auto"/>
                <w:sz w:val="21"/>
                <w:szCs w:val="21"/>
                <w:highlight w:val="none"/>
              </w:rPr>
            </w:pPr>
            <w:r>
              <w:rPr>
                <w:rFonts w:ascii="宋体" w:eastAsia="宋体" w:hAnsi="宋体" w:cs="宋体" w:hint="eastAsia"/>
                <w:color w:val="auto"/>
                <w:sz w:val="21"/>
                <w:szCs w:val="21"/>
                <w:highlight w:val="none"/>
              </w:rPr>
              <w:t xml:space="preserve">报价得分＝（磋商基准价/最后磋商报价）×</w:t>
            </w:r>
            <w:r>
              <w:rPr>
                <w:rFonts w:ascii="宋体" w:hAnsi="宋体" w:cs="宋体" w:hint="eastAsia"/>
                <w:color w:val="auto"/>
                <w:sz w:val="21"/>
                <w:szCs w:val="21"/>
                <w:highlight w:val="none"/>
                <w:lang w:val="en-US" w:eastAsia="zh-CN"/>
              </w:rPr>
              <w:t xml:space="preserve">50</w:t>
            </w:r>
            <w:r>
              <w:rPr>
                <w:rFonts w:ascii="宋体" w:eastAsia="宋体" w:hAnsi="宋体" w:cs="宋体" w:hint="eastAsia"/>
                <w:color w:val="auto"/>
                <w:sz w:val="21"/>
                <w:szCs w:val="21"/>
                <w:highlight w:val="none"/>
              </w:rPr>
              <w:t xml:space="preserve">分</w:t>
            </w:r>
          </w:p>
        </w:tc>
      </w:tr>
      <w:tr>
        <w:trPr>
          <w:trHeight w:val="1839"/>
          <w:jc w:val="center"/>
        </w:trPr>
        <w:tc>
          <w:tcPr>
            <w:tcW w:w="715" w:type="dxa"/>
            <w:vMerge w:val="restart"/>
            <w:noWrap w:val="0"/>
            <w:vAlign w:val="center"/>
          </w:tcPr>
          <w:p>
            <w:pPr>
              <w:keepNext w:val="0"/>
              <w:keepLines w:val="0"/>
              <w:pageBreakBefore w:val="0"/>
              <w:spacing w:line="400" w:lineRule="exact"/>
              <w:jc w:val="center"/>
              <w:rPr>
                <w:rFonts w:ascii="宋体" w:eastAsia="宋体" w:hAnsi="宋体" w:cs="宋体"/>
                <w:b w:val="0"/>
                <w:bCs w:val="0"/>
                <w:color w:val="auto"/>
                <w:sz w:val="21"/>
                <w:szCs w:val="21"/>
                <w:highlight w:val="none"/>
                <w:lang w:val="en-US" w:eastAsia="zh-CN"/>
              </w:rPr>
            </w:pPr>
            <w:r>
              <w:rPr>
                <w:rFonts w:ascii="宋体" w:eastAsia="宋体" w:hAnsi="宋体" w:cs="宋体" w:hint="eastAsia"/>
                <w:b w:val="0"/>
                <w:bCs w:val="0"/>
                <w:color w:val="auto"/>
                <w:sz w:val="21"/>
                <w:szCs w:val="21"/>
                <w:highlight w:val="none"/>
                <w:lang w:val="en-US" w:eastAsia="zh-CN"/>
              </w:rPr>
              <w:t xml:space="preserve">二</w:t>
            </w:r>
          </w:p>
        </w:tc>
        <w:tc>
          <w:tcPr>
            <w:tcW w:w="1175" w:type="dxa"/>
            <w:vMerge w:val="restart"/>
            <w:noWrap w:val="0"/>
            <w:vAlign w:val="center"/>
          </w:tcPr>
          <w:p>
            <w:pPr>
              <w:keepNext w:val="0"/>
              <w:keepLines w:val="0"/>
              <w:pageBreakBefore w:val="0"/>
              <w:spacing w:line="400" w:lineRule="exact"/>
              <w:jc w:val="center"/>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商务</w:t>
            </w:r>
            <w:r>
              <w:rPr>
                <w:rFonts w:ascii="宋体" w:eastAsia="宋体" w:hAnsi="宋体" w:cs="宋体" w:hint="eastAsia"/>
                <w:color w:val="auto"/>
                <w:sz w:val="21"/>
                <w:szCs w:val="21"/>
                <w:highlight w:val="none"/>
              </w:rPr>
              <w:t xml:space="preserve">部分</w:t>
            </w:r>
          </w:p>
          <w:p>
            <w:pPr>
              <w:keepNext w:val="0"/>
              <w:keepLines w:val="0"/>
              <w:pageBreakBefore w:val="0"/>
              <w:spacing w:line="400" w:lineRule="exact"/>
              <w:jc w:val="center"/>
              <w:rPr>
                <w:rFonts w:ascii="宋体" w:eastAsia="宋体" w:hAnsi="宋体" w:cs="宋体" w:hint="eastAsia"/>
                <w:b w:val="0"/>
                <w:bCs w:val="0"/>
                <w:color w:val="auto"/>
                <w:sz w:val="21"/>
                <w:szCs w:val="21"/>
                <w:highlight w:val="none"/>
              </w:rPr>
            </w:pP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15</w:t>
            </w:r>
            <w:r>
              <w:rPr>
                <w:rFonts w:ascii="宋体" w:eastAsia="宋体" w:hAnsi="宋体" w:cs="宋体" w:hint="eastAsia"/>
                <w:color w:val="auto"/>
                <w:sz w:val="21"/>
                <w:szCs w:val="21"/>
                <w:highlight w:val="none"/>
              </w:rPr>
              <w:t xml:space="preserve">分）</w:t>
            </w:r>
          </w:p>
        </w:tc>
        <w:tc>
          <w:tcPr>
            <w:tcW w:w="7105" w:type="dxa"/>
            <w:noWrap w:val="0"/>
            <w:vAlign w:val="center"/>
          </w:tcPr>
          <w:p>
            <w:pPr>
              <w:pStyle w:val="正文文本1"/>
              <w:keepNext w:val="0"/>
              <w:keepLines w:val="0"/>
              <w:pageBreakBefore w:val="0"/>
              <w:spacing w:line="400" w:lineRule="exact"/>
              <w:jc w:val="both"/>
              <w:rPr>
                <w:rFonts w:ascii="宋体" w:eastAsia="宋体" w:hAnsi="宋体" w:cs="宋体" w:hint="eastAsia"/>
                <w:b w:val="0"/>
                <w:bCs w:val="0"/>
                <w:color w:val="auto"/>
                <w:sz w:val="21"/>
                <w:szCs w:val="21"/>
                <w:highlight w:val="none"/>
              </w:rPr>
            </w:pPr>
            <w:r>
              <w:rPr>
                <w:rFonts w:ascii="宋体" w:eastAsia="宋体" w:hAnsi="宋体" w:cs="宋体" w:hint="eastAsia"/>
                <w:b w:val="0"/>
                <w:bCs w:val="0"/>
                <w:color w:val="auto"/>
                <w:sz w:val="21"/>
                <w:szCs w:val="21"/>
                <w:highlight w:val="none"/>
                <w:lang w:val="en-US" w:eastAsia="zh-CN"/>
              </w:rPr>
              <w:t xml:space="preserve">1、</w:t>
            </w:r>
            <w:r>
              <w:rPr>
                <w:rFonts w:ascii="宋体" w:eastAsia="宋体" w:hAnsi="宋体" w:cs="宋体" w:hint="eastAsia"/>
                <w:b w:val="0"/>
                <w:bCs w:val="0"/>
                <w:color w:val="auto"/>
                <w:sz w:val="21"/>
                <w:szCs w:val="21"/>
                <w:highlight w:val="none"/>
              </w:rPr>
              <w:t xml:space="preserve">供应商拟派的项目</w:t>
            </w:r>
            <w:r>
              <w:rPr>
                <w:rFonts w:ascii="宋体" w:eastAsia="宋体" w:hAnsi="宋体" w:cs="宋体" w:hint="eastAsia"/>
                <w:b w:val="0"/>
                <w:bCs w:val="0"/>
                <w:color w:val="auto"/>
                <w:sz w:val="21"/>
                <w:szCs w:val="21"/>
                <w:highlight w:val="none"/>
                <w:lang w:val="en-US" w:eastAsia="zh-CN"/>
              </w:rPr>
              <w:t xml:space="preserve">负责人提供自2021年7月1日（以验收时间为准）以来承担过类似业绩得5分，满分5</w:t>
            </w:r>
            <w:r>
              <w:rPr>
                <w:rFonts w:ascii="宋体" w:eastAsia="宋体" w:hAnsi="宋体" w:cs="宋体" w:hint="eastAsia"/>
                <w:b w:val="0"/>
                <w:bCs w:val="0"/>
                <w:color w:val="auto"/>
                <w:sz w:val="21"/>
                <w:szCs w:val="21"/>
                <w:highlight w:val="none"/>
              </w:rPr>
              <w:t xml:space="preserve">分</w:t>
            </w:r>
            <w:r>
              <w:rPr>
                <w:rFonts w:ascii="宋体" w:eastAsia="宋体" w:hAnsi="宋体" w:cs="宋体" w:hint="eastAsia"/>
                <w:b w:val="0"/>
                <w:bCs w:val="0"/>
                <w:color w:val="auto"/>
                <w:sz w:val="21"/>
                <w:szCs w:val="21"/>
                <w:highlight w:val="none"/>
                <w:lang w:eastAsia="zh-CN"/>
              </w:rPr>
              <w:t xml:space="preserve">，</w:t>
            </w:r>
            <w:r>
              <w:rPr>
                <w:rFonts w:ascii="宋体" w:eastAsia="宋体" w:hAnsi="宋体" w:cs="宋体" w:hint="eastAsia"/>
                <w:b w:val="0"/>
                <w:bCs w:val="0"/>
                <w:color w:val="auto"/>
                <w:sz w:val="21"/>
                <w:szCs w:val="21"/>
                <w:highlight w:val="none"/>
              </w:rPr>
              <w:t xml:space="preserve">不提供</w:t>
            </w:r>
            <w:r>
              <w:rPr>
                <w:rFonts w:ascii="宋体" w:eastAsia="宋体" w:hAnsi="宋体" w:cs="宋体" w:hint="eastAsia"/>
                <w:b w:val="0"/>
                <w:bCs w:val="0"/>
                <w:color w:val="auto"/>
                <w:sz w:val="21"/>
                <w:szCs w:val="21"/>
                <w:highlight w:val="none"/>
                <w:lang w:val="en-US" w:eastAsia="zh-CN"/>
              </w:rPr>
              <w:t xml:space="preserve">或缺项</w:t>
            </w:r>
            <w:r>
              <w:rPr>
                <w:rFonts w:ascii="宋体" w:eastAsia="宋体" w:hAnsi="宋体" w:cs="宋体" w:hint="eastAsia"/>
                <w:b w:val="0"/>
                <w:bCs w:val="0"/>
                <w:color w:val="auto"/>
                <w:sz w:val="21"/>
                <w:szCs w:val="21"/>
                <w:highlight w:val="none"/>
              </w:rPr>
              <w:t xml:space="preserve">不得分。</w:t>
            </w:r>
          </w:p>
          <w:p>
            <w:pPr>
              <w:pStyle w:val="正文文本1"/>
              <w:keepNext w:val="0"/>
              <w:keepLines w:val="0"/>
              <w:pageBreakBefore w:val="0"/>
              <w:numPr>
                <w:ilvl w:val="0"/>
                <w:numId w:val="0"/>
              </w:numPr>
              <w:spacing w:line="400" w:lineRule="exact"/>
              <w:jc w:val="both"/>
              <w:rPr>
                <w:rFonts w:ascii="宋体" w:eastAsia="宋体" w:hAnsi="宋体" w:cs="宋体" w:hint="eastAsia"/>
                <w:b w:val="0"/>
                <w:bCs w:val="0"/>
                <w:color w:val="auto"/>
                <w:sz w:val="21"/>
                <w:szCs w:val="21"/>
                <w:highlight w:val="none"/>
              </w:rPr>
            </w:pPr>
            <w:r>
              <w:rPr>
                <w:rFonts w:ascii="宋体" w:eastAsia="宋体" w:hAnsi="宋体" w:cs="宋体" w:hint="eastAsia"/>
                <w:b w:val="0"/>
                <w:bCs w:val="0"/>
                <w:color w:val="auto"/>
                <w:sz w:val="21"/>
                <w:szCs w:val="21"/>
                <w:highlight w:val="none"/>
              </w:rPr>
              <w:t xml:space="preserve">注：提供</w:t>
            </w:r>
            <w:r>
              <w:rPr>
                <w:rFonts w:ascii="宋体" w:eastAsia="宋体" w:hAnsi="宋体" w:cs="宋体" w:hint="eastAsia"/>
                <w:b w:val="0"/>
                <w:bCs w:val="0"/>
                <w:color w:val="auto"/>
                <w:sz w:val="21"/>
                <w:szCs w:val="21"/>
                <w:highlight w:val="none"/>
                <w:lang w:val="en-US" w:eastAsia="zh-CN"/>
              </w:rPr>
              <w:t xml:space="preserve">业绩证明材料包括：中标（成交）通知书、合同、竣工验收证明（竣工验收证明须有建设、设计、监理、施工四方盖章，缺一不可），</w:t>
            </w:r>
            <w:r>
              <w:rPr>
                <w:rFonts w:ascii="宋体" w:eastAsia="宋体" w:hAnsi="宋体" w:cs="宋体" w:hint="eastAsia"/>
                <w:b w:val="0"/>
                <w:bCs w:val="0"/>
                <w:color w:val="auto"/>
                <w:sz w:val="21"/>
                <w:szCs w:val="21"/>
                <w:highlight w:val="none"/>
              </w:rPr>
              <w:t xml:space="preserve">原件扫描件</w:t>
            </w:r>
            <w:r>
              <w:rPr>
                <w:rFonts w:ascii="宋体" w:eastAsia="宋体" w:hAnsi="宋体" w:cs="宋体" w:hint="eastAsia"/>
                <w:b w:val="0"/>
                <w:bCs w:val="0"/>
                <w:color w:val="auto"/>
                <w:sz w:val="21"/>
                <w:szCs w:val="21"/>
                <w:highlight w:val="none"/>
                <w:lang w:val="en-US" w:eastAsia="zh-CN"/>
              </w:rPr>
              <w:t xml:space="preserve">并</w:t>
            </w:r>
            <w:r>
              <w:rPr>
                <w:rFonts w:ascii="宋体" w:eastAsia="宋体" w:hAnsi="宋体" w:cs="宋体" w:hint="eastAsia"/>
                <w:b w:val="0"/>
                <w:bCs w:val="0"/>
                <w:color w:val="auto"/>
                <w:sz w:val="21"/>
                <w:szCs w:val="21"/>
                <w:highlight w:val="none"/>
                <w:lang w:eastAsia="zh-CN"/>
              </w:rPr>
              <w:t xml:space="preserve">加盖供应商公章或电子签章</w:t>
            </w:r>
            <w:r>
              <w:rPr>
                <w:rFonts w:ascii="宋体" w:eastAsia="宋体" w:hAnsi="宋体" w:cs="宋体" w:hint="eastAsia"/>
                <w:b w:val="0"/>
                <w:bCs w:val="0"/>
                <w:color w:val="auto"/>
                <w:sz w:val="21"/>
                <w:szCs w:val="21"/>
                <w:highlight w:val="none"/>
              </w:rPr>
              <w:t xml:space="preserve">上传至</w:t>
            </w:r>
            <w:r>
              <w:rPr>
                <w:rFonts w:ascii="宋体" w:eastAsia="宋体" w:hAnsi="宋体" w:cs="宋体" w:hint="eastAsia"/>
                <w:b w:val="0"/>
                <w:bCs w:val="0"/>
                <w:color w:val="auto"/>
                <w:sz w:val="21"/>
                <w:szCs w:val="21"/>
                <w:highlight w:val="none"/>
                <w:lang w:eastAsia="zh-CN"/>
              </w:rPr>
              <w:t xml:space="preserve">电子响应文件</w:t>
            </w:r>
            <w:r>
              <w:rPr>
                <w:rFonts w:ascii="宋体" w:eastAsia="宋体" w:hAnsi="宋体" w:cs="宋体" w:hint="eastAsia"/>
                <w:b w:val="0"/>
                <w:bCs w:val="0"/>
                <w:color w:val="auto"/>
                <w:sz w:val="21"/>
                <w:szCs w:val="21"/>
                <w:highlight w:val="none"/>
              </w:rPr>
              <w:t xml:space="preserve">。</w:t>
            </w:r>
          </w:p>
        </w:tc>
      </w:tr>
      <w:tr>
        <w:trPr>
          <w:trHeight w:val="2314"/>
          <w:jc w:val="center"/>
        </w:trPr>
        <w:tc>
          <w:tcPr>
            <w:tcW w:w="715" w:type="dxa"/>
            <w:vMerge/>
            <w:noWrap w:val="0"/>
            <w:vAlign w:val="center"/>
          </w:tcPr>
          <w:p>
            <w:pPr>
              <w:keepNext w:val="0"/>
              <w:keepLines w:val="0"/>
              <w:pageBreakBefore w:val="0"/>
              <w:spacing w:line="400" w:lineRule="exact"/>
              <w:jc w:val="center"/>
              <w:rPr>
                <w:rFonts w:ascii="宋体" w:eastAsia="宋体" w:hAnsi="宋体" w:cs="宋体" w:hint="eastAsia"/>
                <w:b w:val="0"/>
                <w:bCs w:val="0"/>
                <w:color w:val="auto"/>
                <w:sz w:val="21"/>
                <w:szCs w:val="21"/>
                <w:highlight w:val="none"/>
                <w:lang w:val="en-US" w:eastAsia="zh-CN"/>
              </w:rPr>
            </w:pPr>
          </w:p>
        </w:tc>
        <w:tc>
          <w:tcPr>
            <w:tcW w:w="1175" w:type="dxa"/>
            <w:vMerge/>
            <w:noWrap w:val="0"/>
            <w:vAlign w:val="center"/>
          </w:tcPr>
          <w:p>
            <w:pPr>
              <w:keepNext w:val="0"/>
              <w:keepLines w:val="0"/>
              <w:pageBreakBefore w:val="0"/>
              <w:spacing w:line="400" w:lineRule="exact"/>
              <w:jc w:val="center"/>
              <w:rPr>
                <w:rFonts w:ascii="宋体" w:eastAsia="宋体" w:hAnsi="宋体" w:cs="宋体" w:hint="eastAsia"/>
                <w:b w:val="0"/>
                <w:bCs w:val="0"/>
                <w:color w:val="auto"/>
                <w:sz w:val="21"/>
                <w:szCs w:val="21"/>
                <w:highlight w:val="none"/>
              </w:rPr>
            </w:pPr>
          </w:p>
        </w:tc>
        <w:tc>
          <w:tcPr>
            <w:tcW w:w="7105" w:type="dxa"/>
            <w:noWrap w:val="0"/>
            <w:vAlign w:val="center"/>
          </w:tcPr>
          <w:p>
            <w:pPr>
              <w:pStyle w:val="正文文本1"/>
              <w:keepNext w:val="0"/>
              <w:keepLines w:val="0"/>
              <w:pageBreakBefore w:val="0"/>
              <w:spacing w:line="400" w:lineRule="exact"/>
              <w:jc w:val="both"/>
              <w:rPr>
                <w:rFonts w:ascii="宋体" w:eastAsia="宋体" w:hAnsi="宋体" w:cs="宋体" w:hint="eastAsia"/>
                <w:b w:val="0"/>
                <w:bCs w:val="0"/>
                <w:color w:val="auto"/>
                <w:sz w:val="21"/>
                <w:szCs w:val="21"/>
                <w:highlight w:val="none"/>
              </w:rPr>
            </w:pPr>
            <w:r>
              <w:rPr>
                <w:rFonts w:ascii="宋体" w:eastAsia="宋体" w:hAnsi="宋体" w:cs="宋体" w:hint="eastAsia"/>
                <w:b w:val="0"/>
                <w:bCs w:val="0"/>
                <w:color w:val="auto"/>
                <w:sz w:val="21"/>
                <w:szCs w:val="21"/>
                <w:highlight w:val="none"/>
                <w:lang w:val="en-US" w:eastAsia="zh-CN"/>
              </w:rPr>
              <w:t xml:space="preserve">2、</w:t>
            </w:r>
            <w:r>
              <w:rPr>
                <w:rFonts w:ascii="宋体" w:eastAsia="宋体" w:hAnsi="宋体" w:cs="宋体" w:hint="eastAsia"/>
                <w:b w:val="0"/>
                <w:bCs w:val="0"/>
                <w:color w:val="auto"/>
                <w:sz w:val="21"/>
                <w:szCs w:val="21"/>
                <w:highlight w:val="none"/>
              </w:rPr>
              <w:t xml:space="preserve">供应商</w:t>
            </w:r>
            <w:r>
              <w:rPr>
                <w:rFonts w:ascii="宋体" w:eastAsia="宋体" w:hAnsi="宋体" w:cs="宋体" w:hint="eastAsia"/>
                <w:b w:val="0"/>
                <w:bCs w:val="0"/>
                <w:color w:val="auto"/>
                <w:sz w:val="21"/>
                <w:szCs w:val="21"/>
                <w:highlight w:val="none"/>
                <w:lang w:val="en-US" w:eastAsia="zh-CN"/>
              </w:rPr>
              <w:t xml:space="preserve">提供自2021年7月1日（以验收时间为准）以来承担过类似业绩每个得5分，满分10</w:t>
            </w:r>
            <w:r>
              <w:rPr>
                <w:rFonts w:ascii="宋体" w:eastAsia="宋体" w:hAnsi="宋体" w:cs="宋体" w:hint="eastAsia"/>
                <w:b w:val="0"/>
                <w:bCs w:val="0"/>
                <w:color w:val="auto"/>
                <w:sz w:val="21"/>
                <w:szCs w:val="21"/>
                <w:highlight w:val="none"/>
              </w:rPr>
              <w:t xml:space="preserve">分</w:t>
            </w:r>
            <w:r>
              <w:rPr>
                <w:rFonts w:ascii="宋体" w:eastAsia="宋体" w:hAnsi="宋体" w:cs="宋体" w:hint="eastAsia"/>
                <w:b w:val="0"/>
                <w:bCs w:val="0"/>
                <w:color w:val="auto"/>
                <w:sz w:val="21"/>
                <w:szCs w:val="21"/>
                <w:highlight w:val="none"/>
                <w:lang w:eastAsia="zh-CN"/>
              </w:rPr>
              <w:t xml:space="preserve">，不提供或缺项不得分</w:t>
            </w:r>
            <w:r>
              <w:rPr>
                <w:rFonts w:ascii="宋体" w:eastAsia="宋体" w:hAnsi="宋体" w:cs="宋体" w:hint="eastAsia"/>
                <w:b w:val="0"/>
                <w:bCs w:val="0"/>
                <w:color w:val="auto"/>
                <w:sz w:val="21"/>
                <w:szCs w:val="21"/>
                <w:highlight w:val="none"/>
              </w:rPr>
              <w:t xml:space="preserve">。</w:t>
            </w:r>
          </w:p>
          <w:p>
            <w:pPr>
              <w:pStyle w:val="正文文本1"/>
              <w:keepNext w:val="0"/>
              <w:keepLines w:val="0"/>
              <w:pageBreakBefore w:val="0"/>
              <w:numPr>
                <w:ilvl w:val="0"/>
                <w:numId w:val="0"/>
              </w:numPr>
              <w:spacing w:line="400" w:lineRule="exact"/>
              <w:ind w:left="0" w:firstLine="0"/>
              <w:jc w:val="both"/>
              <w:rPr>
                <w:rFonts w:ascii="宋体" w:eastAsia="宋体" w:hAnsi="宋体" w:cs="宋体" w:hint="eastAsia"/>
                <w:b w:val="0"/>
                <w:bCs w:val="0"/>
                <w:color w:val="auto"/>
                <w:sz w:val="21"/>
                <w:szCs w:val="21"/>
                <w:highlight w:val="none"/>
              </w:rPr>
            </w:pPr>
            <w:r>
              <w:rPr>
                <w:rFonts w:ascii="宋体" w:eastAsia="宋体" w:hAnsi="宋体" w:cs="宋体" w:hint="eastAsia"/>
                <w:b w:val="0"/>
                <w:bCs w:val="0"/>
                <w:color w:val="auto"/>
                <w:sz w:val="21"/>
                <w:szCs w:val="21"/>
                <w:highlight w:val="none"/>
              </w:rPr>
              <w:t xml:space="preserve">注：</w:t>
            </w:r>
            <w:r>
              <w:rPr>
                <w:rFonts w:ascii="宋体" w:eastAsia="宋体" w:hAnsi="宋体" w:cs="宋体" w:hint="eastAsia"/>
                <w:b w:val="0"/>
                <w:bCs w:val="0"/>
                <w:color w:val="auto"/>
                <w:sz w:val="21"/>
                <w:szCs w:val="21"/>
                <w:highlight w:val="none"/>
                <w:lang w:val="en-US" w:eastAsia="zh-CN"/>
              </w:rPr>
              <w:t xml:space="preserve">企业业绩与项目负责人业绩不重复计取得分。</w:t>
            </w:r>
            <w:r>
              <w:rPr>
                <w:rFonts w:ascii="宋体" w:eastAsia="宋体" w:hAnsi="宋体" w:cs="宋体" w:hint="eastAsia"/>
                <w:b w:val="0"/>
                <w:bCs w:val="0"/>
                <w:color w:val="auto"/>
                <w:sz w:val="21"/>
                <w:szCs w:val="21"/>
                <w:highlight w:val="none"/>
              </w:rPr>
              <w:t xml:space="preserve">提供</w:t>
            </w:r>
            <w:r>
              <w:rPr>
                <w:rFonts w:ascii="宋体" w:eastAsia="宋体" w:hAnsi="宋体" w:cs="宋体" w:hint="eastAsia"/>
                <w:b w:val="0"/>
                <w:bCs w:val="0"/>
                <w:color w:val="auto"/>
                <w:sz w:val="21"/>
                <w:szCs w:val="21"/>
                <w:highlight w:val="none"/>
                <w:lang w:val="en-US" w:eastAsia="zh-CN"/>
              </w:rPr>
              <w:t xml:space="preserve">业绩证明材料包括：中标（成交）通知书、合同、竣工验收证明（竣工验收证明须有建设、设计、监理、施工四方盖章，缺一不可），</w:t>
            </w:r>
            <w:r>
              <w:rPr>
                <w:rFonts w:ascii="宋体" w:eastAsia="宋体" w:hAnsi="宋体" w:cs="宋体" w:hint="eastAsia"/>
                <w:b w:val="0"/>
                <w:bCs w:val="0"/>
                <w:color w:val="auto"/>
                <w:sz w:val="21"/>
                <w:szCs w:val="21"/>
                <w:highlight w:val="none"/>
              </w:rPr>
              <w:t xml:space="preserve">原件扫描件</w:t>
            </w:r>
            <w:r>
              <w:rPr>
                <w:rFonts w:ascii="宋体" w:eastAsia="宋体" w:hAnsi="宋体" w:cs="宋体" w:hint="eastAsia"/>
                <w:b w:val="0"/>
                <w:bCs w:val="0"/>
                <w:color w:val="auto"/>
                <w:sz w:val="21"/>
                <w:szCs w:val="21"/>
                <w:highlight w:val="none"/>
                <w:lang w:val="en-US" w:eastAsia="zh-CN"/>
              </w:rPr>
              <w:t xml:space="preserve">并</w:t>
            </w:r>
            <w:r>
              <w:rPr>
                <w:rFonts w:ascii="宋体" w:eastAsia="宋体" w:hAnsi="宋体" w:cs="宋体" w:hint="eastAsia"/>
                <w:b w:val="0"/>
                <w:bCs w:val="0"/>
                <w:color w:val="auto"/>
                <w:sz w:val="21"/>
                <w:szCs w:val="21"/>
                <w:highlight w:val="none"/>
                <w:lang w:eastAsia="zh-CN"/>
              </w:rPr>
              <w:t xml:space="preserve">加盖供应商公章或电子签章</w:t>
            </w:r>
            <w:r>
              <w:rPr>
                <w:rFonts w:ascii="宋体" w:eastAsia="宋体" w:hAnsi="宋体" w:cs="宋体" w:hint="eastAsia"/>
                <w:b w:val="0"/>
                <w:bCs w:val="0"/>
                <w:color w:val="auto"/>
                <w:sz w:val="21"/>
                <w:szCs w:val="21"/>
                <w:highlight w:val="none"/>
              </w:rPr>
              <w:t xml:space="preserve">上传至</w:t>
            </w:r>
            <w:r>
              <w:rPr>
                <w:rFonts w:ascii="宋体" w:eastAsia="宋体" w:hAnsi="宋体" w:cs="宋体" w:hint="eastAsia"/>
                <w:b w:val="0"/>
                <w:bCs w:val="0"/>
                <w:color w:val="auto"/>
                <w:sz w:val="21"/>
                <w:szCs w:val="21"/>
                <w:highlight w:val="none"/>
                <w:lang w:eastAsia="zh-CN"/>
              </w:rPr>
              <w:t xml:space="preserve">电子响应文件</w:t>
            </w:r>
            <w:r>
              <w:rPr>
                <w:rFonts w:ascii="宋体" w:eastAsia="宋体" w:hAnsi="宋体" w:cs="宋体" w:hint="eastAsia"/>
                <w:b w:val="0"/>
                <w:bCs w:val="0"/>
                <w:color w:val="auto"/>
                <w:sz w:val="21"/>
                <w:szCs w:val="21"/>
                <w:highlight w:val="none"/>
              </w:rPr>
              <w:t xml:space="preserve">。</w:t>
            </w:r>
          </w:p>
        </w:tc>
      </w:tr>
      <w:tr>
        <w:trPr>
          <w:trHeight w:val="308"/>
          <w:jc w:val="center"/>
        </w:trPr>
        <w:tc>
          <w:tcPr>
            <w:tcW w:w="715" w:type="dxa"/>
            <w:noWrap w:val="0"/>
            <w:vAlign w:val="center"/>
          </w:tcPr>
          <w:p>
            <w:pPr>
              <w:keepNext w:val="0"/>
              <w:keepLines w:val="0"/>
              <w:pageBreakBefore w:val="0"/>
              <w:spacing w:line="400" w:lineRule="exact"/>
              <w:jc w:val="center"/>
              <w:rPr>
                <w:rFonts w:ascii="宋体" w:eastAsia="宋体" w:hAnsi="宋体" w:cs="宋体" w:hint="default"/>
                <w:color w:val="auto"/>
                <w:sz w:val="21"/>
                <w:szCs w:val="21"/>
                <w:highlight w:val="none"/>
                <w:lang w:val="en-US" w:eastAsia="zh-CN"/>
              </w:rPr>
            </w:pPr>
            <w:r>
              <w:rPr>
                <w:rFonts w:ascii="宋体" w:hAnsi="宋体" w:cs="宋体" w:hint="eastAsia"/>
                <w:color w:val="auto"/>
                <w:sz w:val="21"/>
                <w:szCs w:val="21"/>
                <w:highlight w:val="none"/>
                <w:lang w:val="en-US" w:eastAsia="zh-CN"/>
              </w:rPr>
              <w:t xml:space="preserve">三</w:t>
            </w:r>
          </w:p>
        </w:tc>
        <w:tc>
          <w:tcPr>
            <w:tcW w:w="1175" w:type="dxa"/>
            <w:noWrap w:val="0"/>
            <w:vAlign w:val="center"/>
          </w:tcPr>
          <w:p>
            <w:pPr>
              <w:keepNext w:val="0"/>
              <w:keepLines w:val="0"/>
              <w:pageBreakBefore w:val="0"/>
              <w:spacing w:line="400" w:lineRule="exact"/>
              <w:jc w:val="center"/>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lang w:val="en-US" w:eastAsia="zh-CN"/>
              </w:rPr>
              <w:t xml:space="preserve">技术部分</w:t>
            </w:r>
            <w:r>
              <w:rPr>
                <w:rFonts w:ascii="宋体" w:eastAsia="宋体" w:hAnsi="宋体" w:cs="宋体" w:hint="eastAsia"/>
                <w:color w:val="auto"/>
                <w:sz w:val="21"/>
                <w:szCs w:val="21"/>
                <w:highlight w:val="none"/>
              </w:rPr>
              <w:t xml:space="preserve">（</w:t>
            </w:r>
            <w:r>
              <w:rPr>
                <w:rFonts w:ascii="宋体" w:hAnsi="宋体" w:cs="宋体" w:hint="eastAsia"/>
                <w:color w:val="auto"/>
                <w:sz w:val="21"/>
                <w:szCs w:val="21"/>
                <w:highlight w:val="none"/>
                <w:lang w:val="en-US" w:eastAsia="zh-CN"/>
              </w:rPr>
              <w:t xml:space="preserve">35</w:t>
            </w:r>
            <w:r>
              <w:rPr>
                <w:rFonts w:ascii="宋体" w:eastAsia="宋体" w:hAnsi="宋体" w:cs="宋体" w:hint="eastAsia"/>
                <w:color w:val="auto"/>
                <w:sz w:val="21"/>
                <w:szCs w:val="21"/>
                <w:highlight w:val="none"/>
              </w:rPr>
              <w:t xml:space="preserve">分）</w:t>
            </w:r>
          </w:p>
        </w:tc>
        <w:tc>
          <w:tcPr>
            <w:tcW w:w="7105" w:type="dxa"/>
            <w:noWrap w:val="0"/>
            <w:vAlign w:val="center"/>
          </w:tcPr>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（1）总体概述：施工组织总体设想、方案针对性；（</w:t>
            </w:r>
            <w:r>
              <w:rPr>
                <w:rFonts w:ascii="宋体" w:hAnsi="宋体" w:cs="宋体" w:hint="eastAsia"/>
                <w:color w:val="auto"/>
                <w:sz w:val="21"/>
                <w:szCs w:val="21"/>
                <w:highlight w:val="none"/>
                <w:lang w:val="en-US" w:eastAsia="zh-CN"/>
              </w:rPr>
              <w:t xml:space="preserve">8</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（2）施工现场平面布置和临时设施、临时道路布置；（</w:t>
            </w:r>
            <w:r>
              <w:rPr>
                <w:rFonts w:ascii="宋体" w:hAnsi="宋体" w:cs="宋体" w:hint="eastAsia"/>
                <w:color w:val="auto"/>
                <w:sz w:val="21"/>
                <w:szCs w:val="21"/>
                <w:highlight w:val="none"/>
                <w:lang w:val="en-US" w:eastAsia="zh-CN"/>
              </w:rPr>
              <w:t xml:space="preserve">6</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（3）施工进度计划和各阶段进度的保证措施；（</w:t>
            </w:r>
            <w:r>
              <w:rPr>
                <w:rFonts w:ascii="宋体" w:hAnsi="宋体" w:cs="宋体" w:hint="eastAsia"/>
                <w:color w:val="auto"/>
                <w:sz w:val="21"/>
                <w:szCs w:val="21"/>
                <w:highlight w:val="none"/>
                <w:lang w:val="en-US" w:eastAsia="zh-CN"/>
              </w:rPr>
              <w:t xml:space="preserve">5</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（4）施工过程各阶段质量安全的保证措施；（</w:t>
            </w:r>
            <w:r>
              <w:rPr>
                <w:rFonts w:ascii="宋体" w:hAnsi="宋体" w:cs="宋体" w:hint="eastAsia"/>
                <w:color w:val="auto"/>
                <w:sz w:val="21"/>
                <w:szCs w:val="21"/>
                <w:highlight w:val="none"/>
                <w:lang w:val="en-US" w:eastAsia="zh-CN"/>
              </w:rPr>
              <w:t xml:space="preserve">5</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（5）劳动力、机械设备和材料投入计划；（</w:t>
            </w:r>
            <w:r>
              <w:rPr>
                <w:rFonts w:ascii="宋体" w:hAnsi="宋体" w:cs="宋体" w:hint="eastAsia"/>
                <w:color w:val="auto"/>
                <w:sz w:val="21"/>
                <w:szCs w:val="21"/>
                <w:highlight w:val="none"/>
                <w:lang w:val="en-US" w:eastAsia="zh-CN"/>
              </w:rPr>
              <w:t xml:space="preserve">5</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（6）关键施工技术、工艺及工程项目实施的重点、难点和解决方案。（</w:t>
            </w:r>
            <w:r>
              <w:rPr>
                <w:rFonts w:ascii="宋体" w:hAnsi="宋体" w:cs="宋体" w:hint="eastAsia"/>
                <w:color w:val="auto"/>
                <w:sz w:val="21"/>
                <w:szCs w:val="21"/>
                <w:highlight w:val="none"/>
                <w:lang w:val="en-US" w:eastAsia="zh-CN"/>
              </w:rPr>
              <w:t xml:space="preserve">6</w:t>
            </w:r>
            <w:r>
              <w:rPr>
                <w:rFonts w:ascii="宋体" w:eastAsia="宋体" w:hAnsi="宋体" w:cs="宋体" w:hint="eastAsia"/>
                <w:color w:val="auto"/>
                <w:sz w:val="21"/>
                <w:szCs w:val="21"/>
                <w:highlight w:val="none"/>
              </w:rPr>
              <w:t xml:space="preserve">分）</w:t>
            </w:r>
          </w:p>
          <w:p>
            <w:pPr>
              <w:keepNext w:val="0"/>
              <w:keepLines w:val="0"/>
              <w:pageBreakBefore w:val="0"/>
              <w:widowControl/>
              <w:spacing w:line="400" w:lineRule="exact"/>
              <w:rPr>
                <w:rFonts w:ascii="宋体" w:eastAsia="宋体" w:hAnsi="宋体" w:cs="宋体" w:hint="eastAsia"/>
                <w:bCs/>
                <w:color w:val="auto"/>
                <w:sz w:val="21"/>
                <w:szCs w:val="21"/>
                <w:highlight w:val="none"/>
                <w:lang w:eastAsia="zh-CN"/>
              </w:rPr>
            </w:pPr>
            <w:r>
              <w:rPr>
                <w:rFonts w:ascii="宋体" w:eastAsia="宋体" w:hAnsi="宋体" w:cs="宋体" w:hint="eastAsia"/>
                <w:b/>
                <w:bCs/>
                <w:color w:val="auto"/>
                <w:sz w:val="21"/>
                <w:szCs w:val="21"/>
                <w:highlight w:val="none"/>
              </w:rPr>
              <w:t xml:space="preserve">注：施工组织设计各评分点得分应当取所有评委评分的平均值为最终得分。施工组织设计中除缺少相应内容的评审要点不得分外，其它各项评审要点得分不应低于该评审要点满分的</w:t>
            </w:r>
            <w:r>
              <w:rPr>
                <w:rFonts w:ascii="宋体" w:eastAsia="宋体" w:hAnsi="宋体" w:cs="宋体" w:hint="eastAsia"/>
                <w:b/>
                <w:bCs/>
                <w:color w:val="auto"/>
                <w:sz w:val="21"/>
                <w:szCs w:val="21"/>
                <w:highlight w:val="none"/>
                <w:lang w:val="en-US" w:eastAsia="zh-CN"/>
              </w:rPr>
              <w:t xml:space="preserve">7</w:t>
            </w:r>
            <w:r>
              <w:rPr>
                <w:rFonts w:ascii="宋体" w:eastAsia="宋体" w:hAnsi="宋体" w:cs="宋体" w:hint="eastAsia"/>
                <w:b/>
                <w:bCs/>
                <w:color w:val="auto"/>
                <w:sz w:val="21"/>
                <w:szCs w:val="21"/>
                <w:highlight w:val="none"/>
              </w:rPr>
              <w:t xml:space="preserve">0%。</w:t>
            </w:r>
            <w:bookmarkEnd w:id="8"/>
            <w:bookmarkEnd w:id="9"/>
          </w:p>
        </w:tc>
      </w:tr>
    </w:tbl>
    <w:p>
      <w:pPr>
        <w:spacing w:line="360" w:lineRule="auto"/>
        <w:ind w:firstLine="420"/>
        <w:rPr>
          <w:rFonts w:ascii="宋体" w:eastAsia="宋体" w:hAnsi="宋体" w:cs="宋体" w:hint="eastAsia"/>
          <w:b w:val="0"/>
          <w:bCs/>
          <w:color w:val="auto"/>
          <w:sz w:val="21"/>
          <w:szCs w:val="21"/>
          <w:highlight w:val="none"/>
        </w:rPr>
      </w:pPr>
    </w:p>
    <w:p>
      <w:pPr>
        <w:pStyle w:val="正文文本1"/>
        <w:spacing w:line="360" w:lineRule="auto"/>
        <w:outlineLvl w:val="0"/>
        <w:rPr>
          <w:rFonts w:ascii="宋体" w:eastAsia="宋体" w:hAnsi="宋体" w:cs="宋体" w:hint="eastAsia"/>
          <w:b/>
          <w:color w:val="auto"/>
          <w:sz w:val="36"/>
          <w:szCs w:val="36"/>
          <w:highlight w:val="none"/>
        </w:rPr>
      </w:pPr>
      <w:r>
        <w:br w:type="page"/>
      </w:r>
      <w:bookmarkStart w:id="10" w:name="_Toc6198"/>
      <w:r>
        <w:rPr>
          <w:rFonts w:ascii="宋体" w:eastAsia="宋体" w:hAnsi="宋体" w:cs="宋体" w:hint="eastAsia"/>
          <w:b/>
          <w:color w:val="auto"/>
          <w:sz w:val="36"/>
          <w:szCs w:val="36"/>
          <w:highlight w:val="none"/>
        </w:rPr>
        <w:t xml:space="preserve">第四章  合同条款及格式</w:t>
      </w:r>
      <w:bookmarkEnd w:id="10"/>
    </w:p>
    <w:p>
      <w:pPr>
        <w:spacing w:line="360" w:lineRule="auto"/>
        <w:jc w:val="center"/>
        <w:rPr>
          <w:rFonts w:ascii="宋体" w:eastAsia="宋体" w:hAnsi="宋体" w:cs="宋体" w:hint="eastAsia"/>
          <w:b/>
          <w:bCs/>
          <w:color w:val="auto"/>
          <w:sz w:val="32"/>
          <w:highlight w:val="none"/>
          <w:lang w:val="zh-CN"/>
        </w:rPr>
      </w:pPr>
      <w:r>
        <w:rPr>
          <w:rFonts w:ascii="宋体" w:eastAsia="宋体" w:hAnsi="宋体" w:cs="宋体" w:hint="eastAsia"/>
          <w:b/>
          <w:bCs/>
          <w:color w:val="auto"/>
          <w:sz w:val="32"/>
          <w:highlight w:val="none"/>
          <w:lang w:val="zh-CN"/>
        </w:rPr>
        <w:t xml:space="preserve">第一部分 合同协议书</w:t>
      </w:r>
    </w:p>
    <w:p>
      <w:pPr>
        <w:spacing w:line="360"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发包人（全称）：</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（简称甲方）</w:t>
      </w:r>
    </w:p>
    <w:p>
      <w:pPr>
        <w:spacing w:line="360" w:lineRule="auto"/>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承包人（全称）：</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（简称乙方） </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依照《中华人民共和国民法典》、《中华人民共和国建筑法》及其他有关法律、行政法规，遵循平等、自愿、公平和诚实信用的原则，双方就本工程施工事项协商一致，共同达成如下协议。</w:t>
      </w:r>
      <w:bookmarkStart w:id="11" w:name="_Toc24480292"/>
    </w:p>
    <w:p>
      <w:pPr>
        <w:spacing w:line="360"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一、工程概况</w:t>
      </w:r>
      <w:bookmarkEnd w:id="11"/>
      <w:bookmarkStart w:id="12" w:name="_Toc24480293"/>
    </w:p>
    <w:p>
      <w:pPr>
        <w:spacing w:line="360" w:lineRule="auto"/>
        <w:ind w:firstLine="420"/>
        <w:rPr>
          <w:rFonts w:ascii="宋体" w:eastAsia="宋体" w:hAnsi="宋体" w:cs="宋体" w:hint="eastAsia"/>
          <w:color w:val="auto"/>
          <w:sz w:val="21"/>
          <w:szCs w:val="21"/>
          <w:highlight w:val="none"/>
          <w:lang w:val="en-US" w:eastAsia="zh-CN"/>
        </w:rPr>
      </w:pPr>
      <w:r>
        <w:rPr>
          <w:rFonts w:ascii="宋体" w:eastAsia="宋体" w:hAnsi="宋体" w:cs="宋体" w:hint="eastAsia"/>
          <w:color w:val="auto"/>
          <w:sz w:val="21"/>
          <w:szCs w:val="21"/>
          <w:highlight w:val="none"/>
        </w:rPr>
        <w:t xml:space="preserve">1.工程名称：</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w:t>
      </w:r>
    </w:p>
    <w:p>
      <w:pPr>
        <w:spacing w:line="360" w:lineRule="auto"/>
        <w:ind w:firstLine="420"/>
        <w:rPr>
          <w:rFonts w:ascii="宋体" w:eastAsia="宋体" w:hAnsi="宋体" w:cs="宋体" w:hint="eastAsia"/>
          <w:color w:val="auto"/>
          <w:sz w:val="21"/>
          <w:szCs w:val="21"/>
          <w:highlight w:val="none"/>
          <w:u w:val="single"/>
          <w:lang w:eastAsia="zh-CN"/>
        </w:rPr>
      </w:pPr>
      <w:r>
        <w:rPr>
          <w:rFonts w:ascii="宋体" w:eastAsia="宋体" w:hAnsi="宋体" w:cs="宋体" w:hint="eastAsia"/>
          <w:color w:val="auto"/>
          <w:sz w:val="21"/>
          <w:szCs w:val="21"/>
          <w:highlight w:val="none"/>
        </w:rPr>
        <w:t xml:space="preserve">2.工程地点：</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w:t>
      </w:r>
    </w:p>
    <w:p>
      <w:pPr>
        <w:spacing w:line="360" w:lineRule="auto"/>
        <w:ind w:firstLine="420"/>
        <w:rPr>
          <w:rFonts w:ascii="宋体" w:eastAsia="宋体" w:hAnsi="宋体" w:cs="宋体" w:hint="eastAsia"/>
          <w:color w:val="auto"/>
          <w:sz w:val="21"/>
          <w:szCs w:val="21"/>
          <w:highlight w:val="none"/>
          <w:lang w:eastAsia="zh-CN"/>
        </w:rPr>
      </w:pPr>
      <w:r>
        <w:rPr>
          <w:rFonts w:ascii="宋体" w:eastAsia="宋体" w:hAnsi="宋体" w:cs="宋体" w:hint="eastAsia"/>
          <w:color w:val="auto"/>
          <w:sz w:val="21"/>
          <w:szCs w:val="21"/>
          <w:highlight w:val="none"/>
        </w:rPr>
        <w:t xml:space="preserve">3.工程立项批准文号：</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4.资金来源</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u w:val="single"/>
          <w:lang w:val="en-US" w:eastAsia="zh-CN"/>
        </w:rPr>
        <w:t xml:space="preserve">  </w:t>
      </w:r>
      <w:r>
        <w:rPr>
          <w:rFonts w:ascii="宋体" w:eastAsia="宋体" w:hAnsi="宋体" w:cs="宋体" w:hint="eastAsia"/>
          <w:color w:val="auto"/>
          <w:sz w:val="21"/>
          <w:szCs w:val="21"/>
          <w:highlight w:val="none"/>
        </w:rPr>
        <w:t xml:space="preserve">；</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5.工程内容</w:t>
      </w:r>
      <w:r>
        <w:rPr>
          <w:rFonts w:ascii="宋体" w:eastAsia="宋体" w:hAnsi="宋体" w:cs="宋体" w:hint="eastAsia"/>
          <w:color w:val="auto"/>
          <w:sz w:val="21"/>
          <w:szCs w:val="21"/>
          <w:highlight w:val="none"/>
          <w:u w:val="none"/>
        </w:rPr>
        <w:t xml:space="preserve">：</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w:t>
      </w:r>
      <w:bookmarkEnd w:id="12"/>
    </w:p>
    <w:p>
      <w:pPr>
        <w:spacing w:line="360" w:lineRule="auto"/>
        <w:ind w:firstLine="420"/>
        <w:rPr>
          <w:rFonts w:ascii="宋体" w:eastAsia="宋体" w:hAnsi="宋体" w:cs="宋体" w:hint="eastAsia"/>
          <w:color w:val="auto"/>
          <w:sz w:val="21"/>
          <w:szCs w:val="21"/>
          <w:highlight w:val="none"/>
          <w:u w:val="single"/>
          <w:lang w:eastAsia="zh-CN"/>
        </w:rPr>
      </w:pPr>
      <w:r>
        <w:rPr>
          <w:rFonts w:ascii="宋体" w:eastAsia="宋体" w:hAnsi="宋体" w:cs="宋体" w:hint="eastAsia"/>
          <w:color w:val="auto"/>
          <w:sz w:val="21"/>
          <w:szCs w:val="21"/>
          <w:highlight w:val="none"/>
        </w:rPr>
        <w:t xml:space="preserve">6.工程承包范围：</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u w:val="none"/>
          <w:lang w:eastAsia="zh-CN"/>
        </w:rPr>
        <w:t xml:space="preserve">。</w:t>
      </w:r>
    </w:p>
    <w:p>
      <w:pPr>
        <w:spacing w:line="360" w:lineRule="auto"/>
        <w:ind w:firstLine="422"/>
        <w:rPr>
          <w:rFonts w:ascii="宋体" w:eastAsia="宋体" w:hAnsi="宋体" w:cs="宋体" w:hint="eastAsia"/>
          <w:b/>
          <w:bCs/>
          <w:color w:val="auto"/>
          <w:sz w:val="21"/>
          <w:szCs w:val="21"/>
          <w:highlight w:val="none"/>
        </w:rPr>
      </w:pPr>
      <w:bookmarkStart w:id="13" w:name="_Toc24480294"/>
      <w:r>
        <w:rPr>
          <w:rFonts w:ascii="宋体" w:eastAsia="宋体" w:hAnsi="宋体" w:cs="宋体" w:hint="eastAsia"/>
          <w:b/>
          <w:bCs/>
          <w:color w:val="auto"/>
          <w:sz w:val="21"/>
          <w:szCs w:val="21"/>
          <w:highlight w:val="none"/>
        </w:rPr>
        <w:t xml:space="preserve">二、合同工期</w:t>
      </w:r>
      <w:bookmarkEnd w:id="13"/>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计划开工日期:</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年</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月</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日</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计划竣工日期:</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年</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月</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日</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工期总日历天数: </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日历天。</w:t>
      </w:r>
      <w:bookmarkStart w:id="14" w:name="_Toc24480295"/>
    </w:p>
    <w:p>
      <w:pPr>
        <w:spacing w:line="360"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三、质量标准</w:t>
      </w:r>
      <w:bookmarkEnd w:id="14"/>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工程质量标准:</w:t>
      </w:r>
      <w:bookmarkStart w:id="15" w:name="_Toc24480296"/>
      <w:r>
        <w:rPr>
          <w:rFonts w:ascii="宋体" w:eastAsia="宋体" w:hAnsi="宋体" w:cs="宋体" w:hint="eastAsia"/>
          <w:color w:val="auto"/>
          <w:sz w:val="21"/>
          <w:szCs w:val="21"/>
          <w:highlight w:val="none"/>
          <w:u w:val="single"/>
        </w:rPr>
        <w:t xml:space="preserve">合格</w:t>
      </w:r>
      <w:r>
        <w:rPr>
          <w:rFonts w:ascii="宋体" w:eastAsia="宋体" w:hAnsi="宋体" w:cs="宋体" w:hint="eastAsia"/>
          <w:color w:val="auto"/>
          <w:sz w:val="21"/>
          <w:szCs w:val="21"/>
          <w:highlight w:val="none"/>
        </w:rPr>
        <w:t xml:space="preserve">。</w:t>
      </w:r>
    </w:p>
    <w:p>
      <w:pPr>
        <w:spacing w:line="360"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四、合同价款</w:t>
      </w:r>
      <w:bookmarkEnd w:id="15"/>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金额人民币（大写）: </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元</w:t>
      </w:r>
      <w:r>
        <w:rPr>
          <w:rFonts w:ascii="宋体" w:eastAsia="宋体" w:hAnsi="宋体" w:cs="宋体" w:hint="eastAsia"/>
          <w:color w:val="auto"/>
          <w:sz w:val="21"/>
          <w:szCs w:val="21"/>
          <w:highlight w:val="none"/>
          <w:lang w:eastAsia="zh-CN"/>
        </w:rPr>
        <w:t xml:space="preserve">，</w:t>
      </w:r>
      <w:r>
        <w:rPr>
          <w:rFonts w:ascii="宋体" w:eastAsia="宋体" w:hAnsi="宋体" w:cs="宋体" w:hint="eastAsia"/>
          <w:color w:val="auto"/>
          <w:sz w:val="21"/>
          <w:szCs w:val="21"/>
          <w:highlight w:val="none"/>
        </w:rPr>
        <w:t xml:space="preserve">（小写）¥ </w:t>
      </w:r>
      <w:r>
        <w:rPr>
          <w:rFonts w:ascii="宋体" w:eastAsia="宋体" w:hAnsi="宋体" w:cs="宋体" w:hint="eastAsia"/>
          <w:color w:val="auto"/>
          <w:sz w:val="21"/>
          <w:szCs w:val="21"/>
          <w:highlight w:val="none"/>
          <w:u w:val="single"/>
        </w:rPr>
        <w:t xml:space="preserve">          </w:t>
      </w:r>
      <w:r>
        <w:rPr>
          <w:rFonts w:ascii="宋体" w:eastAsia="宋体" w:hAnsi="宋体" w:cs="宋体" w:hint="eastAsia"/>
          <w:color w:val="auto"/>
          <w:sz w:val="21"/>
          <w:szCs w:val="21"/>
          <w:highlight w:val="none"/>
        </w:rPr>
        <w:t xml:space="preserve">元</w:t>
      </w:r>
      <w:bookmarkStart w:id="16" w:name="_Toc24480297"/>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合同形式：</w:t>
      </w:r>
      <w:r>
        <w:rPr>
          <w:rFonts w:ascii="宋体" w:hAnsi="宋体" w:cs="宋体" w:hint="eastAsia"/>
          <w:color w:val="auto"/>
          <w:sz w:val="21"/>
          <w:szCs w:val="21"/>
          <w:highlight w:val="none"/>
          <w:u w:val="single"/>
          <w:lang w:val="en-US" w:eastAsia="zh-CN"/>
        </w:rPr>
        <w:t xml:space="preserve">固定</w:t>
      </w:r>
      <w:r>
        <w:rPr>
          <w:rFonts w:ascii="宋体" w:eastAsia="宋体" w:hAnsi="宋体" w:cs="宋体" w:hint="eastAsia"/>
          <w:color w:val="auto"/>
          <w:sz w:val="21"/>
          <w:szCs w:val="21"/>
          <w:highlight w:val="none"/>
          <w:u w:val="single"/>
        </w:rPr>
        <w:t xml:space="preserve">单价合同</w:t>
      </w:r>
      <w:r>
        <w:rPr>
          <w:rFonts w:ascii="宋体" w:eastAsia="宋体" w:hAnsi="宋体" w:cs="宋体" w:hint="eastAsia"/>
          <w:color w:val="auto"/>
          <w:sz w:val="21"/>
          <w:szCs w:val="21"/>
          <w:highlight w:val="none"/>
        </w:rPr>
        <w:t xml:space="preserve">。</w:t>
      </w:r>
    </w:p>
    <w:p>
      <w:pPr>
        <w:spacing w:line="360"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五、项目经理</w:t>
      </w:r>
    </w:p>
    <w:p>
      <w:pPr>
        <w:spacing w:line="360" w:lineRule="auto"/>
        <w:ind w:firstLine="420"/>
        <w:rPr>
          <w:rFonts w:ascii="宋体" w:eastAsia="宋体" w:hAnsi="宋体" w:cs="宋体" w:hint="eastAsia"/>
          <w:color w:val="auto"/>
          <w:sz w:val="21"/>
          <w:szCs w:val="21"/>
          <w:highlight w:val="none"/>
          <w:u w:val="single"/>
        </w:rPr>
      </w:pPr>
      <w:r>
        <w:rPr>
          <w:rFonts w:ascii="宋体" w:eastAsia="宋体" w:hAnsi="宋体" w:cs="宋体" w:hint="eastAsia"/>
          <w:color w:val="auto"/>
          <w:sz w:val="21"/>
          <w:szCs w:val="21"/>
          <w:highlight w:val="none"/>
        </w:rPr>
        <w:t xml:space="preserve">承包人项目经理：</w:t>
      </w:r>
      <w:r>
        <w:rPr>
          <w:rFonts w:ascii="宋体" w:eastAsia="宋体" w:hAnsi="宋体" w:cs="宋体" w:hint="eastAsia"/>
          <w:color w:val="auto"/>
          <w:sz w:val="21"/>
          <w:szCs w:val="21"/>
          <w:highlight w:val="none"/>
          <w:u w:val="single"/>
        </w:rPr>
        <w:t xml:space="preserve">           </w:t>
      </w:r>
    </w:p>
    <w:p>
      <w:pPr>
        <w:spacing w:line="360" w:lineRule="auto"/>
        <w:ind w:firstLine="422"/>
        <w:rPr>
          <w:rFonts w:ascii="宋体" w:eastAsia="宋体" w:hAnsi="宋体" w:cs="宋体" w:hint="eastAsia"/>
          <w:b/>
          <w:bCs/>
          <w:color w:val="auto"/>
          <w:sz w:val="21"/>
          <w:szCs w:val="21"/>
          <w:highlight w:val="none"/>
        </w:rPr>
      </w:pPr>
      <w:r>
        <w:rPr>
          <w:rFonts w:ascii="宋体" w:eastAsia="宋体" w:hAnsi="宋体" w:cs="宋体" w:hint="eastAsia"/>
          <w:b/>
          <w:bCs/>
          <w:color w:val="auto"/>
          <w:sz w:val="21"/>
          <w:szCs w:val="21"/>
          <w:highlight w:val="none"/>
        </w:rPr>
        <w:t xml:space="preserve">六、合同文件</w:t>
      </w:r>
      <w:bookmarkEnd w:id="16"/>
      <w:r>
        <w:rPr>
          <w:rFonts w:ascii="宋体" w:eastAsia="宋体" w:hAnsi="宋体" w:cs="宋体" w:hint="eastAsia"/>
          <w:b/>
          <w:bCs/>
          <w:color w:val="auto"/>
          <w:sz w:val="21"/>
          <w:szCs w:val="21"/>
          <w:highlight w:val="none"/>
        </w:rPr>
        <w:t xml:space="preserve">构成</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本协议与下列文件一起构成合同文件:</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1</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本合同协议书 </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2</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lang w:val="en-US" w:eastAsia="zh-CN"/>
        </w:rPr>
        <w:t xml:space="preserve">招标</w:t>
      </w:r>
      <w:r>
        <w:rPr>
          <w:rFonts w:ascii="宋体" w:eastAsia="宋体" w:hAnsi="宋体" w:cs="宋体" w:hint="eastAsia"/>
          <w:color w:val="auto"/>
          <w:sz w:val="21"/>
          <w:szCs w:val="21"/>
          <w:highlight w:val="none"/>
        </w:rPr>
        <w:t xml:space="preserve">文件和成交通知书</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3</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lang w:val="en-US" w:eastAsia="zh-CN"/>
        </w:rPr>
        <w:t xml:space="preserve">投标</w:t>
      </w:r>
      <w:r>
        <w:rPr>
          <w:rFonts w:ascii="宋体" w:eastAsia="宋体" w:hAnsi="宋体" w:cs="宋体" w:hint="eastAsia"/>
          <w:color w:val="auto"/>
          <w:sz w:val="21"/>
          <w:szCs w:val="21"/>
          <w:highlight w:val="none"/>
        </w:rPr>
        <w:t xml:space="preserve">文件及其附件</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4</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本合同专用条款、通用条款</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5</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施工图纸</w:t>
      </w:r>
      <w:r>
        <w:rPr>
          <w:rFonts w:ascii="宋体" w:eastAsia="宋体" w:hAnsi="宋体" w:cs="宋体" w:hint="eastAsia"/>
          <w:color w:val="auto"/>
          <w:sz w:val="21"/>
          <w:szCs w:val="21"/>
          <w:highlight w:val="none"/>
          <w:lang w:eastAsia="zh-CN"/>
        </w:rPr>
        <w:t xml:space="preserve">（</w:t>
      </w:r>
      <w:r>
        <w:rPr>
          <w:rFonts w:ascii="宋体" w:eastAsia="宋体" w:hAnsi="宋体" w:cs="宋体" w:hint="eastAsia"/>
          <w:color w:val="auto"/>
          <w:sz w:val="21"/>
          <w:szCs w:val="21"/>
          <w:highlight w:val="none"/>
          <w:lang w:val="en-US" w:eastAsia="zh-CN"/>
        </w:rPr>
        <w:t xml:space="preserve">如有</w:t>
      </w:r>
      <w:r>
        <w:rPr>
          <w:rFonts w:ascii="宋体" w:eastAsia="宋体" w:hAnsi="宋体" w:cs="宋体" w:hint="eastAsia"/>
          <w:color w:val="auto"/>
          <w:sz w:val="21"/>
          <w:szCs w:val="21"/>
          <w:highlight w:val="none"/>
          <w:lang w:eastAsia="zh-CN"/>
        </w:rPr>
        <w:t xml:space="preserve">）</w:t>
      </w:r>
      <w:r>
        <w:rPr>
          <w:rFonts w:ascii="宋体" w:eastAsia="宋体" w:hAnsi="宋体" w:cs="宋体" w:hint="eastAsia"/>
          <w:color w:val="auto"/>
          <w:sz w:val="21"/>
          <w:szCs w:val="21"/>
          <w:highlight w:val="none"/>
        </w:rPr>
        <w:t xml:space="preserve">、工程量清单</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6</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工程量清单报价表</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7</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明确双方权利、义务的纪要、协议</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8</w:t>
      </w:r>
      <w:r>
        <w:rPr>
          <w:rFonts w:ascii="宋体" w:eastAsia="宋体" w:hAnsi="宋体" w:cs="宋体" w:hint="eastAsia"/>
          <w:bCs/>
          <w:color w:val="auto"/>
          <w:sz w:val="21"/>
          <w:szCs w:val="21"/>
          <w:highlight w:val="none"/>
        </w:rPr>
        <w:t xml:space="preserve">.</w:t>
      </w:r>
      <w:r>
        <w:rPr>
          <w:rFonts w:ascii="宋体" w:eastAsia="宋体" w:hAnsi="宋体" w:cs="宋体" w:hint="eastAsia"/>
          <w:color w:val="auto"/>
          <w:sz w:val="21"/>
          <w:szCs w:val="21"/>
          <w:highlight w:val="none"/>
        </w:rPr>
        <w:t xml:space="preserve">标准、规范及有关技术文件、技术要求</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双方有关工程的洽商、变更等书面协议或文件视为本合同的组成部分。</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22"/>
        <w:rPr>
          <w:rFonts w:ascii="宋体" w:eastAsia="宋体" w:hAnsi="宋体" w:cs="宋体" w:hint="eastAsia"/>
          <w:b/>
          <w:color w:val="auto"/>
          <w:sz w:val="21"/>
          <w:szCs w:val="21"/>
          <w:highlight w:val="none"/>
        </w:rPr>
      </w:pPr>
      <w:bookmarkStart w:id="17" w:name="_Toc351203487"/>
      <w:r>
        <w:rPr>
          <w:rFonts w:ascii="宋体" w:eastAsia="宋体" w:hAnsi="宋体" w:cs="宋体" w:hint="eastAsia"/>
          <w:b/>
          <w:color w:val="auto"/>
          <w:sz w:val="21"/>
          <w:szCs w:val="21"/>
          <w:highlight w:val="none"/>
        </w:rPr>
        <w:t xml:space="preserve">七、承诺</w:t>
      </w:r>
      <w:bookmarkEnd w:id="17"/>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1.发包人承诺按照法律规定履行项目审批手续、筹集工程建设资金并按照合同约定的期限和方式支付合同价款。</w:t>
      </w:r>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3.发包人和承包人通过招投标形式签订合同的，双方理解并承诺不再就同一工程另行签订与合同实质性内容相背离的协议。</w:t>
      </w:r>
    </w:p>
    <w:p>
      <w:pPr>
        <w:spacing w:line="360" w:lineRule="auto"/>
        <w:ind w:firstLine="422"/>
        <w:rPr>
          <w:rFonts w:ascii="宋体" w:eastAsia="宋体" w:hAnsi="宋体" w:cs="宋体" w:hint="eastAsia"/>
          <w:b/>
          <w:color w:val="auto"/>
          <w:sz w:val="21"/>
          <w:szCs w:val="21"/>
          <w:highlight w:val="none"/>
        </w:rPr>
      </w:pPr>
      <w:bookmarkStart w:id="18" w:name="_Toc351203488"/>
      <w:r>
        <w:rPr>
          <w:rFonts w:ascii="宋体" w:eastAsia="宋体" w:hAnsi="宋体" w:cs="宋体" w:hint="eastAsia"/>
          <w:b/>
          <w:color w:val="auto"/>
          <w:sz w:val="21"/>
          <w:szCs w:val="21"/>
          <w:highlight w:val="none"/>
        </w:rPr>
        <w:t xml:space="preserve">八、词语含义</w:t>
      </w:r>
      <w:bookmarkEnd w:id="18"/>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本协议书中词语含义与第二部分通用合同条款中赋予的含义相同。</w:t>
      </w:r>
    </w:p>
    <w:p>
      <w:pPr>
        <w:spacing w:line="360" w:lineRule="auto"/>
        <w:ind w:firstLine="422"/>
        <w:rPr>
          <w:rFonts w:ascii="宋体" w:eastAsia="宋体" w:hAnsi="宋体" w:cs="宋体" w:hint="eastAsia"/>
          <w:b/>
          <w:color w:val="auto"/>
          <w:sz w:val="21"/>
          <w:szCs w:val="21"/>
          <w:highlight w:val="none"/>
        </w:rPr>
      </w:pPr>
      <w:bookmarkStart w:id="19" w:name="_Toc351203489"/>
      <w:r>
        <w:rPr>
          <w:rFonts w:ascii="宋体" w:eastAsia="宋体" w:hAnsi="宋体" w:cs="宋体" w:hint="eastAsia"/>
          <w:b/>
          <w:color w:val="auto"/>
          <w:sz w:val="21"/>
          <w:szCs w:val="21"/>
          <w:highlight w:val="none"/>
        </w:rPr>
        <w:t xml:space="preserve">九、签订时间</w:t>
      </w:r>
      <w:bookmarkEnd w:id="19"/>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本合同于</w:t>
      </w:r>
      <w:r>
        <w:rPr>
          <w:rFonts w:ascii="宋体" w:eastAsia="宋体" w:hAnsi="宋体" w:cs="宋体" w:hint="eastAsia"/>
          <w:bCs/>
          <w:color w:val="auto"/>
          <w:sz w:val="21"/>
          <w:szCs w:val="21"/>
          <w:highlight w:val="none"/>
          <w:u w:val="single"/>
        </w:rPr>
        <w:t xml:space="preserve">       </w:t>
      </w:r>
      <w:r>
        <w:rPr>
          <w:rFonts w:ascii="宋体" w:eastAsia="宋体" w:hAnsi="宋体" w:cs="宋体" w:hint="eastAsia"/>
          <w:bCs/>
          <w:color w:val="auto"/>
          <w:sz w:val="21"/>
          <w:szCs w:val="21"/>
          <w:highlight w:val="none"/>
        </w:rPr>
        <w:t xml:space="preserve">年</w:t>
      </w:r>
      <w:r>
        <w:rPr>
          <w:rFonts w:ascii="宋体" w:eastAsia="宋体" w:hAnsi="宋体" w:cs="宋体" w:hint="eastAsia"/>
          <w:bCs/>
          <w:color w:val="auto"/>
          <w:sz w:val="21"/>
          <w:szCs w:val="21"/>
          <w:highlight w:val="none"/>
          <w:u w:val="single"/>
        </w:rPr>
        <w:t xml:space="preserve">    </w:t>
      </w:r>
      <w:r>
        <w:rPr>
          <w:rFonts w:ascii="宋体" w:eastAsia="宋体" w:hAnsi="宋体" w:cs="宋体" w:hint="eastAsia"/>
          <w:bCs/>
          <w:color w:val="auto"/>
          <w:sz w:val="21"/>
          <w:szCs w:val="21"/>
          <w:highlight w:val="none"/>
        </w:rPr>
        <w:t xml:space="preserve">月</w:t>
      </w:r>
      <w:r>
        <w:rPr>
          <w:rFonts w:ascii="宋体" w:eastAsia="宋体" w:hAnsi="宋体" w:cs="宋体" w:hint="eastAsia"/>
          <w:bCs/>
          <w:color w:val="auto"/>
          <w:sz w:val="21"/>
          <w:szCs w:val="21"/>
          <w:highlight w:val="none"/>
          <w:u w:val="single"/>
        </w:rPr>
        <w:t xml:space="preserve">    </w:t>
      </w:r>
      <w:r>
        <w:rPr>
          <w:rFonts w:ascii="宋体" w:eastAsia="宋体" w:hAnsi="宋体" w:cs="宋体" w:hint="eastAsia"/>
          <w:bCs/>
          <w:color w:val="auto"/>
          <w:sz w:val="21"/>
          <w:szCs w:val="21"/>
          <w:highlight w:val="none"/>
        </w:rPr>
        <w:t xml:space="preserve">日签订。</w:t>
      </w:r>
    </w:p>
    <w:p>
      <w:pPr>
        <w:spacing w:line="360" w:lineRule="auto"/>
        <w:ind w:firstLine="422"/>
        <w:rPr>
          <w:rFonts w:ascii="宋体" w:eastAsia="宋体" w:hAnsi="宋体" w:cs="宋体" w:hint="eastAsia"/>
          <w:b/>
          <w:color w:val="auto"/>
          <w:sz w:val="21"/>
          <w:szCs w:val="21"/>
          <w:highlight w:val="none"/>
        </w:rPr>
      </w:pPr>
      <w:bookmarkStart w:id="20" w:name="_Toc351203490"/>
      <w:r>
        <w:rPr>
          <w:rFonts w:ascii="宋体" w:eastAsia="宋体" w:hAnsi="宋体" w:cs="宋体" w:hint="eastAsia"/>
          <w:b/>
          <w:color w:val="auto"/>
          <w:sz w:val="21"/>
          <w:szCs w:val="21"/>
          <w:highlight w:val="none"/>
        </w:rPr>
        <w:t xml:space="preserve">十、签订地点</w:t>
      </w:r>
      <w:bookmarkEnd w:id="20"/>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本合同在</w:t>
      </w:r>
      <w:r>
        <w:rPr>
          <w:rFonts w:ascii="宋体" w:eastAsia="宋体" w:hAnsi="宋体" w:cs="宋体" w:hint="eastAsia"/>
          <w:bCs/>
          <w:color w:val="auto"/>
          <w:sz w:val="21"/>
          <w:szCs w:val="21"/>
          <w:highlight w:val="none"/>
          <w:u w:val="single"/>
        </w:rPr>
        <w:t xml:space="preserve">                           </w:t>
      </w:r>
      <w:r>
        <w:rPr>
          <w:rFonts w:ascii="宋体" w:eastAsia="宋体" w:hAnsi="宋体" w:cs="宋体" w:hint="eastAsia"/>
          <w:bCs/>
          <w:color w:val="auto"/>
          <w:sz w:val="21"/>
          <w:szCs w:val="21"/>
          <w:highlight w:val="none"/>
        </w:rPr>
        <w:t xml:space="preserve">签订。</w:t>
      </w:r>
    </w:p>
    <w:p>
      <w:pPr>
        <w:spacing w:line="360" w:lineRule="auto"/>
        <w:ind w:firstLine="422"/>
        <w:rPr>
          <w:rFonts w:ascii="宋体" w:eastAsia="宋体" w:hAnsi="宋体" w:cs="宋体" w:hint="eastAsia"/>
          <w:b/>
          <w:color w:val="auto"/>
          <w:sz w:val="21"/>
          <w:szCs w:val="21"/>
          <w:highlight w:val="none"/>
        </w:rPr>
      </w:pPr>
      <w:bookmarkStart w:id="21" w:name="_Toc351203491"/>
      <w:r>
        <w:rPr>
          <w:rFonts w:ascii="宋体" w:eastAsia="宋体" w:hAnsi="宋体" w:cs="宋体" w:hint="eastAsia"/>
          <w:b/>
          <w:color w:val="auto"/>
          <w:sz w:val="21"/>
          <w:szCs w:val="21"/>
          <w:highlight w:val="none"/>
        </w:rPr>
        <w:t xml:space="preserve">十一、补充协议</w:t>
      </w:r>
      <w:bookmarkEnd w:id="21"/>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合同未尽事宜，合同当事人另行签订补充协议，补充协议是合同的组成部分。</w:t>
      </w:r>
    </w:p>
    <w:p>
      <w:pPr>
        <w:spacing w:line="360" w:lineRule="auto"/>
        <w:ind w:firstLine="422"/>
        <w:rPr>
          <w:rFonts w:ascii="宋体" w:eastAsia="宋体" w:hAnsi="宋体" w:cs="宋体" w:hint="eastAsia"/>
          <w:b/>
          <w:color w:val="auto"/>
          <w:sz w:val="21"/>
          <w:szCs w:val="21"/>
          <w:highlight w:val="none"/>
        </w:rPr>
      </w:pPr>
      <w:bookmarkStart w:id="22" w:name="_Toc351203492"/>
      <w:r>
        <w:rPr>
          <w:rFonts w:ascii="宋体" w:eastAsia="宋体" w:hAnsi="宋体" w:cs="宋体" w:hint="eastAsia"/>
          <w:b/>
          <w:color w:val="auto"/>
          <w:sz w:val="21"/>
          <w:szCs w:val="21"/>
          <w:highlight w:val="none"/>
        </w:rPr>
        <w:t xml:space="preserve">十二、合同生效</w:t>
      </w:r>
      <w:bookmarkEnd w:id="22"/>
    </w:p>
    <w:p>
      <w:pPr>
        <w:spacing w:line="360" w:lineRule="auto"/>
        <w:ind w:firstLine="420"/>
        <w:rPr>
          <w:rFonts w:ascii="宋体" w:eastAsia="宋体" w:hAnsi="宋体" w:cs="宋体" w:hint="eastAsia"/>
          <w:bCs/>
          <w:color w:val="auto"/>
          <w:sz w:val="21"/>
          <w:szCs w:val="21"/>
          <w:highlight w:val="none"/>
        </w:rPr>
      </w:pPr>
      <w:r>
        <w:rPr>
          <w:rFonts w:ascii="宋体" w:eastAsia="宋体" w:hAnsi="宋体" w:cs="宋体" w:hint="eastAsia"/>
          <w:bCs/>
          <w:color w:val="auto"/>
          <w:sz w:val="21"/>
          <w:szCs w:val="21"/>
          <w:highlight w:val="none"/>
        </w:rPr>
        <w:t xml:space="preserve">本合同自</w:t>
      </w:r>
      <w:r>
        <w:rPr>
          <w:rFonts w:ascii="宋体" w:eastAsia="宋体" w:hAnsi="宋体" w:cs="宋体" w:hint="eastAsia"/>
          <w:bCs/>
          <w:color w:val="auto"/>
          <w:sz w:val="21"/>
          <w:szCs w:val="21"/>
          <w:highlight w:val="none"/>
          <w:u w:val="single"/>
          <w:lang w:val="en-US" w:eastAsia="zh-CN"/>
        </w:rPr>
        <w:t xml:space="preserve"> 甲乙双方签字盖章后 </w:t>
      </w:r>
      <w:r>
        <w:rPr>
          <w:rFonts w:ascii="宋体" w:eastAsia="宋体" w:hAnsi="宋体" w:cs="宋体" w:hint="eastAsia"/>
          <w:bCs/>
          <w:color w:val="auto"/>
          <w:sz w:val="21"/>
          <w:szCs w:val="21"/>
          <w:highlight w:val="none"/>
        </w:rPr>
        <w:t xml:space="preserve">生效。</w:t>
      </w:r>
    </w:p>
    <w:p>
      <w:pPr>
        <w:spacing w:line="360" w:lineRule="auto"/>
        <w:ind w:firstLine="422"/>
        <w:rPr>
          <w:rFonts w:ascii="宋体" w:eastAsia="宋体" w:hAnsi="宋体" w:cs="宋体" w:hint="eastAsia"/>
          <w:b/>
          <w:color w:val="auto"/>
          <w:sz w:val="21"/>
          <w:szCs w:val="21"/>
          <w:highlight w:val="none"/>
        </w:rPr>
      </w:pPr>
      <w:bookmarkStart w:id="23" w:name="_Toc351203493"/>
      <w:r>
        <w:rPr>
          <w:rFonts w:ascii="宋体" w:eastAsia="宋体" w:hAnsi="宋体" w:cs="宋体" w:hint="eastAsia"/>
          <w:b/>
          <w:color w:val="auto"/>
          <w:sz w:val="21"/>
          <w:szCs w:val="21"/>
          <w:highlight w:val="none"/>
        </w:rPr>
        <w:t xml:space="preserve">十三、合同份数</w:t>
      </w:r>
      <w:bookmarkEnd w:id="23"/>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本合同一式</w:t>
      </w:r>
      <w:r>
        <w:rPr>
          <w:rFonts w:ascii="宋体" w:eastAsia="宋体" w:hAnsi="宋体" w:cs="宋体" w:hint="eastAsia"/>
          <w:color w:val="auto"/>
          <w:sz w:val="21"/>
          <w:szCs w:val="21"/>
          <w:highlight w:val="none"/>
          <w:lang w:val="en-US" w:eastAsia="zh-CN"/>
        </w:rPr>
        <w:t xml:space="preserve">伍</w:t>
      </w:r>
      <w:r>
        <w:rPr>
          <w:rFonts w:ascii="宋体" w:eastAsia="宋体" w:hAnsi="宋体" w:cs="宋体" w:hint="eastAsia"/>
          <w:color w:val="auto"/>
          <w:sz w:val="21"/>
          <w:szCs w:val="21"/>
          <w:highlight w:val="none"/>
        </w:rPr>
        <w:t xml:space="preserve">份，发包人、承包人双方各执两份，代理机构执一份。</w:t>
      </w:r>
    </w:p>
    <w:p>
      <w:pPr>
        <w:spacing w:line="360" w:lineRule="auto"/>
        <w:ind w:firstLine="420"/>
        <w:rPr>
          <w:rFonts w:ascii="宋体" w:eastAsia="宋体" w:hAnsi="宋体" w:cs="宋体" w:hint="eastAsia"/>
          <w:color w:val="auto"/>
          <w:sz w:val="21"/>
          <w:szCs w:val="21"/>
          <w:highlight w:val="none"/>
        </w:rPr>
      </w:pPr>
      <w:bookmarkStart w:id="24" w:name="_Toc498006745"/>
    </w:p>
    <w:p>
      <w:pPr>
        <w:spacing w:line="360" w:lineRule="auto"/>
        <w:ind w:firstLine="420"/>
        <w:rPr>
          <w:rFonts w:ascii="宋体" w:eastAsia="宋体" w:hAnsi="宋体" w:cs="宋体" w:hint="eastAsia"/>
          <w:color w:val="auto"/>
          <w:sz w:val="21"/>
          <w:szCs w:val="21"/>
          <w:highlight w:val="none"/>
        </w:rPr>
      </w:pP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发包人（公章）：                      承包人（公章）：</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法定代表人                            法定代表人</w:t>
      </w: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或委托代理人（签字或盖章）：          或委托代理人（签字或盖章）：</w:t>
      </w:r>
    </w:p>
    <w:p>
      <w:pPr>
        <w:spacing w:line="360" w:lineRule="auto"/>
        <w:ind w:firstLine="420"/>
        <w:rPr>
          <w:rFonts w:ascii="宋体" w:eastAsia="宋体" w:hAnsi="宋体" w:cs="宋体" w:hint="eastAsia"/>
          <w:color w:val="auto"/>
          <w:sz w:val="21"/>
          <w:szCs w:val="21"/>
          <w:highlight w:val="none"/>
        </w:rPr>
      </w:pPr>
    </w:p>
    <w:p>
      <w:pPr>
        <w:spacing w:line="360" w:lineRule="auto"/>
        <w:ind w:firstLine="420"/>
        <w:rPr>
          <w:rFonts w:ascii="宋体" w:eastAsia="宋体" w:hAnsi="宋体" w:cs="宋体" w:hint="eastAsia"/>
          <w:color w:val="auto"/>
          <w:sz w:val="21"/>
          <w:szCs w:val="21"/>
          <w:highlight w:val="none"/>
        </w:rPr>
      </w:pPr>
      <w:r>
        <w:rPr>
          <w:rFonts w:ascii="宋体" w:eastAsia="宋体" w:hAnsi="宋体" w:cs="宋体" w:hint="eastAsia"/>
          <w:color w:val="auto"/>
          <w:sz w:val="21"/>
          <w:szCs w:val="21"/>
          <w:highlight w:val="none"/>
        </w:rPr>
        <w:t xml:space="preserve">采购代理机构（盖章）：</w:t>
      </w:r>
      <w:bookmarkEnd w:id="24"/>
    </w:p>
    <w:p>
      <w:pPr>
        <w:pStyle w:val="纯文本111"/>
        <w:spacing w:line="360" w:lineRule="auto"/>
        <w:ind w:firstLine="420"/>
        <w:rPr>
          <w:rFonts w:eastAsia="宋体" w:hAnsi="宋体" w:cs="宋体" w:hint="eastAsia"/>
          <w:color w:val="auto"/>
          <w:sz w:val="21"/>
          <w:szCs w:val="21"/>
          <w:highlight w:val="none"/>
          <w:lang w:val="en-US" w:eastAsia="zh-CN"/>
        </w:rPr>
      </w:pPr>
      <w:r>
        <w:rPr>
          <w:rFonts w:eastAsia="宋体" w:hAnsi="宋体" w:cs="宋体" w:hint="eastAsia"/>
          <w:color w:val="auto"/>
          <w:sz w:val="21"/>
          <w:szCs w:val="21"/>
          <w:highlight w:val="none"/>
          <w:lang w:val="en-US" w:eastAsia="zh-CN"/>
        </w:rPr>
        <w:t xml:space="preserve">日期：</w:t>
      </w:r>
    </w:p>
    <w:p>
      <w:pPr>
        <w:pStyle w:val="纯文本111"/>
        <w:spacing w:line="360" w:lineRule="auto"/>
        <w:rPr>
          <w:rFonts w:eastAsia="宋体" w:hAnsi="宋体" w:cs="宋体" w:hint="eastAsia"/>
          <w:color w:val="auto"/>
          <w:sz w:val="21"/>
          <w:szCs w:val="21"/>
          <w:highlight w:val="none"/>
          <w:lang w:val="en-US" w:eastAsia="zh-CN"/>
        </w:rPr>
      </w:pPr>
    </w:p>
    <w:p>
      <w:pPr>
        <w:pStyle w:val="纯文本111"/>
        <w:spacing w:line="360" w:lineRule="auto"/>
        <w:rPr>
          <w:rFonts w:eastAsia="宋体" w:hAnsi="宋体" w:cs="宋体" w:hint="eastAsia"/>
          <w:color w:val="auto"/>
          <w:sz w:val="21"/>
          <w:szCs w:val="21"/>
          <w:highlight w:val="none"/>
          <w:lang w:val="en-US" w:eastAsia="zh-CN"/>
        </w:rPr>
      </w:pPr>
    </w:p>
    <w:p>
      <w:pPr>
        <w:pStyle w:val="纯文本111"/>
        <w:spacing w:line="360" w:lineRule="auto"/>
        <w:jc w:val="both"/>
        <w:rPr>
          <w:rFonts w:ascii="宋体" w:eastAsia="宋体" w:hAnsi="宋体" w:cs="宋体" w:hint="eastAsia"/>
          <w:b/>
          <w:bCs/>
          <w:color w:val="auto"/>
          <w:sz w:val="32"/>
          <w:szCs w:val="32"/>
          <w:highlight w:val="none"/>
          <w:lang w:val="zh-CN" w:eastAsia="zh-CN" w:bidi="ar-SA"/>
        </w:rPr>
      </w:pPr>
    </w:p>
    <w:p>
      <w:pPr>
        <w:pStyle w:val="纯文本111"/>
        <w:spacing w:line="360" w:lineRule="auto"/>
        <w:jc w:val="center"/>
        <w:rPr>
          <w:rFonts w:ascii="宋体" w:eastAsia="宋体" w:hAnsi="宋体" w:cs="宋体"/>
          <w:b/>
          <w:bCs/>
          <w:color w:val="auto"/>
          <w:sz w:val="32"/>
          <w:szCs w:val="32"/>
          <w:highlight w:val="none"/>
          <w:lang w:val="zh-CN" w:eastAsia="zh-CN" w:bidi="ar-SA"/>
        </w:rPr>
      </w:pPr>
      <w:r>
        <w:rPr>
          <w:rFonts w:ascii="宋体" w:eastAsia="宋体" w:hAnsi="宋体" w:cs="宋体" w:hint="eastAsia"/>
          <w:b/>
          <w:bCs/>
          <w:color w:val="auto"/>
          <w:sz w:val="32"/>
          <w:szCs w:val="32"/>
          <w:highlight w:val="none"/>
          <w:lang w:val="en-US" w:eastAsia="zh-CN" w:bidi="ar-SA"/>
        </w:rPr>
        <w:t xml:space="preserve"> </w:t>
      </w:r>
      <w:r>
        <w:rPr>
          <w:rFonts w:ascii="宋体" w:eastAsia="宋体" w:hAnsi="宋体" w:cs="宋体" w:hint="eastAsia"/>
          <w:b/>
          <w:bCs/>
          <w:color w:val="auto"/>
          <w:sz w:val="32"/>
          <w:szCs w:val="32"/>
          <w:highlight w:val="none"/>
          <w:lang w:val="zh-CN" w:eastAsia="zh-CN" w:bidi="ar-SA"/>
        </w:rPr>
        <w:t xml:space="preserve">第二部分 通用合同条款</w:t>
      </w:r>
    </w:p>
    <w:p>
      <w:pPr>
        <w:spacing w:line="360" w:lineRule="auto"/>
        <w:ind w:firstLine="420"/>
        <w:rPr>
          <w:rFonts w:ascii="宋体" w:eastAsia="宋体" w:hAnsi="宋体" w:cs="宋体"/>
          <w:color w:val="auto"/>
          <w:szCs w:val="22"/>
          <w:highlight w:val="none"/>
        </w:rPr>
      </w:pPr>
    </w:p>
    <w:p>
      <w:pPr>
        <w:spacing w:line="360" w:lineRule="auto"/>
        <w:ind w:firstLine="422"/>
        <w:rPr>
          <w:rFonts w:ascii="宋体" w:eastAsia="宋体" w:hAnsi="宋体" w:cs="宋体"/>
          <w:color w:val="auto"/>
          <w:szCs w:val="22"/>
          <w:highlight w:val="none"/>
        </w:rPr>
      </w:pPr>
      <w:r>
        <w:rPr>
          <w:rFonts w:ascii="宋体" w:eastAsia="宋体" w:hAnsi="宋体" w:cs="宋体" w:hint="eastAsia"/>
          <w:b/>
          <w:color w:val="auto"/>
          <w:szCs w:val="22"/>
          <w:highlight w:val="none"/>
        </w:rPr>
        <w:t xml:space="preserve">      采用《建设工程施工合同（示范文本）》（GF—2017—0201）。</w:t>
      </w:r>
    </w:p>
    <w:p>
      <w:pPr>
        <w:tabs>
          <w:tab w:val="left" w:pos="0"/>
        </w:tabs>
        <w:spacing w:line="540" w:lineRule="exact"/>
        <w:ind w:right="-36" w:firstLine="529"/>
        <w:jc w:val="center"/>
        <w:rPr>
          <w:rFonts w:ascii="宋体" w:eastAsia="宋体" w:hAnsi="宋体" w:cs="宋体"/>
          <w:color w:val="auto"/>
          <w:szCs w:val="22"/>
          <w:highlight w:val="none"/>
        </w:rPr>
      </w:pPr>
    </w:p>
    <w:p>
      <w:pPr>
        <w:keepNext/>
        <w:keepLines/>
        <w:widowControl w:val="0"/>
        <w:spacing w:line="360" w:lineRule="auto"/>
        <w:jc w:val="center"/>
        <w:outlineLvl w:val="2"/>
        <w:rPr>
          <w:rFonts w:ascii="宋体" w:eastAsia="宋体" w:hAnsi="宋体" w:cs="宋体"/>
          <w:b/>
          <w:bCs/>
          <w:color w:val="auto"/>
          <w:sz w:val="21"/>
          <w:szCs w:val="32"/>
          <w:highlight w:val="none"/>
          <w:lang w:val="zh-CN" w:eastAsia="zh-CN" w:bidi="ar-SA"/>
        </w:rPr>
      </w:pPr>
      <w:bookmarkStart w:id="25" w:name="_Toc498006746"/>
      <w:r>
        <w:rPr>
          <w:rFonts w:ascii="宋体" w:eastAsia="宋体" w:hAnsi="宋体" w:cs="宋体" w:hint="eastAsia"/>
          <w:b/>
          <w:bCs/>
          <w:color w:val="auto"/>
          <w:sz w:val="32"/>
          <w:szCs w:val="32"/>
          <w:highlight w:val="none"/>
          <w:lang w:val="en-US" w:eastAsia="zh-CN" w:bidi="ar-SA"/>
        </w:rPr>
        <w:t xml:space="preserve">   </w:t>
      </w:r>
      <w:r>
        <w:rPr>
          <w:rFonts w:ascii="宋体" w:eastAsia="宋体" w:hAnsi="宋体" w:cs="宋体" w:hint="eastAsia"/>
          <w:b/>
          <w:bCs/>
          <w:color w:val="auto"/>
          <w:sz w:val="32"/>
          <w:szCs w:val="32"/>
          <w:highlight w:val="none"/>
          <w:lang w:val="zh-CN" w:eastAsia="zh-CN" w:bidi="ar-SA"/>
        </w:rPr>
        <w:t xml:space="preserve">第三部分 专用合同条款</w:t>
      </w:r>
      <w:bookmarkEnd w:id="25"/>
    </w:p>
    <w:p>
      <w:pPr>
        <w:spacing w:line="240" w:lineRule="auto"/>
        <w:rPr>
          <w:rFonts w:ascii="宋体" w:eastAsia="宋体" w:hAnsi="宋体" w:cs="宋体"/>
          <w:color w:val="auto"/>
          <w:szCs w:val="22"/>
          <w:highlight w:val="none"/>
        </w:rPr>
      </w:pPr>
      <w:bookmarkStart w:id="26" w:name="_Toc351203633"/>
      <w:r>
        <w:rPr>
          <w:rFonts w:ascii="宋体" w:eastAsia="宋体" w:hAnsi="宋体" w:cs="宋体" w:hint="eastAsia"/>
          <w:color w:val="auto"/>
          <w:szCs w:val="22"/>
          <w:highlight w:val="none"/>
        </w:rPr>
        <w:t xml:space="preserve">1</w:t>
      </w:r>
      <w:bookmarkStart w:id="27" w:name="_Toc292559361"/>
      <w:bookmarkStart w:id="28" w:name="_Toc292559866"/>
      <w:bookmarkStart w:id="29" w:name="_Toc296890984"/>
      <w:bookmarkStart w:id="30" w:name="_Toc296347155"/>
      <w:bookmarkStart w:id="31" w:name="_Toc297048342"/>
      <w:bookmarkStart w:id="32" w:name="_Toc296503156"/>
      <w:bookmarkStart w:id="33" w:name="_Toc296346657"/>
      <w:bookmarkStart w:id="34" w:name="_Toc296944495"/>
      <w:bookmarkStart w:id="35" w:name="_Toc296891196"/>
      <w:bookmarkStart w:id="36" w:name="_Toc297120456"/>
      <w:r>
        <w:rPr>
          <w:rFonts w:ascii="宋体" w:eastAsia="宋体" w:hAnsi="宋体" w:cs="宋体" w:hint="eastAsia"/>
          <w:color w:val="auto"/>
          <w:szCs w:val="22"/>
          <w:highlight w:val="none"/>
        </w:rPr>
        <w:t xml:space="preserve">. 一般约定</w:t>
      </w:r>
      <w:bookmarkEnd w:id="26"/>
      <w:bookmarkEnd w:id="27"/>
      <w:bookmarkEnd w:id="28"/>
      <w:bookmarkEnd w:id="29"/>
      <w:bookmarkEnd w:id="30"/>
      <w:bookmarkEnd w:id="31"/>
      <w:bookmarkEnd w:id="32"/>
      <w:bookmarkEnd w:id="33"/>
      <w:bookmarkEnd w:id="34"/>
      <w:bookmarkEnd w:id="35"/>
      <w:bookmarkEnd w:id="36"/>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 词语定义</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1.1.1合同</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1.1.1.10其他合同文件包括：</w:t>
      </w:r>
      <w:r>
        <w:rPr>
          <w:rFonts w:ascii="宋体" w:eastAsia="宋体" w:hAnsi="宋体" w:cs="宋体" w:hint="eastAsia"/>
          <w:color w:val="auto"/>
          <w:szCs w:val="22"/>
          <w:highlight w:val="none"/>
          <w:u w:val="single"/>
        </w:rPr>
        <w:t xml:space="preserve">1、承诺人承诺书；2、在实施过程中双方共同签署的补充与修正文件；3、招标文件的澄清、答疑、补充文件等；4、投标人须知。 </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1.1.2 合同当事人及其他相关方</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1.1.2.4监理人：</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名称：</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资质类别和等级：</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联系电话：</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电子信箱：</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通信地址：</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1.1.2.5 设计人：</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名称：</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资质类别和等级：</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联系电话：</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电子信箱：</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通信地址：</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1.1.3 工程和设备</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1.1.3.7 作为施工现场组成部分的其他场所包括：</w:t>
      </w:r>
      <w:r>
        <w:rPr>
          <w:rFonts w:ascii="宋体" w:eastAsia="宋体" w:hAnsi="宋体" w:cs="宋体" w:hint="eastAsia"/>
          <w:color w:val="auto"/>
          <w:szCs w:val="22"/>
          <w:highlight w:val="none"/>
          <w:u w:val="single"/>
        </w:rPr>
        <w:t xml:space="preserve">本项目的施工现场。</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1.1.3.9 永久占地包括：</w:t>
      </w:r>
      <w:r>
        <w:rPr>
          <w:rFonts w:ascii="宋体" w:eastAsia="宋体" w:hAnsi="宋体" w:cs="宋体" w:hint="eastAsia"/>
          <w:color w:val="auto"/>
          <w:szCs w:val="22"/>
          <w:highlight w:val="none"/>
          <w:u w:val="single"/>
        </w:rPr>
        <w:t xml:space="preserve">依据建设用地规划许可证、建设工程规划许可证，设计图纸实施的永久工程占用的永久用地、室外配套工程和绿化工程永久用地</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1.1.3.10 临时占地包括：</w:t>
      </w:r>
      <w:r>
        <w:rPr>
          <w:rFonts w:ascii="宋体" w:eastAsia="宋体" w:hAnsi="宋体" w:cs="宋体" w:hint="eastAsia"/>
          <w:color w:val="auto"/>
          <w:szCs w:val="22"/>
          <w:highlight w:val="none"/>
          <w:u w:val="single"/>
        </w:rPr>
        <w:t xml:space="preserve">施工现场范围内非永久工程占用的永久用地以及为实施项目建设需要的其他临时占地范围</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1.3法律</w:t>
      </w:r>
    </w:p>
    <w:p>
      <w:pPr>
        <w:spacing w:line="240" w:lineRule="auto"/>
        <w:ind w:left="596"/>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适用于合同的其他规范性文件：</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《中华人民共和国建筑法》</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w:t>
      </w:r>
      <w:r>
        <w:rPr>
          <w:rFonts w:ascii="宋体" w:eastAsia="宋体" w:hAnsi="宋体" w:cs="宋体" w:hint="eastAsia"/>
          <w:color w:val="auto"/>
          <w:szCs w:val="22"/>
          <w:highlight w:val="none"/>
          <w:u w:val="single"/>
          <w:lang w:val="en-US" w:eastAsia="zh-CN"/>
        </w:rPr>
        <w:t xml:space="preserve">民法典</w:t>
      </w:r>
      <w:r>
        <w:rPr>
          <w:rFonts w:ascii="宋体" w:eastAsia="宋体" w:hAnsi="宋体" w:cs="宋体" w:hint="eastAsia"/>
          <w:color w:val="auto"/>
          <w:szCs w:val="22"/>
          <w:highlight w:val="none"/>
          <w:u w:val="single"/>
        </w:rPr>
        <w:t xml:space="preserve">》</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《中华人民共和国招标投标法》</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《中华人民共和国安全生产法》</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《建设工程安全生产管理条例》（国务院第393 号令）</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《建设工程质量管理条例》</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《工程建设标准强制性条文》（房屋建筑部分）</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《中华人民共和国审计法》</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《中华人民共和国审计法实施条例》</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《政府投资项目审计规定》（审投发[2010]173 号）</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《江苏省审计机关政府投资项目跟踪审计实施办法》（苏审发[2008]168 号）</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《江苏省审计条例》（省人大常委会第78号公告）</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《江苏省建筑市场管理条例》</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《淮安市政府投资项目审计监督办法》（淮政发[2009]49号）</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“最高人民法院关于审理建设工程施工合同纠纷案件适用法律问题的解释”</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国家、江苏省、淮安市现行的法律法规。</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 标准和规范</w:t>
      </w:r>
    </w:p>
    <w:p>
      <w:pPr>
        <w:spacing w:line="240" w:lineRule="auto"/>
        <w:ind w:left="596"/>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1.4.1适用于工程的标准规范包括：</w:t>
      </w:r>
      <w:r>
        <w:rPr>
          <w:rFonts w:ascii="宋体" w:eastAsia="宋体" w:hAnsi="宋体" w:cs="宋体" w:hint="eastAsia"/>
          <w:color w:val="auto"/>
          <w:szCs w:val="22"/>
          <w:highlight w:val="none"/>
          <w:u w:val="single"/>
        </w:rPr>
        <w:t xml:space="preserve">本工程设计施工图纸中要求采用的国家、行业、地方的施工验收规范、技术规程及施工图集等</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1.4.2 发包人提供国外标准、规范的名称：</w:t>
      </w:r>
      <w:r>
        <w:rPr>
          <w:rFonts w:ascii="宋体" w:eastAsia="宋体" w:hAnsi="宋体" w:cs="宋体" w:hint="eastAsia"/>
          <w:color w:val="auto"/>
          <w:szCs w:val="22"/>
          <w:highlight w:val="none"/>
          <w:u w:val="single"/>
        </w:rPr>
        <w:t xml:space="preserve">   无</w:t>
      </w:r>
      <w:r>
        <w:rPr>
          <w:rFonts w:ascii="宋体" w:eastAsia="宋体" w:hAnsi="宋体" w:cs="宋体" w:hint="eastAsia"/>
          <w:color w:val="auto"/>
          <w:szCs w:val="22"/>
          <w:highlight w:val="none"/>
        </w:rPr>
        <w:t xml:space="preserve">；   </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发包人提供国外标准、规范的份数：</w:t>
      </w:r>
      <w:r>
        <w:rPr>
          <w:rFonts w:ascii="宋体" w:eastAsia="宋体" w:hAnsi="宋体" w:cs="宋体" w:hint="eastAsia"/>
          <w:color w:val="auto"/>
          <w:szCs w:val="22"/>
          <w:highlight w:val="none"/>
          <w:u w:val="single"/>
        </w:rPr>
        <w:t xml:space="preserve">     无</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发包人提供国外标准、规范的名称：</w:t>
      </w:r>
      <w:r>
        <w:rPr>
          <w:rFonts w:ascii="宋体" w:eastAsia="宋体" w:hAnsi="宋体" w:cs="宋体" w:hint="eastAsia"/>
          <w:color w:val="auto"/>
          <w:szCs w:val="22"/>
          <w:highlight w:val="none"/>
          <w:u w:val="single"/>
        </w:rPr>
        <w:t xml:space="preserve"> 无</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1.4.3发包人对工程的技术标准和功能要求的特殊要求：</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 合同文件的优先顺序</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合同文件组成及优先顺序为：</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1</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本合同协议书 </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2</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招标</w:t>
      </w:r>
      <w:r>
        <w:rPr>
          <w:rFonts w:ascii="宋体" w:eastAsia="宋体" w:hAnsi="宋体" w:cs="宋体" w:hint="eastAsia"/>
          <w:color w:val="auto"/>
          <w:szCs w:val="22"/>
          <w:highlight w:val="none"/>
          <w:u w:val="single"/>
        </w:rPr>
        <w:t xml:space="preserve">文件和成交通知书</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3</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投标</w:t>
      </w:r>
      <w:r>
        <w:rPr>
          <w:rFonts w:ascii="宋体" w:eastAsia="宋体" w:hAnsi="宋体" w:cs="宋体" w:hint="eastAsia"/>
          <w:color w:val="auto"/>
          <w:szCs w:val="22"/>
          <w:highlight w:val="none"/>
          <w:u w:val="single"/>
        </w:rPr>
        <w:t xml:space="preserve">文件及其附件</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4</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本合同专用条款、通用条款</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5</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施工图纸</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如有</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、工程量清单</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6</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工程量清单报价表</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7</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明确双方权利、义务的纪要、协议</w:t>
      </w:r>
    </w:p>
    <w:p>
      <w:pPr>
        <w:spacing w:line="240" w:lineRule="auto"/>
        <w:ind w:firstLine="420"/>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8</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标准、规范及有关技术文件、技术要求</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u w:val="single"/>
          <w:lang w:val="en-US" w:eastAsia="zh-CN"/>
        </w:rPr>
        <w:t xml:space="preserve">9</w:t>
      </w:r>
      <w:r>
        <w:rPr>
          <w:rFonts w:ascii="宋体" w:eastAsia="宋体" w:hAnsi="宋体" w:cs="宋体" w:hint="eastAsia"/>
          <w:color w:val="auto"/>
          <w:szCs w:val="22"/>
          <w:highlight w:val="none"/>
          <w:u w:val="single"/>
        </w:rPr>
        <w:t xml:space="preserve">）其他合同文件。</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 图纸和承包人文件</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1.6.1 图纸的提供</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发包人向承包人提供图纸的期限：</w:t>
      </w:r>
      <w:r>
        <w:rPr>
          <w:rFonts w:ascii="宋体" w:eastAsia="宋体" w:hAnsi="宋体" w:cs="宋体" w:hint="eastAsia"/>
          <w:color w:val="auto"/>
          <w:szCs w:val="22"/>
          <w:highlight w:val="none"/>
          <w:u w:val="single"/>
        </w:rPr>
        <w:t xml:space="preserve">合同签订后7日内</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发包人向承包人提供图纸的数量：</w:t>
      </w:r>
      <w:r>
        <w:rPr>
          <w:rFonts w:ascii="宋体" w:eastAsia="宋体" w:hAnsi="宋体" w:cs="宋体" w:hint="eastAsia"/>
          <w:color w:val="auto"/>
          <w:szCs w:val="22"/>
          <w:highlight w:val="none"/>
          <w:u w:val="single"/>
        </w:rPr>
        <w:t xml:space="preserve">施工图纸2套，电子版1套</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发包人向承包人提供图纸的内容：</w:t>
      </w:r>
      <w:r>
        <w:rPr>
          <w:rFonts w:ascii="宋体" w:eastAsia="宋体" w:hAnsi="宋体" w:cs="宋体" w:hint="eastAsia"/>
          <w:color w:val="auto"/>
          <w:szCs w:val="22"/>
          <w:highlight w:val="none"/>
          <w:u w:val="single"/>
        </w:rPr>
        <w:t xml:space="preserve">经审核的全专业设计施工图纸、地勘报告、周边管线图纸</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1.6.4 承包人文件</w:t>
      </w:r>
    </w:p>
    <w:p>
      <w:pPr>
        <w:spacing w:line="240" w:lineRule="auto"/>
        <w:ind w:left="596"/>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需要由承包人提供的文件，包括：</w:t>
      </w:r>
      <w:r>
        <w:rPr>
          <w:rFonts w:ascii="宋体" w:eastAsia="宋体" w:hAnsi="宋体" w:cs="宋体" w:hint="eastAsia"/>
          <w:color w:val="auto"/>
          <w:szCs w:val="22"/>
          <w:highlight w:val="none"/>
          <w:u w:val="single"/>
        </w:rPr>
        <w:t xml:space="preserve">施工组织设计、各类工程资料、质量检查验收资料、质保资料</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承包人提供的文件的期限为：</w:t>
      </w:r>
      <w:r>
        <w:rPr>
          <w:rFonts w:ascii="宋体" w:eastAsia="宋体" w:hAnsi="宋体" w:cs="宋体" w:hint="eastAsia"/>
          <w:color w:val="auto"/>
          <w:szCs w:val="22"/>
          <w:highlight w:val="none"/>
          <w:u w:val="single"/>
        </w:rPr>
        <w:t xml:space="preserve">施工组织设计为正式开工前7日，其他文件按《专用合同条款》约定执行</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承包人提供的文件的数量为：</w:t>
      </w:r>
      <w:r>
        <w:rPr>
          <w:rFonts w:ascii="宋体" w:eastAsia="宋体" w:hAnsi="宋体" w:cs="宋体" w:hint="eastAsia"/>
          <w:color w:val="auto"/>
          <w:szCs w:val="22"/>
          <w:highlight w:val="none"/>
          <w:u w:val="single"/>
        </w:rPr>
        <w:t xml:space="preserve">三套</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承包人提供的文件的形式为：</w:t>
      </w:r>
      <w:r>
        <w:rPr>
          <w:rFonts w:ascii="宋体" w:eastAsia="宋体" w:hAnsi="宋体" w:cs="宋体" w:hint="eastAsia"/>
          <w:color w:val="auto"/>
          <w:szCs w:val="22"/>
          <w:highlight w:val="none"/>
          <w:u w:val="single"/>
        </w:rPr>
        <w:t xml:space="preserve">书面文件</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发包人审批承包人文件的期限：</w:t>
      </w:r>
      <w:r>
        <w:rPr>
          <w:rFonts w:ascii="宋体" w:eastAsia="宋体" w:hAnsi="宋体" w:cs="宋体" w:hint="eastAsia"/>
          <w:color w:val="auto"/>
          <w:szCs w:val="22"/>
          <w:highlight w:val="none"/>
          <w:u w:val="single"/>
        </w:rPr>
        <w:t xml:space="preserve">施工组织设计7日内，各类工程资料、质量检查验收资料、质保资料24小时内</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1.6.5 现场图纸准备</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关于现场图纸准备的约定：</w:t>
      </w:r>
      <w:r>
        <w:rPr>
          <w:rFonts w:ascii="宋体" w:eastAsia="宋体" w:hAnsi="宋体" w:cs="宋体" w:hint="eastAsia"/>
          <w:color w:val="auto"/>
          <w:szCs w:val="22"/>
          <w:highlight w:val="none"/>
          <w:u w:val="single"/>
        </w:rPr>
        <w:t xml:space="preserve">按《通用合同条款》执行</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1.7 联络</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1.7.1发包人和承包人应当在</w:t>
      </w:r>
      <w:r>
        <w:rPr>
          <w:rFonts w:ascii="宋体" w:eastAsia="宋体" w:hAnsi="宋体" w:cs="宋体" w:hint="eastAsia"/>
          <w:color w:val="auto"/>
          <w:szCs w:val="22"/>
          <w:highlight w:val="none"/>
          <w:u w:val="single"/>
        </w:rPr>
        <w:t xml:space="preserve">5</w:t>
      </w:r>
      <w:r>
        <w:rPr>
          <w:rFonts w:ascii="宋体" w:eastAsia="宋体" w:hAnsi="宋体" w:cs="宋体" w:hint="eastAsia"/>
          <w:color w:val="auto"/>
          <w:szCs w:val="22"/>
          <w:highlight w:val="none"/>
        </w:rPr>
        <w:t xml:space="preserve">天内将与合同有关的通知、批准、证明、证书、指示、指令、要求、请求、同意、意见、确定和决定等书面函件送达对方当事人。</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1.7.2 发包人接收文件的地点：</w:t>
      </w:r>
      <w:r>
        <w:rPr>
          <w:rFonts w:ascii="宋体" w:eastAsia="宋体" w:hAnsi="宋体" w:cs="宋体" w:hint="eastAsia"/>
          <w:b/>
          <w:color w:val="auto"/>
          <w:szCs w:val="22"/>
          <w:highlight w:val="none"/>
          <w:u w:val="single"/>
        </w:rPr>
        <w:t xml:space="preserve">本项目的施工现场业主办公室</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发包人指定的接收人为：</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承包人接收文件的地点：</w:t>
      </w:r>
      <w:r>
        <w:rPr>
          <w:rFonts w:ascii="宋体" w:eastAsia="宋体" w:hAnsi="宋体" w:cs="宋体" w:hint="eastAsia"/>
          <w:b/>
          <w:color w:val="auto"/>
          <w:szCs w:val="22"/>
          <w:highlight w:val="none"/>
          <w:u w:val="single"/>
        </w:rPr>
        <w:t xml:space="preserve">本项目的施工现场办公室</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承包人指定的接收人为：</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监理人接收文件的地点：</w:t>
      </w:r>
      <w:r>
        <w:rPr>
          <w:rFonts w:ascii="宋体" w:eastAsia="宋体" w:hAnsi="宋体" w:cs="宋体" w:hint="eastAsia"/>
          <w:b/>
          <w:color w:val="auto"/>
          <w:szCs w:val="22"/>
          <w:highlight w:val="none"/>
          <w:u w:val="single"/>
        </w:rPr>
        <w:t xml:space="preserve">本项目的施工现场办公室</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监理人指定的接收人为：</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1.10 交通运输</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Start w:id="37" w:name="_Toc318581155"/>
      <w:bookmarkStart w:id="38" w:name="_Toc304295521"/>
      <w:bookmarkStart w:id="39" w:name="_Toc312677986"/>
      <w:bookmarkStart w:id="40" w:name="_Toc300934943"/>
      <w:bookmarkStart w:id="41" w:name="_Toc303539100"/>
      <w:r>
        <w:rPr>
          <w:rFonts w:ascii="宋体" w:eastAsia="宋体" w:hAnsi="宋体" w:cs="宋体" w:hint="eastAsia"/>
          <w:color w:val="auto"/>
          <w:szCs w:val="22"/>
          <w:highlight w:val="none"/>
        </w:rPr>
        <w:t xml:space="preserve">.10.1 出入现场的权利</w:t>
      </w:r>
    </w:p>
    <w:p>
      <w:pPr>
        <w:spacing w:line="240" w:lineRule="auto"/>
        <w:ind w:left="596"/>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关于出入现场的权利的约定：</w:t>
      </w:r>
      <w:r>
        <w:rPr>
          <w:rFonts w:ascii="宋体" w:eastAsia="宋体" w:hAnsi="宋体" w:cs="宋体" w:hint="eastAsia"/>
          <w:b/>
          <w:color w:val="auto"/>
          <w:szCs w:val="22"/>
          <w:highlight w:val="none"/>
          <w:u w:val="single"/>
        </w:rPr>
        <w:t xml:space="preserve">发包人应根据施工需要，负责取得出入施工现场所需的批准手续和全部权利，以及取得因施工所需修建道路、桥梁以及其他基础设施的权利，根据承包人施工组织设计，开通出入口，并承担相关手续费用和建设费用。</w:t>
      </w:r>
      <w:bookmarkEnd w:id="37"/>
      <w:bookmarkEnd w:id="38"/>
      <w:bookmarkEnd w:id="39"/>
      <w:bookmarkEnd w:id="40"/>
      <w:bookmarkEnd w:id="41"/>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Start w:id="42" w:name="_Toc312677987"/>
      <w:bookmarkStart w:id="43" w:name="_Toc318581156"/>
      <w:bookmarkStart w:id="44" w:name="_Toc303539101"/>
      <w:bookmarkStart w:id="45" w:name="_Toc304295522"/>
      <w:bookmarkStart w:id="46" w:name="_Toc300934944"/>
      <w:r>
        <w:rPr>
          <w:rFonts w:ascii="宋体" w:eastAsia="宋体" w:hAnsi="宋体" w:cs="宋体" w:hint="eastAsia"/>
          <w:color w:val="auto"/>
          <w:szCs w:val="22"/>
          <w:highlight w:val="none"/>
        </w:rPr>
        <w:t xml:space="preserve">.10.3 场内交通</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关于场外交通和场内交通的边界的约定：</w:t>
      </w:r>
      <w:r>
        <w:rPr>
          <w:rFonts w:ascii="宋体" w:eastAsia="宋体" w:hAnsi="宋体" w:cs="宋体" w:hint="eastAsia"/>
          <w:b/>
          <w:color w:val="auto"/>
          <w:szCs w:val="22"/>
          <w:highlight w:val="none"/>
          <w:u w:val="single"/>
        </w:rPr>
        <w:t xml:space="preserve">场外交通以建筑红线为界</w:t>
      </w:r>
      <w:r>
        <w:rPr>
          <w:rFonts w:ascii="宋体" w:eastAsia="宋体" w:hAnsi="宋体" w:cs="宋体" w:hint="eastAsia"/>
          <w:color w:val="auto"/>
          <w:szCs w:val="22"/>
          <w:highlight w:val="none"/>
          <w:u w:val="single"/>
        </w:rPr>
        <w:t xml:space="preserve">  。</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关于发包人向承包人免费提供满足工程施工需要的场内道路和交通设施的约定：</w:t>
      </w:r>
      <w:r>
        <w:rPr>
          <w:rFonts w:ascii="宋体" w:eastAsia="宋体" w:hAnsi="宋体" w:cs="宋体" w:hint="eastAsia"/>
          <w:b/>
          <w:color w:val="auto"/>
          <w:szCs w:val="22"/>
          <w:highlight w:val="none"/>
          <w:u w:val="single"/>
        </w:rPr>
        <w:t xml:space="preserve">无</w:t>
      </w:r>
      <w:r>
        <w:rPr>
          <w:rFonts w:ascii="宋体" w:eastAsia="宋体" w:hAnsi="宋体" w:cs="宋体" w:hint="eastAsia"/>
          <w:color w:val="auto"/>
          <w:szCs w:val="22"/>
          <w:highlight w:val="none"/>
        </w:rPr>
        <w:t xml:space="preserve">。</w:t>
      </w:r>
      <w:bookmarkEnd w:id="42"/>
      <w:bookmarkEnd w:id="43"/>
      <w:bookmarkEnd w:id="44"/>
      <w:bookmarkEnd w:id="45"/>
      <w:bookmarkEnd w:id="46"/>
      <w:bookmarkStart w:id="47" w:name="_Toc318581157"/>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1.10.4超大件和超重件的运输</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运输超大件或超重件所需的道路和桥梁临时加固改造费用和其他有关费用由</w:t>
      </w:r>
      <w:r>
        <w:rPr>
          <w:rFonts w:ascii="宋体" w:eastAsia="宋体" w:hAnsi="宋体" w:cs="宋体" w:hint="eastAsia"/>
          <w:b/>
          <w:color w:val="auto"/>
          <w:szCs w:val="22"/>
          <w:highlight w:val="none"/>
          <w:u w:val="single"/>
        </w:rPr>
        <w:t xml:space="preserve">承包人承担（如因发包人的原因涉及包括但不限于建筑材料、安装设备等超大超重件的更换、变更等因素由发包人承担）。 </w:t>
      </w:r>
      <w:bookmarkEnd w:id="47"/>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1.11 知识产权</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eastAsia="宋体" w:hAnsi="宋体" w:cs="宋体" w:hint="eastAsia"/>
          <w:b/>
          <w:color w:val="auto"/>
          <w:szCs w:val="22"/>
          <w:highlight w:val="none"/>
          <w:u w:val="single"/>
        </w:rPr>
        <w:t xml:space="preserve">除双方另有约定外，相关文件的著作权属发包人。</w:t>
      </w:r>
    </w:p>
    <w:p>
      <w:pPr>
        <w:spacing w:line="240" w:lineRule="auto"/>
        <w:ind w:left="596"/>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关于发包人提供的上述文件的使用限制的要求：</w:t>
      </w:r>
      <w:r>
        <w:rPr>
          <w:rFonts w:ascii="宋体" w:eastAsia="宋体" w:hAnsi="宋体" w:cs="宋体" w:hint="eastAsia"/>
          <w:b/>
          <w:color w:val="auto"/>
          <w:szCs w:val="22"/>
          <w:highlight w:val="none"/>
          <w:u w:val="single"/>
        </w:rPr>
        <w:t xml:space="preserve">未经发包人书面同意，承包人不得为了合同以外的目的而复制、使用上述文件或将之提供给任何第三方。</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1.11.2 关于承包人为实施工程所编制文件的著作权的归属：</w:t>
      </w:r>
      <w:r>
        <w:rPr>
          <w:rFonts w:ascii="宋体" w:eastAsia="宋体" w:hAnsi="宋体" w:cs="宋体" w:hint="eastAsia"/>
          <w:b/>
          <w:color w:val="auto"/>
          <w:szCs w:val="22"/>
          <w:highlight w:val="none"/>
          <w:u w:val="single"/>
        </w:rPr>
        <w:t xml:space="preserve">按《通用合同条款》执行</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关于承包人提供的上述文件的使用限制的要求：</w:t>
      </w:r>
      <w:r>
        <w:rPr>
          <w:rFonts w:ascii="宋体" w:eastAsia="宋体" w:hAnsi="宋体" w:cs="宋体" w:hint="eastAsia"/>
          <w:color w:val="auto"/>
          <w:szCs w:val="22"/>
          <w:highlight w:val="none"/>
          <w:u w:val="single"/>
        </w:rPr>
        <w:t xml:space="preserve">若承包人需将上述文件用于本工程实施或合同履行之外的用途，必须事先获得发包人的许可。</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1.11.4 承包人在施工过程中所采用的专利、专有技术、技术秘密的使用费的承担方式：</w:t>
      </w:r>
      <w:r>
        <w:rPr>
          <w:rFonts w:ascii="宋体" w:eastAsia="宋体" w:hAnsi="宋体" w:cs="宋体" w:hint="eastAsia"/>
          <w:color w:val="auto"/>
          <w:szCs w:val="22"/>
          <w:highlight w:val="none"/>
          <w:u w:val="single"/>
        </w:rPr>
        <w:t xml:space="preserve">除本项目设计施工图纸要求外，发包人另行要求所增加的费用由发包人承担</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1.13工程量清单错误的修正</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出现工程量清单错误时，是否调整合同价格：</w:t>
      </w:r>
      <w:r>
        <w:rPr>
          <w:rFonts w:ascii="宋体" w:eastAsia="宋体" w:hAnsi="宋体" w:cs="宋体" w:hint="eastAsia"/>
          <w:color w:val="auto"/>
          <w:szCs w:val="22"/>
          <w:highlight w:val="none"/>
          <w:u w:val="single"/>
        </w:rPr>
        <w:t xml:space="preserve"> 是</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允许调整合同价格的工程量偏差范围：</w:t>
      </w:r>
      <w:r>
        <w:rPr>
          <w:rFonts w:ascii="宋体" w:eastAsia="宋体" w:hAnsi="宋体" w:cs="宋体" w:hint="eastAsia"/>
          <w:b/>
          <w:color w:val="auto"/>
          <w:szCs w:val="22"/>
          <w:highlight w:val="none"/>
          <w:u w:val="single"/>
        </w:rPr>
        <w:t xml:space="preserve">承包人实际完成的工程量按工程量计价规则和发包人提供施工图纸、设计变更、签证实际完成的工程量为准。</w:t>
      </w:r>
    </w:p>
    <w:p>
      <w:pPr>
        <w:spacing w:line="240" w:lineRule="auto"/>
        <w:ind w:firstLine="420"/>
        <w:rPr>
          <w:rFonts w:ascii="宋体" w:eastAsia="宋体" w:hAnsi="宋体" w:cs="宋体"/>
          <w:color w:val="auto"/>
          <w:szCs w:val="22"/>
          <w:highlight w:val="none"/>
        </w:rPr>
      </w:pPr>
      <w:bookmarkStart w:id="48" w:name="_Toc351203634"/>
      <w:r>
        <w:rPr>
          <w:rFonts w:ascii="宋体" w:eastAsia="宋体" w:hAnsi="宋体" w:cs="宋体" w:hint="eastAsia"/>
          <w:color w:val="auto"/>
          <w:szCs w:val="22"/>
          <w:highlight w:val="none"/>
        </w:rPr>
        <w:t xml:space="preserve">2</w:t>
      </w:r>
      <w:bookmarkStart w:id="49" w:name="_Toc296891197"/>
      <w:bookmarkStart w:id="50" w:name="_Toc296944496"/>
      <w:bookmarkStart w:id="51" w:name="_Toc297048343"/>
      <w:bookmarkStart w:id="52" w:name="_Toc296347156"/>
      <w:bookmarkStart w:id="53" w:name="_Toc296890985"/>
      <w:bookmarkStart w:id="54" w:name="_Toc296503157"/>
      <w:bookmarkStart w:id="55" w:name="_Toc297120457"/>
      <w:bookmarkStart w:id="56" w:name="_Toc292559362"/>
      <w:bookmarkStart w:id="57" w:name="_Toc292559867"/>
      <w:bookmarkStart w:id="58" w:name="_Toc296346658"/>
      <w:r>
        <w:rPr>
          <w:rFonts w:ascii="宋体" w:eastAsia="宋体" w:hAnsi="宋体" w:cs="宋体" w:hint="eastAsia"/>
          <w:color w:val="auto"/>
          <w:szCs w:val="22"/>
          <w:highlight w:val="none"/>
        </w:rPr>
        <w:t xml:space="preserve">. 发包人</w:t>
      </w:r>
      <w:bookmarkEnd w:id="48"/>
      <w:bookmarkEnd w:id="49"/>
      <w:bookmarkEnd w:id="50"/>
      <w:bookmarkEnd w:id="51"/>
      <w:bookmarkEnd w:id="52"/>
      <w:bookmarkEnd w:id="53"/>
      <w:bookmarkEnd w:id="54"/>
      <w:bookmarkEnd w:id="55"/>
      <w:bookmarkEnd w:id="56"/>
      <w:bookmarkEnd w:id="57"/>
      <w:bookmarkEnd w:id="58"/>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2.2 发包人代表</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发包人代表：</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姓名：</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身份证号：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职务：</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联系电话：</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电子信箱：</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通信地址：</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b/>
          <w:color w:val="auto"/>
          <w:szCs w:val="22"/>
          <w:highlight w:val="none"/>
          <w:u w:val="single"/>
        </w:rPr>
      </w:pPr>
      <w:r>
        <w:rPr>
          <w:rFonts w:ascii="宋体" w:eastAsia="宋体" w:hAnsi="宋体" w:cs="宋体" w:hint="eastAsia"/>
          <w:color w:val="auto"/>
          <w:szCs w:val="22"/>
          <w:highlight w:val="none"/>
        </w:rPr>
        <w:t xml:space="preserve">发包人对发包人代表的授权范围如下：</w:t>
      </w:r>
      <w:r>
        <w:rPr>
          <w:rFonts w:ascii="宋体" w:eastAsia="宋体" w:hAnsi="宋体" w:cs="宋体" w:hint="eastAsia"/>
          <w:b/>
          <w:color w:val="auto"/>
          <w:szCs w:val="22"/>
          <w:highlight w:val="none"/>
          <w:u w:val="single"/>
        </w:rPr>
        <w:t xml:space="preserve">（1）行使发包人的权利，包括组织开展施工现场发包人的工作、对监理工作的检查及代表发包人行使本合同授予发包人的所有权力。</w:t>
      </w:r>
    </w:p>
    <w:p>
      <w:pPr>
        <w:spacing w:line="240" w:lineRule="auto"/>
        <w:ind w:firstLine="422"/>
        <w:rPr>
          <w:rFonts w:ascii="宋体" w:eastAsia="宋体" w:hAnsi="宋体" w:cs="宋体"/>
          <w:b/>
          <w:color w:val="auto"/>
          <w:szCs w:val="22"/>
          <w:highlight w:val="none"/>
        </w:rPr>
      </w:pPr>
      <w:r>
        <w:rPr>
          <w:rFonts w:ascii="宋体" w:eastAsia="宋体" w:hAnsi="宋体" w:cs="宋体" w:hint="eastAsia"/>
          <w:b/>
          <w:color w:val="auto"/>
          <w:szCs w:val="22"/>
          <w:highlight w:val="none"/>
          <w:u w:val="single"/>
        </w:rPr>
        <w:t xml:space="preserve">（2）发包人可以委托工程顾问协助发包人代表进行工程管理，但其所行使的权力应得到发包人代表的确认。承包人凭发包人代表授权范围接受工程顾问的管理。</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2.4 施工现场、施工条件和基础资料的提供</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2.4.1 提供施工现场</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关于发包人移交施工现场的期限要求：</w:t>
      </w:r>
      <w:r>
        <w:rPr>
          <w:rFonts w:ascii="宋体" w:eastAsia="宋体" w:hAnsi="宋体" w:cs="宋体" w:hint="eastAsia"/>
          <w:color w:val="auto"/>
          <w:szCs w:val="22"/>
          <w:highlight w:val="none"/>
          <w:u w:val="single"/>
        </w:rPr>
        <w:t xml:space="preserve">根据现场确定</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2.4.2 提供施工条件</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关于发包人应负责提供施工所需要的条件，包括：</w:t>
      </w:r>
      <w:r>
        <w:rPr>
          <w:rFonts w:ascii="宋体" w:eastAsia="宋体" w:hAnsi="宋体" w:cs="宋体" w:hint="eastAsia"/>
          <w:b/>
          <w:color w:val="auto"/>
          <w:szCs w:val="22"/>
          <w:highlight w:val="none"/>
          <w:u w:val="single"/>
        </w:rPr>
        <w:t xml:space="preserve">符合开工条件。</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2.5 资金来源证明及支付担保</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发包人提供资金来源证明的期限要求：</w:t>
      </w:r>
      <w:r>
        <w:rPr>
          <w:rFonts w:ascii="宋体" w:eastAsia="宋体" w:hAnsi="宋体" w:cs="宋体" w:hint="eastAsia"/>
          <w:b/>
          <w:color w:val="auto"/>
          <w:szCs w:val="22"/>
          <w:highlight w:val="none"/>
          <w:u w:val="single"/>
        </w:rPr>
        <w:t xml:space="preserve">无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发包人是否提供支付担保：</w:t>
      </w:r>
      <w:r>
        <w:rPr>
          <w:rFonts w:ascii="宋体" w:eastAsia="宋体" w:hAnsi="宋体" w:cs="宋体" w:hint="eastAsia"/>
          <w:color w:val="auto"/>
          <w:szCs w:val="22"/>
          <w:highlight w:val="none"/>
          <w:u w:val="single"/>
        </w:rPr>
        <w:t xml:space="preserve">  </w:t>
      </w:r>
      <w:r>
        <w:rPr>
          <w:rFonts w:ascii="宋体" w:eastAsia="宋体" w:hAnsi="宋体" w:cs="宋体" w:hint="eastAsia"/>
          <w:b/>
          <w:color w:val="auto"/>
          <w:szCs w:val="22"/>
          <w:highlight w:val="none"/>
          <w:u w:val="single"/>
        </w:rPr>
        <w:t xml:space="preserve">无</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发包人提供支付担保的形式：</w:t>
      </w:r>
      <w:r>
        <w:rPr>
          <w:rFonts w:ascii="宋体" w:eastAsia="宋体" w:hAnsi="宋体" w:cs="宋体" w:hint="eastAsia"/>
          <w:b/>
          <w:color w:val="auto"/>
          <w:szCs w:val="22"/>
          <w:highlight w:val="none"/>
          <w:u w:val="single"/>
        </w:rPr>
        <w:t xml:space="preserve">无 </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rPr>
          <w:rFonts w:ascii="宋体" w:eastAsia="宋体" w:hAnsi="宋体" w:cs="宋体"/>
          <w:color w:val="auto"/>
          <w:szCs w:val="22"/>
          <w:highlight w:val="none"/>
        </w:rPr>
      </w:pPr>
      <w:bookmarkStart w:id="59" w:name="_Toc351203635"/>
      <w:r>
        <w:rPr>
          <w:rFonts w:ascii="宋体" w:eastAsia="宋体" w:hAnsi="宋体" w:cs="宋体" w:hint="eastAsia"/>
          <w:color w:val="auto"/>
          <w:szCs w:val="22"/>
          <w:highlight w:val="none"/>
        </w:rPr>
        <w:t xml:space="preserve">3</w:t>
      </w:r>
      <w:bookmarkStart w:id="60" w:name="_Toc296891198"/>
      <w:bookmarkStart w:id="61" w:name="_Toc296890986"/>
      <w:bookmarkStart w:id="62" w:name="_Toc296346659"/>
      <w:bookmarkStart w:id="63" w:name="_Toc292559868"/>
      <w:bookmarkStart w:id="64" w:name="_Toc297120458"/>
      <w:bookmarkStart w:id="65" w:name="_Toc296347157"/>
      <w:bookmarkStart w:id="66" w:name="_Toc296503158"/>
      <w:bookmarkStart w:id="67" w:name="_Toc297048344"/>
      <w:bookmarkStart w:id="68" w:name="_Toc292559363"/>
      <w:bookmarkStart w:id="69" w:name="_Toc296944497"/>
      <w:r>
        <w:rPr>
          <w:rFonts w:ascii="宋体" w:eastAsia="宋体" w:hAnsi="宋体" w:cs="宋体" w:hint="eastAsia"/>
          <w:color w:val="auto"/>
          <w:szCs w:val="22"/>
          <w:highlight w:val="none"/>
        </w:rPr>
        <w:t xml:space="preserve">. 承包人</w:t>
      </w:r>
      <w:bookmarkEnd w:id="59"/>
      <w:bookmarkEnd w:id="60"/>
      <w:bookmarkEnd w:id="61"/>
      <w:bookmarkEnd w:id="62"/>
      <w:bookmarkEnd w:id="63"/>
      <w:bookmarkEnd w:id="64"/>
      <w:bookmarkEnd w:id="65"/>
      <w:bookmarkEnd w:id="66"/>
      <w:bookmarkEnd w:id="67"/>
      <w:bookmarkEnd w:id="68"/>
      <w:bookmarkEnd w:id="69"/>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3.1 承包人的一般义务</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（9）承包人提交的竣工资料的内容：</w:t>
      </w:r>
      <w:r>
        <w:rPr>
          <w:rFonts w:ascii="宋体" w:eastAsia="宋体" w:hAnsi="宋体" w:cs="宋体" w:hint="eastAsia"/>
          <w:b/>
          <w:color w:val="auto"/>
          <w:szCs w:val="22"/>
          <w:highlight w:val="none"/>
          <w:u w:val="single"/>
        </w:rPr>
        <w:t xml:space="preserve">竣工图纸、工程竣工验收报告、工程竣工备案验收资料、施工技术管理资料、检验及测验报告等符合淮安市城建档案管理机构要求的施工资料。</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承包人需要提交的竣工资料套数：</w:t>
      </w:r>
      <w:r>
        <w:rPr>
          <w:rFonts w:ascii="宋体" w:eastAsia="宋体" w:hAnsi="宋体" w:cs="宋体" w:hint="eastAsia"/>
          <w:b/>
          <w:color w:val="auto"/>
          <w:szCs w:val="22"/>
          <w:highlight w:val="none"/>
          <w:u w:val="single"/>
        </w:rPr>
        <w:t xml:space="preserve">纸版三套，光盘两套</w:t>
      </w:r>
      <w:r>
        <w:rPr>
          <w:rFonts w:ascii="宋体" w:eastAsia="宋体" w:hAnsi="宋体" w:cs="宋体" w:hint="eastAsia"/>
          <w:color w:val="auto"/>
          <w:szCs w:val="22"/>
          <w:highlight w:val="none"/>
        </w:rPr>
        <w:t xml:space="preserve">。</w:t>
      </w:r>
    </w:p>
    <w:p>
      <w:pPr>
        <w:spacing w:line="240" w:lineRule="auto"/>
        <w:ind w:left="638"/>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承包人提交的竣工资料的费用承担：</w:t>
      </w:r>
      <w:r>
        <w:rPr>
          <w:rFonts w:ascii="宋体" w:eastAsia="宋体" w:hAnsi="宋体" w:cs="宋体" w:hint="eastAsia"/>
          <w:b/>
          <w:color w:val="auto"/>
          <w:szCs w:val="22"/>
          <w:highlight w:val="none"/>
          <w:u w:val="single"/>
        </w:rPr>
        <w:t xml:space="preserve">承包人承担</w:t>
      </w:r>
      <w:r>
        <w:rPr>
          <w:rFonts w:ascii="宋体" w:eastAsia="宋体" w:hAnsi="宋体" w:cs="宋体" w:hint="eastAsia"/>
          <w:color w:val="auto"/>
          <w:szCs w:val="22"/>
          <w:highlight w:val="none"/>
        </w:rPr>
        <w:t xml:space="preserve">。</w:t>
      </w:r>
    </w:p>
    <w:p>
      <w:pPr>
        <w:keepNext w:val="0"/>
        <w:keepLines w:val="0"/>
        <w:pageBreakBefore w:val="0"/>
        <w:widowControl w:val="0"/>
        <w:spacing w:line="240" w:lineRule="auto"/>
        <w:ind w:left="0"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承包人提交的竣工资料移交时间：</w:t>
      </w:r>
      <w:r>
        <w:rPr>
          <w:rFonts w:ascii="宋体" w:eastAsia="宋体" w:hAnsi="宋体" w:cs="宋体" w:hint="eastAsia"/>
          <w:b/>
          <w:color w:val="auto"/>
          <w:szCs w:val="22"/>
          <w:highlight w:val="none"/>
          <w:u w:val="single"/>
        </w:rPr>
        <w:t xml:space="preserve">竣工验收后60</w:t>
      </w:r>
      <w:r>
        <w:rPr>
          <w:rFonts w:ascii="宋体" w:eastAsia="宋体" w:hAnsi="宋体" w:cs="宋体" w:hint="eastAsia"/>
          <w:b/>
          <w:color w:val="auto"/>
          <w:szCs w:val="22"/>
          <w:highlight w:val="none"/>
          <w:u w:val="single"/>
          <w:lang w:val="en-US" w:eastAsia="zh-CN"/>
        </w:rPr>
        <w:t xml:space="preserve">日</w:t>
      </w:r>
      <w:r>
        <w:rPr>
          <w:rFonts w:ascii="宋体" w:eastAsia="宋体" w:hAnsi="宋体" w:cs="宋体" w:hint="eastAsia"/>
          <w:b/>
          <w:color w:val="auto"/>
          <w:szCs w:val="22"/>
          <w:highlight w:val="none"/>
          <w:u w:val="single"/>
        </w:rPr>
        <w:t xml:space="preserve">内由承包人负责整理和提交符合淮安市城建档案管理机构有关施工资料要求的竣工图纸及其它相关的竣工验收资料 ,向区城建档案管理部门办理移交工作 。</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承包人提交的竣工资料形式要求：</w:t>
      </w:r>
      <w:r>
        <w:rPr>
          <w:rFonts w:ascii="宋体" w:eastAsia="宋体" w:hAnsi="宋体" w:cs="宋体" w:hint="eastAsia"/>
          <w:b/>
          <w:color w:val="auto"/>
          <w:szCs w:val="22"/>
          <w:highlight w:val="none"/>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w:t>
      </w:r>
      <w:r>
        <w:rPr>
          <w:rFonts w:ascii="宋体" w:eastAsia="宋体" w:hAnsi="宋体" w:cs="宋体" w:hint="eastAsia"/>
          <w:b/>
          <w:color w:val="auto"/>
          <w:szCs w:val="22"/>
          <w:highlight w:val="none"/>
          <w:u w:val="single"/>
          <w:lang w:val="en-US" w:eastAsia="zh-CN"/>
        </w:rPr>
        <w:t xml:space="preserve">14</w:t>
      </w:r>
      <w:r>
        <w:rPr>
          <w:rFonts w:ascii="宋体" w:eastAsia="宋体" w:hAnsi="宋体" w:cs="宋体" w:hint="eastAsia"/>
          <w:b/>
          <w:color w:val="auto"/>
          <w:szCs w:val="22"/>
          <w:highlight w:val="none"/>
          <w:u w:val="single"/>
        </w:rPr>
        <w:t xml:space="preserve">。若因承包人提供的竣工资料延误或所报材料不符合要求影响正常工程竣工验收，导致发包人不能按期向第三方交付或将本项目投入使用的，每延误一天承包人交纳违约金人民币500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元以补偿发包人的损失，并且发包人保留进一步向承包人索赔补偿不足部分的权利。工程竣工验收后60天内，完成所有资料向区城建档案管理部门的移交工作，每延误一天承包人向发包人交纳违约金人民币500元。</w:t>
      </w:r>
    </w:p>
    <w:p>
      <w:pPr>
        <w:spacing w:line="240" w:lineRule="auto"/>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（10）承包人应履行的其他义务：</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1</w:t>
      </w:r>
      <w:r>
        <w:rPr>
          <w:rFonts w:ascii="宋体" w:eastAsia="宋体" w:hAnsi="宋体" w:cs="宋体" w:hint="eastAsia"/>
          <w:color w:val="auto"/>
          <w:szCs w:val="22"/>
          <w:highlight w:val="none"/>
          <w:lang w:eastAsia="zh-CN"/>
        </w:rPr>
        <w:t xml:space="preserve">）</w:t>
      </w:r>
      <w:r>
        <w:rPr>
          <w:rFonts w:ascii="宋体" w:eastAsia="宋体" w:hAnsi="宋体" w:cs="宋体" w:hint="eastAsia"/>
          <w:b w:val="0"/>
          <w:bCs/>
          <w:color w:val="auto"/>
          <w:szCs w:val="22"/>
          <w:highlight w:val="none"/>
          <w:u w:val="single"/>
        </w:rPr>
        <w:t xml:space="preserve">需由设计资质等级和业务范围允许的承包人完成的设计文件提交时间：若发生双方协商处理。</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2</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应提供计划、报表的名称及完成时间：</w:t>
      </w:r>
      <w:r>
        <w:rPr>
          <w:rFonts w:ascii="宋体" w:eastAsia="宋体" w:hAnsi="宋体" w:cs="宋体" w:hint="eastAsia"/>
          <w:color w:val="auto"/>
          <w:szCs w:val="22"/>
          <w:highlight w:val="none"/>
          <w:u w:val="single"/>
        </w:rPr>
        <w:t xml:space="preserve">进场后一周内提供材料计划，每月25日前分别向甲方及监理方提供详细的次月施工进度计划、本月已完工程量报表（含工程变更及签证预算）、乙购材料清单、材料进场计划、劳动力及用款计划等资料、工程例会时提供周进度计划</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3</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承担施工安全保卫工作及非夜间施工照明的责任和要求：</w:t>
      </w:r>
      <w:r>
        <w:rPr>
          <w:rFonts w:ascii="宋体" w:eastAsia="宋体" w:hAnsi="宋体" w:cs="宋体" w:hint="eastAsia"/>
          <w:color w:val="auto"/>
          <w:szCs w:val="22"/>
          <w:highlight w:val="none"/>
          <w:u w:val="single"/>
        </w:rPr>
        <w:t xml:space="preserve">在整个合同实施过程中，承包人应对工程施工现场人员的安全、现场秩序、工程保护、环境保护等负责；并就工程施工现场围护、照</w:t>
      </w:r>
      <w:r>
        <w:rPr>
          <w:rFonts w:ascii="宋体" w:eastAsia="宋体" w:hAnsi="宋体" w:cs="宋体" w:hint="eastAsia"/>
          <w:color w:val="auto"/>
          <w:szCs w:val="22"/>
          <w:highlight w:val="none"/>
          <w:u w:val="none"/>
        </w:rPr>
        <w:t xml:space="preserve">明</w:t>
      </w:r>
      <w:r>
        <w:rPr>
          <w:rFonts w:ascii="宋体" w:eastAsia="宋体" w:hAnsi="宋体" w:cs="宋体" w:hint="eastAsia"/>
          <w:color w:val="auto"/>
          <w:szCs w:val="22"/>
          <w:highlight w:val="none"/>
          <w:u w:val="single"/>
        </w:rPr>
        <w:t xml:space="preserve">、防护标志、警告信号等作出具体安排。否则，由此导致的一切损失由承包人负责</w:t>
      </w:r>
      <w:r>
        <w:rPr>
          <w:rFonts w:ascii="宋体" w:eastAsia="宋体" w:hAnsi="宋体" w:cs="宋体" w:hint="eastAsia"/>
          <w:color w:val="auto"/>
          <w:szCs w:val="22"/>
          <w:highlight w:val="none"/>
        </w:rPr>
        <w:t xml:space="preserve">。        </w:t>
      </w:r>
    </w:p>
    <w:p>
      <w:pPr>
        <w:spacing w:line="240" w:lineRule="auto"/>
        <w:ind w:left="-2" w:firstLine="420"/>
        <w:rPr>
          <w:rFonts w:ascii="宋体" w:eastAsia="宋体" w:hAnsi="宋体" w:cs="宋体"/>
          <w:color w:val="auto"/>
          <w:spacing w:val="4"/>
          <w:szCs w:val="22"/>
          <w:highlight w:val="none"/>
          <w:u w:val="singl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4</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向发包人提供的办公和生活房屋及设施的要求：</w:t>
      </w:r>
      <w:r>
        <w:rPr>
          <w:rFonts w:ascii="宋体" w:eastAsia="宋体" w:hAnsi="宋体" w:cs="宋体" w:hint="eastAsia"/>
          <w:color w:val="auto"/>
          <w:szCs w:val="22"/>
          <w:highlight w:val="none"/>
          <w:u w:val="single"/>
        </w:rPr>
        <w:t xml:space="preserve">按通用条款执行</w:t>
      </w:r>
      <w:r>
        <w:rPr>
          <w:rFonts w:ascii="宋体" w:eastAsia="宋体" w:hAnsi="宋体" w:cs="宋体" w:hint="eastAsia"/>
          <w:color w:val="auto"/>
          <w:szCs w:val="22"/>
          <w:highlight w:val="none"/>
        </w:rPr>
        <w:t xml:space="preserve">。     </w:t>
      </w:r>
    </w:p>
    <w:p>
      <w:pPr>
        <w:spacing w:line="240" w:lineRule="auto"/>
        <w:ind w:firstLine="455"/>
        <w:rPr>
          <w:rFonts w:ascii="宋体" w:eastAsia="宋体" w:hAnsi="宋体" w:cs="宋体"/>
          <w:color w:val="auto"/>
          <w:szCs w:val="22"/>
          <w:highlight w:val="none"/>
          <w:u w:val="single"/>
        </w:rPr>
      </w:pPr>
      <w:r>
        <w:rPr>
          <w:rFonts w:ascii="宋体" w:eastAsia="宋体" w:hAnsi="宋体" w:cs="宋体" w:hint="eastAsia"/>
          <w:color w:val="auto"/>
          <w:spacing w:val="-14"/>
          <w:szCs w:val="22"/>
          <w:highlight w:val="none"/>
          <w:lang w:eastAsia="zh-CN"/>
        </w:rPr>
        <w:t xml:space="preserve">（</w:t>
      </w:r>
      <w:r>
        <w:rPr>
          <w:rFonts w:ascii="宋体" w:eastAsia="宋体" w:hAnsi="宋体" w:cs="宋体" w:hint="eastAsia"/>
          <w:color w:val="auto"/>
          <w:spacing w:val="-14"/>
          <w:szCs w:val="22"/>
          <w:highlight w:val="none"/>
          <w:lang w:val="en-US" w:eastAsia="zh-CN"/>
        </w:rPr>
        <w:t xml:space="preserve">5</w:t>
      </w:r>
      <w:r>
        <w:rPr>
          <w:rFonts w:ascii="宋体" w:eastAsia="宋体" w:hAnsi="宋体" w:cs="宋体" w:hint="eastAsia"/>
          <w:color w:val="auto"/>
          <w:spacing w:val="-14"/>
          <w:szCs w:val="22"/>
          <w:highlight w:val="none"/>
          <w:lang w:eastAsia="zh-CN"/>
        </w:rPr>
        <w:t xml:space="preserve">）</w:t>
      </w:r>
      <w:r>
        <w:rPr>
          <w:rFonts w:ascii="宋体" w:eastAsia="宋体" w:hAnsi="宋体" w:cs="宋体" w:hint="eastAsia"/>
          <w:color w:val="auto"/>
          <w:szCs w:val="22"/>
          <w:highlight w:val="none"/>
        </w:rPr>
        <w:t xml:space="preserve">需承包人办理的有关施工场地交通、环卫和施工噪音管理等</w:t>
      </w:r>
      <w:r>
        <w:rPr>
          <w:rFonts w:ascii="宋体" w:eastAsia="宋体" w:hAnsi="宋体" w:cs="宋体" w:hint="eastAsia"/>
          <w:color w:val="auto"/>
          <w:spacing w:val="-14"/>
          <w:szCs w:val="22"/>
          <w:highlight w:val="none"/>
        </w:rPr>
        <w:t xml:space="preserve">手续：</w:t>
      </w:r>
      <w:r>
        <w:rPr>
          <w:rFonts w:ascii="宋体" w:eastAsia="宋体" w:hAnsi="宋体" w:cs="宋体" w:hint="eastAsia"/>
          <w:color w:val="auto"/>
          <w:szCs w:val="22"/>
          <w:highlight w:val="none"/>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ascii="宋体" w:eastAsia="宋体" w:hAnsi="宋体" w:cs="宋体" w:hint="eastAsia"/>
          <w:color w:val="auto"/>
          <w:szCs w:val="22"/>
          <w:highlight w:val="none"/>
        </w:rPr>
        <w:t xml:space="preserve">。　　　            </w:t>
      </w:r>
    </w:p>
    <w:p>
      <w:pPr>
        <w:spacing w:line="240" w:lineRule="auto"/>
        <w:ind w:firstLine="420"/>
        <w:rPr>
          <w:rFonts w:ascii="宋体" w:eastAsia="宋体" w:hAnsi="宋体" w:cs="宋体"/>
          <w:color w:val="auto"/>
          <w:spacing w:val="4"/>
          <w:szCs w:val="22"/>
          <w:highlight w:val="none"/>
          <w:u w:val="singl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6</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已完工程成品保护的特殊要求及费用承担：</w:t>
      </w:r>
      <w:r>
        <w:rPr>
          <w:rFonts w:ascii="宋体" w:eastAsia="宋体" w:hAnsi="宋体" w:cs="宋体" w:hint="eastAsia"/>
          <w:color w:val="auto"/>
          <w:szCs w:val="22"/>
          <w:highlight w:val="none"/>
          <w:u w:val="single"/>
        </w:rPr>
        <w:t xml:space="preserve">负责采取有效措施对已完工工程的保护，费用由承包人承担，保护期间发生的损失，承包人自费予以修理</w:t>
      </w:r>
      <w:r>
        <w:rPr>
          <w:rFonts w:ascii="宋体" w:eastAsia="宋体" w:hAnsi="宋体" w:cs="宋体" w:hint="eastAsia"/>
          <w:color w:val="auto"/>
          <w:szCs w:val="22"/>
          <w:highlight w:val="none"/>
        </w:rPr>
        <w:t xml:space="preserve">。　　      </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7</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施工场地周围地下管线和邻近建筑物、构筑物(含文物保护建筑)、古树名木的保护要求及费用承担：</w:t>
      </w:r>
      <w:r>
        <w:rPr>
          <w:rFonts w:ascii="宋体" w:eastAsia="宋体" w:hAnsi="宋体" w:cs="宋体" w:hint="eastAsia"/>
          <w:b/>
          <w:color w:val="auto"/>
          <w:szCs w:val="22"/>
          <w:highlight w:val="none"/>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eastAsia="宋体" w:hAnsi="宋体" w:cs="宋体" w:hint="eastAsia"/>
          <w:color w:val="auto"/>
          <w:szCs w:val="22"/>
          <w:highlight w:val="none"/>
        </w:rPr>
        <w:t xml:space="preserve">　　</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8</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施工场地清洁卫生的要求：</w:t>
      </w:r>
      <w:r>
        <w:rPr>
          <w:rFonts w:ascii="宋体" w:eastAsia="宋体" w:hAnsi="宋体" w:cs="宋体" w:hint="eastAsia"/>
          <w:color w:val="auto"/>
          <w:szCs w:val="22"/>
          <w:highlight w:val="none"/>
          <w:u w:val="single"/>
        </w:rPr>
        <w:t xml:space="preserve">符合发包人和监理工程师提出的一切文明施工、环境卫生等的管理规定。因承包人违反规定造成的损失和罚款由承包人负责。</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9</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u w:val="single"/>
        </w:rPr>
        <w:t xml:space="preserve">在施工过程中，如出现地方矛盾，由承包人自行协调处理，发生的该类费用，费用由承包人承担，发包人不予以补偿</w:t>
      </w:r>
      <w:r>
        <w:rPr>
          <w:rFonts w:ascii="宋体" w:eastAsia="宋体" w:hAnsi="宋体" w:cs="宋体" w:hint="eastAsia"/>
          <w:color w:val="auto"/>
          <w:szCs w:val="22"/>
          <w:highlight w:val="none"/>
        </w:rPr>
        <w:t xml:space="preserve">。</w:t>
      </w:r>
    </w:p>
    <w:p>
      <w:pPr>
        <w:spacing w:line="240" w:lineRule="auto"/>
        <w:ind w:firstLine="480"/>
        <w:jc w:val="left"/>
        <w:rPr>
          <w:rFonts w:ascii="宋体" w:eastAsia="宋体" w:hAnsi="宋体" w:cs="宋体"/>
          <w:color w:val="auto"/>
          <w:szCs w:val="22"/>
          <w:highlight w:val="none"/>
        </w:rPr>
      </w:pP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lang w:val="en-US" w:eastAsia="zh-CN"/>
        </w:rPr>
        <w:t xml:space="preserve">10</w:t>
      </w:r>
      <w:r>
        <w:rPr>
          <w:rFonts w:ascii="宋体" w:eastAsia="宋体" w:hAnsi="宋体" w:cs="宋体" w:hint="eastAsia"/>
          <w:color w:val="auto"/>
          <w:szCs w:val="22"/>
          <w:highlight w:val="none"/>
          <w:lang w:eastAsia="zh-CN"/>
        </w:rPr>
        <w:t xml:space="preserve">）</w:t>
      </w:r>
      <w:r>
        <w:rPr>
          <w:rFonts w:ascii="宋体" w:eastAsia="宋体" w:hAnsi="宋体" w:cs="宋体" w:hint="eastAsia"/>
          <w:color w:val="auto"/>
          <w:szCs w:val="22"/>
          <w:highlight w:val="none"/>
        </w:rPr>
        <w:t xml:space="preserve">双方约定承包人应做的其它工作：</w:t>
      </w:r>
      <w:r>
        <w:rPr>
          <w:rFonts w:ascii="宋体" w:eastAsia="宋体" w:hAnsi="宋体" w:cs="宋体" w:hint="eastAsia"/>
          <w:color w:val="auto"/>
          <w:szCs w:val="22"/>
          <w:highlight w:val="none"/>
          <w:u w:val="single"/>
        </w:rPr>
        <w:t xml:space="preserve">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述事宜，由双方另行商定</w:t>
      </w:r>
      <w:r>
        <w:rPr>
          <w:rFonts w:ascii="宋体" w:eastAsia="宋体" w:hAnsi="宋体" w:cs="宋体" w:hint="eastAsia"/>
          <w:color w:val="auto"/>
          <w:szCs w:val="22"/>
          <w:highlight w:val="none"/>
        </w:rPr>
        <w:t xml:space="preserve">。</w:t>
      </w:r>
    </w:p>
    <w:p>
      <w:pPr>
        <w:spacing w:line="240" w:lineRule="auto"/>
        <w:ind w:firstLine="480"/>
        <w:jc w:val="left"/>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rPr>
        <w:t xml:space="preserve">（11）</w:t>
      </w:r>
      <w:r>
        <w:rPr>
          <w:rFonts w:ascii="宋体" w:eastAsia="宋体" w:hAnsi="宋体" w:cs="宋体" w:hint="eastAsia"/>
          <w:color w:val="auto"/>
          <w:szCs w:val="22"/>
          <w:highlight w:val="none"/>
          <w:u w:val="single"/>
        </w:rPr>
        <w:t xml:space="preserve">施工期间所用的电费，水费由承包人自行承担。</w:t>
      </w:r>
    </w:p>
    <w:p>
      <w:pPr>
        <w:spacing w:line="240" w:lineRule="auto"/>
        <w:ind w:firstLine="480"/>
        <w:jc w:val="left"/>
        <w:rPr>
          <w:rFonts w:ascii="宋体" w:eastAsia="宋体" w:hAnsi="宋体" w:cs="宋体"/>
          <w:b/>
          <w:color w:val="auto"/>
          <w:szCs w:val="22"/>
          <w:highlight w:val="none"/>
        </w:rPr>
      </w:pPr>
      <w:r>
        <w:rPr>
          <w:rFonts w:ascii="宋体" w:eastAsia="宋体" w:hAnsi="宋体" w:cs="宋体" w:hint="eastAsia"/>
          <w:b/>
          <w:color w:val="auto"/>
          <w:szCs w:val="22"/>
          <w:highlight w:val="none"/>
        </w:rPr>
        <w:t xml:space="preserve">3.2 项目经理</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3.2.1 项目经理：</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姓名：</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身份证号：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建造师执业资格等级：</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建造师注册证书号：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建造师执业印章号：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安全生产考核合格证书号：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联系电话：</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通信地址：</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承包人对项目经理的授权范围如下：</w:t>
      </w:r>
      <w:r>
        <w:rPr>
          <w:rFonts w:ascii="宋体" w:eastAsia="宋体" w:hAnsi="宋体" w:cs="宋体" w:hint="eastAsia"/>
          <w:b/>
          <w:color w:val="auto"/>
          <w:szCs w:val="22"/>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关于项目经理每月在施工现场的时间要求：</w:t>
      </w:r>
      <w:r>
        <w:rPr>
          <w:rFonts w:ascii="宋体" w:eastAsia="宋体" w:hAnsi="宋体" w:cs="宋体" w:hint="eastAsia"/>
          <w:b/>
          <w:color w:val="auto"/>
          <w:szCs w:val="22"/>
          <w:highlight w:val="none"/>
          <w:u w:val="single"/>
        </w:rPr>
        <w:t xml:space="preserve">要求承包人项目经理每月在工地出勤天数不满22个有效工作日或每天出勤时间不满8小时（由发包人进行考核），承包人向发包人支付1000元/天违约金</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承包人未提交劳动合同，以及没有为项目经理缴纳社会保险证明的违约责任：</w:t>
      </w:r>
      <w:r>
        <w:rPr>
          <w:rFonts w:ascii="宋体" w:eastAsia="宋体" w:hAnsi="宋体" w:cs="宋体" w:hint="eastAsia"/>
          <w:b/>
          <w:color w:val="auto"/>
          <w:szCs w:val="22"/>
          <w:highlight w:val="none"/>
          <w:u w:val="single"/>
        </w:rPr>
        <w:t xml:space="preserve">如承包人未提交劳动合同及项目经理支付的社保证明，发包人有权解除合同</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项目经理未经批准，擅自离开施工现场的违约责任：</w:t>
      </w:r>
      <w:r>
        <w:rPr>
          <w:rFonts w:ascii="宋体" w:eastAsia="宋体" w:hAnsi="宋体" w:cs="宋体" w:hint="eastAsia"/>
          <w:b/>
          <w:color w:val="auto"/>
          <w:szCs w:val="22"/>
          <w:highlight w:val="none"/>
          <w:u w:val="single"/>
        </w:rPr>
        <w:t xml:space="preserve">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每月累计出勤不足</w:t>
      </w:r>
      <w:r>
        <w:rPr>
          <w:rFonts w:ascii="宋体" w:eastAsia="宋体" w:hAnsi="宋体" w:cs="宋体" w:hint="eastAsia"/>
          <w:b/>
          <w:color w:val="auto"/>
          <w:szCs w:val="22"/>
          <w:highlight w:val="none"/>
          <w:u w:val="single"/>
          <w:lang w:val="en-US" w:eastAsia="zh-CN"/>
        </w:rPr>
        <w:t xml:space="preserve">15</w:t>
      </w:r>
      <w:r>
        <w:rPr>
          <w:rFonts w:ascii="宋体" w:eastAsia="宋体" w:hAnsi="宋体" w:cs="宋体" w:hint="eastAsia"/>
          <w:b/>
          <w:color w:val="auto"/>
          <w:szCs w:val="22"/>
          <w:highlight w:val="none"/>
          <w:u w:val="single"/>
        </w:rPr>
        <w:t xml:space="preserve">天的，发包人有权解除合同，承包人应承担相应的违约责任。</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3.2.3 承包人擅自更换项目经理的违约责任：</w:t>
      </w:r>
      <w:r>
        <w:rPr>
          <w:rFonts w:ascii="宋体" w:eastAsia="宋体" w:hAnsi="宋体" w:cs="宋体" w:hint="eastAsia"/>
          <w:b/>
          <w:color w:val="auto"/>
          <w:szCs w:val="22"/>
          <w:highlight w:val="none"/>
          <w:u w:val="single"/>
        </w:rPr>
        <w:t xml:space="preserve">除不可抗力承包人要求更换项目经理，并经发包人批准的，承包人交纳1万元违约金。未经发包人批准，承包人自行更换项目经理（包括中标项目经理只是挂名，实际上本工程承包人另有其人的）的，发包人有权单发解除合同，追究违约责任，并报监管办备案。</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3.3 承包人人员</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3.3.1 承包人提交项目管理机构及施工现场管理人员安排报告的期限：</w:t>
      </w:r>
      <w:r>
        <w:rPr>
          <w:rFonts w:ascii="宋体" w:eastAsia="宋体" w:hAnsi="宋体" w:cs="宋体" w:hint="eastAsia"/>
          <w:b/>
          <w:color w:val="auto"/>
          <w:szCs w:val="22"/>
          <w:highlight w:val="none"/>
          <w:u w:val="single"/>
        </w:rPr>
        <w:t xml:space="preserve">承包人在接到监理人发出的开工通知之日起</w:t>
      </w:r>
      <w:r>
        <w:rPr>
          <w:rFonts w:ascii="宋体" w:eastAsia="宋体" w:hAnsi="宋体" w:cs="宋体" w:hint="eastAsia"/>
          <w:b/>
          <w:color w:val="auto"/>
          <w:szCs w:val="22"/>
          <w:highlight w:val="none"/>
          <w:u w:val="single"/>
          <w:lang w:val="en-US" w:eastAsia="zh-CN"/>
        </w:rPr>
        <w:t xml:space="preserve">7</w:t>
      </w:r>
      <w:r>
        <w:rPr>
          <w:rFonts w:ascii="宋体" w:eastAsia="宋体" w:hAnsi="宋体" w:cs="宋体" w:hint="eastAsia"/>
          <w:b/>
          <w:color w:val="auto"/>
          <w:szCs w:val="22"/>
          <w:highlight w:val="none"/>
          <w:u w:val="single"/>
        </w:rPr>
        <w:t xml:space="preserve">日内</w:t>
      </w:r>
      <w:r>
        <w:rPr>
          <w:rFonts w:ascii="宋体" w:eastAsia="宋体" w:hAnsi="宋体" w:cs="宋体" w:hint="eastAsia"/>
          <w:b/>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3.3.3 承包人无正当理由拒绝撤换主要施工管理人员的违约责任：</w:t>
      </w:r>
      <w:r>
        <w:rPr>
          <w:rFonts w:ascii="宋体" w:eastAsia="宋体" w:hAnsi="宋体" w:cs="宋体" w:hint="eastAsia"/>
          <w:color w:val="auto"/>
          <w:szCs w:val="22"/>
          <w:highlight w:val="none"/>
          <w:u w:val="single"/>
        </w:rPr>
        <w:t xml:space="preserve">发包人有权将其行为通报相关主管部门。</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3.3.4 承包人主要施工管理人员离开施工现场的批准要求：</w:t>
      </w:r>
      <w:r>
        <w:rPr>
          <w:rFonts w:ascii="宋体" w:eastAsia="宋体" w:hAnsi="宋体" w:cs="宋体" w:hint="eastAsia"/>
          <w:color w:val="auto"/>
          <w:szCs w:val="22"/>
          <w:highlight w:val="none"/>
          <w:u w:val="single"/>
        </w:rPr>
        <w:t xml:space="preserve">必须提前一天征得发包人和监理人的同意</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3.3.5承包人擅自更换主要施工管理人员的违约责任：</w:t>
      </w:r>
      <w:r>
        <w:rPr>
          <w:rFonts w:ascii="宋体" w:eastAsia="宋体" w:hAnsi="宋体" w:cs="宋体" w:hint="eastAsia"/>
          <w:color w:val="auto"/>
          <w:szCs w:val="22"/>
          <w:highlight w:val="none"/>
          <w:u w:val="single"/>
        </w:rPr>
        <w:t xml:space="preserve">投标文件中明确的主要管理人员，未经发包人许可不得擅自变更。中标后除不可抗力承包人要求更换投标文件中已明确的其他主要管理人员，并经发包人批准的，承包人交纳每人次2000元违约金。</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承包人主要施工管理人员擅自离开施工现场的违约责任：</w:t>
      </w:r>
      <w:r>
        <w:rPr>
          <w:rFonts w:ascii="宋体" w:eastAsia="宋体" w:hAnsi="宋体" w:cs="宋体" w:hint="eastAsia"/>
          <w:color w:val="auto"/>
          <w:szCs w:val="22"/>
          <w:highlight w:val="none"/>
          <w:u w:val="single"/>
        </w:rPr>
        <w:t xml:space="preserve">要求承包人项目经理及项目部其他人员（含施工组长）必须常驻工地，如承包人项目经理在</w:t>
      </w:r>
      <w:r>
        <w:rPr>
          <w:rFonts w:ascii="宋体" w:eastAsia="宋体" w:hAnsi="宋体" w:cs="宋体" w:hint="eastAsia"/>
          <w:color w:val="auto"/>
          <w:szCs w:val="22"/>
          <w:highlight w:val="none"/>
          <w:u w:val="single"/>
          <w:lang w:val="en-US" w:eastAsia="zh-CN"/>
        </w:rPr>
        <w:t xml:space="preserve">本</w:t>
      </w:r>
      <w:r>
        <w:rPr>
          <w:rFonts w:ascii="宋体" w:eastAsia="宋体" w:hAnsi="宋体" w:cs="宋体" w:hint="eastAsia"/>
          <w:color w:val="auto"/>
          <w:szCs w:val="22"/>
          <w:highlight w:val="none"/>
          <w:u w:val="single"/>
        </w:rPr>
        <w:t xml:space="preserve">工地出勤天数不满22个有效工作日或每天出勤时间不满8小时（由发包人进行考核），承包人向发包人支付1000元/天违约金；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累计出勤不足10天的，发包人有权解除合同。</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u w:val="single"/>
        </w:rPr>
        <w:t xml:space="preserve">项目经理、技术负责人、各负责人、安全员、质检员</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如有</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w:t>
      </w:r>
      <w:bookmarkStart w:id="70" w:name="_Toc296346660"/>
      <w:bookmarkStart w:id="71" w:name="_Toc312677988"/>
      <w:bookmarkStart w:id="72" w:name="_Toc297216151"/>
      <w:bookmarkStart w:id="73" w:name="_Toc304295523"/>
      <w:bookmarkStart w:id="74" w:name="_Toc297048345"/>
      <w:bookmarkStart w:id="75" w:name="_Toc296944498"/>
      <w:bookmarkStart w:id="76" w:name="_Toc296891199"/>
      <w:bookmarkStart w:id="77" w:name="_Toc297120459"/>
      <w:bookmarkStart w:id="78" w:name="_Toc292559869"/>
      <w:bookmarkStart w:id="79" w:name="_Toc303539102"/>
      <w:bookmarkStart w:id="80" w:name="_Toc297123492"/>
      <w:bookmarkStart w:id="81" w:name="_Toc296347158"/>
      <w:bookmarkStart w:id="82" w:name="_Toc292559364"/>
      <w:bookmarkStart w:id="83" w:name="_Toc300934945"/>
      <w:bookmarkStart w:id="84" w:name="_Toc296503159"/>
      <w:bookmarkStart w:id="85" w:name="_Toc296890987"/>
      <w:r>
        <w:rPr>
          <w:rFonts w:ascii="宋体" w:eastAsia="宋体" w:hAnsi="宋体" w:cs="宋体" w:hint="eastAsia"/>
          <w:color w:val="auto"/>
          <w:szCs w:val="22"/>
          <w:highlight w:val="none"/>
        </w:rPr>
        <w:t xml:space="preserve">.5 分包</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w:t>
      </w:r>
      <w:bookmarkStart w:id="86" w:name="_Toc297123493"/>
      <w:bookmarkStart w:id="87" w:name="_Toc296347159"/>
      <w:bookmarkStart w:id="88" w:name="_Toc296944499"/>
      <w:bookmarkStart w:id="89" w:name="_Toc296891200"/>
      <w:bookmarkStart w:id="90" w:name="_Toc304295524"/>
      <w:bookmarkStart w:id="91" w:name="_Toc296890988"/>
      <w:bookmarkStart w:id="92" w:name="_Toc297216152"/>
      <w:bookmarkStart w:id="93" w:name="_Toc296346661"/>
      <w:bookmarkStart w:id="94" w:name="_Toc297048346"/>
      <w:bookmarkStart w:id="95" w:name="_Toc292559365"/>
      <w:bookmarkStart w:id="96" w:name="_Toc296503160"/>
      <w:bookmarkStart w:id="97" w:name="_Toc300934946"/>
      <w:bookmarkStart w:id="98" w:name="_Toc318581158"/>
      <w:bookmarkStart w:id="99" w:name="_Toc303539103"/>
      <w:bookmarkStart w:id="100" w:name="_Toc297120460"/>
      <w:bookmarkStart w:id="101" w:name="_Toc312677989"/>
      <w:bookmarkStart w:id="102" w:name="_Toc292559870"/>
      <w:r>
        <w:rPr>
          <w:rFonts w:ascii="宋体" w:eastAsia="宋体" w:hAnsi="宋体" w:cs="宋体" w:hint="eastAsia"/>
          <w:color w:val="auto"/>
          <w:szCs w:val="22"/>
          <w:highlight w:val="none"/>
        </w:rPr>
        <w:t xml:space="preserve">.5.1 分包的一般约定</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禁止分包的工程包括：</w:t>
      </w:r>
      <w:r>
        <w:rPr>
          <w:rFonts w:ascii="宋体" w:eastAsia="宋体" w:hAnsi="宋体" w:cs="宋体" w:hint="eastAsia"/>
          <w:b/>
          <w:color w:val="auto"/>
          <w:szCs w:val="22"/>
          <w:highlight w:val="none"/>
          <w:u w:val="single"/>
        </w:rPr>
        <w:t xml:space="preserve">本工程严禁转包、不得挂靠施工，不得擅自分包。一旦发现转包、挂靠、擅自分包的，发包人有权终止本合同，已完工程量不予结算，</w:t>
      </w:r>
      <w:r>
        <w:rPr>
          <w:rFonts w:ascii="宋体" w:eastAsia="宋体" w:hAnsi="宋体" w:cs="宋体" w:hint="eastAsia"/>
          <w:b/>
          <w:color w:val="auto"/>
          <w:szCs w:val="22"/>
          <w:highlight w:val="none"/>
          <w:u w:val="single"/>
          <w:lang w:eastAsia="zh-CN"/>
        </w:rPr>
        <w:t xml:space="preserve">履约保证金（如有）</w:t>
      </w:r>
      <w:r>
        <w:rPr>
          <w:rFonts w:ascii="宋体" w:eastAsia="宋体" w:hAnsi="宋体" w:cs="宋体" w:hint="eastAsia"/>
          <w:b/>
          <w:color w:val="auto"/>
          <w:szCs w:val="22"/>
          <w:highlight w:val="none"/>
          <w:u w:val="single"/>
        </w:rPr>
        <w:t xml:space="preserve">不予退还。承包人再向发包人支付合同总价2%的违约金，同时承包人还应赔偿给发包人造成的全部经济损失，发包人并将此行为上报当地建设行政主管部门。</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主体结构、关键性工作的范围：</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240" w:lineRule="auto"/>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    3</w:t>
      </w:r>
      <w:bookmarkStart w:id="103" w:name="_Toc318581159"/>
      <w:bookmarkStart w:id="104" w:name="_Toc312677990"/>
      <w:r>
        <w:rPr>
          <w:rFonts w:ascii="宋体" w:eastAsia="宋体" w:hAnsi="宋体" w:cs="宋体" w:hint="eastAsia"/>
          <w:color w:val="auto"/>
          <w:szCs w:val="22"/>
          <w:highlight w:val="none"/>
        </w:rPr>
        <w:t xml:space="preserve">.5.2分包的确定</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允许分包的专业工程包括： </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其他关于分包的约定：</w:t>
      </w:r>
      <w:r>
        <w:rPr>
          <w:rFonts w:ascii="宋体" w:eastAsia="宋体" w:hAnsi="宋体" w:cs="宋体" w:hint="eastAsia"/>
          <w:color w:val="auto"/>
          <w:szCs w:val="22"/>
          <w:highlight w:val="none"/>
          <w:u w:val="singl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3.5.4 分包合同价款</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关于分包合同价款支付的约定： </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bookmarkEnd w:id="103"/>
      <w:bookmarkEnd w:id="104"/>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3.6 工程照管与成品、半成品保护</w:t>
      </w:r>
    </w:p>
    <w:p>
      <w:pPr>
        <w:spacing w:before="120" w:after="120" w:line="240" w:lineRule="auto"/>
        <w:ind w:firstLine="420"/>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承包人负责照管工程及工程相关的材料、工程设备的起始时间：</w:t>
      </w:r>
      <w:r>
        <w:rPr>
          <w:rFonts w:ascii="宋体" w:eastAsia="宋体" w:hAnsi="宋体" w:cs="宋体" w:hint="eastAsia"/>
          <w:color w:val="auto"/>
          <w:szCs w:val="22"/>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pPr>
        <w:spacing w:after="120" w:line="240" w:lineRule="auto"/>
        <w:ind w:firstLine="420"/>
        <w:rPr>
          <w:rFonts w:ascii="宋体" w:eastAsia="宋体" w:hAnsi="宋体" w:cs="宋体" w:hint="eastAsia"/>
          <w:color w:val="auto"/>
          <w:szCs w:val="22"/>
          <w:highlight w:val="none"/>
          <w:lang w:eastAsia="zh-CN"/>
        </w:rPr>
      </w:pPr>
      <w:r>
        <w:rPr>
          <w:rFonts w:ascii="宋体" w:eastAsia="宋体" w:hAnsi="宋体" w:cs="宋体" w:hint="eastAsia"/>
          <w:b/>
          <w:bCs/>
          <w:color w:val="auto"/>
          <w:szCs w:val="22"/>
          <w:highlight w:val="none"/>
        </w:rPr>
        <w:t xml:space="preserve">3.7 履约担保</w:t>
      </w:r>
      <w:r>
        <w:rPr>
          <w:rFonts w:ascii="宋体" w:eastAsia="宋体" w:hAnsi="宋体" w:cs="宋体" w:hint="eastAsia"/>
          <w:b/>
          <w:bCs/>
          <w:color w:val="auto"/>
          <w:szCs w:val="22"/>
          <w:highlight w:val="none"/>
          <w:lang w:eastAsia="zh-CN"/>
        </w:rPr>
        <w:t xml:space="preserve">（</w:t>
      </w:r>
      <w:r>
        <w:rPr>
          <w:rFonts w:ascii="宋体" w:eastAsia="宋体" w:hAnsi="宋体" w:cs="宋体" w:hint="eastAsia"/>
          <w:b/>
          <w:bCs/>
          <w:color w:val="auto"/>
          <w:szCs w:val="22"/>
          <w:highlight w:val="none"/>
          <w:lang w:val="en-US" w:eastAsia="zh-CN"/>
        </w:rPr>
        <w:t xml:space="preserve">本项目无需缴纳</w:t>
      </w:r>
      <w:r>
        <w:rPr>
          <w:rFonts w:ascii="宋体" w:eastAsia="宋体" w:hAnsi="宋体" w:cs="宋体" w:hint="eastAsia"/>
          <w:b/>
          <w:bCs/>
          <w:color w:val="auto"/>
          <w:szCs w:val="22"/>
          <w:highlight w:val="none"/>
          <w:lang w:eastAsia="zh-CN"/>
        </w:rPr>
        <w:t xml:space="preserve">）</w:t>
      </w:r>
    </w:p>
    <w:p>
      <w:pPr>
        <w:spacing w:after="120" w:line="240" w:lineRule="auto"/>
        <w:ind w:firstLine="420"/>
        <w:rPr>
          <w:rFonts w:ascii="宋体" w:eastAsia="宋体" w:hAnsi="宋体" w:cs="宋体" w:hint="eastAsia"/>
          <w:color w:val="auto"/>
          <w:szCs w:val="22"/>
          <w:highlight w:val="none"/>
          <w:lang w:eastAsia="zh-CN"/>
        </w:rPr>
      </w:pPr>
      <w:r>
        <w:rPr>
          <w:rFonts w:ascii="宋体" w:eastAsia="宋体" w:hAnsi="宋体" w:cs="宋体" w:hint="eastAsia"/>
          <w:color w:val="auto"/>
          <w:szCs w:val="22"/>
          <w:highlight w:val="none"/>
          <w:lang w:val="en-US" w:eastAsia="zh-CN"/>
        </w:rPr>
        <w:t xml:space="preserve">3.7.1</w:t>
      </w:r>
      <w:r>
        <w:rPr>
          <w:rFonts w:ascii="宋体" w:eastAsia="宋体" w:hAnsi="宋体" w:cs="宋体" w:hint="eastAsia"/>
          <w:color w:val="auto"/>
          <w:szCs w:val="22"/>
          <w:highlight w:val="none"/>
        </w:rPr>
        <w:t xml:space="preserve">乙方在领取到</w:t>
      </w:r>
      <w:r>
        <w:rPr>
          <w:rFonts w:ascii="宋体" w:eastAsia="宋体" w:hAnsi="宋体" w:cs="宋体" w:hint="eastAsia"/>
          <w:color w:val="auto"/>
          <w:szCs w:val="22"/>
          <w:highlight w:val="none"/>
          <w:lang w:val="en-US" w:eastAsia="zh-CN"/>
        </w:rPr>
        <w:t xml:space="preserve">成交</w:t>
      </w:r>
      <w:r>
        <w:rPr>
          <w:rFonts w:ascii="宋体" w:eastAsia="宋体" w:hAnsi="宋体" w:cs="宋体" w:hint="eastAsia"/>
          <w:color w:val="auto"/>
          <w:szCs w:val="22"/>
          <w:highlight w:val="none"/>
        </w:rPr>
        <w:t xml:space="preserve">通知书之后十日内，向采购人提交金额为</w:t>
      </w:r>
      <w:r>
        <w:rPr>
          <w:rFonts w:ascii="宋体" w:eastAsia="宋体" w:hAnsi="宋体" w:cs="宋体" w:hint="eastAsia"/>
          <w:color w:val="auto"/>
          <w:szCs w:val="22"/>
          <w:highlight w:val="none"/>
          <w:lang w:val="en-US" w:eastAsia="zh-CN"/>
        </w:rPr>
        <w:t xml:space="preserve">成交</w:t>
      </w:r>
      <w:r>
        <w:rPr>
          <w:rFonts w:ascii="宋体" w:eastAsia="宋体" w:hAnsi="宋体" w:cs="宋体" w:hint="eastAsia"/>
          <w:color w:val="auto"/>
          <w:szCs w:val="22"/>
          <w:highlight w:val="none"/>
        </w:rPr>
        <w:t xml:space="preserve">总价1%的履约保证金。</w:t>
      </w:r>
    </w:p>
    <w:p>
      <w:pPr>
        <w:spacing w:after="120" w:line="240" w:lineRule="auto"/>
        <w:ind w:firstLine="420"/>
        <w:rPr>
          <w:rFonts w:ascii="宋体" w:eastAsia="宋体" w:hAnsi="宋体" w:cs="宋体" w:hint="eastAsia"/>
          <w:color w:val="auto"/>
          <w:szCs w:val="22"/>
          <w:highlight w:val="none"/>
          <w:lang w:eastAsia="zh-CN"/>
        </w:rPr>
      </w:pPr>
      <w:r>
        <w:rPr>
          <w:rFonts w:ascii="宋体" w:eastAsia="宋体" w:hAnsi="宋体" w:cs="宋体" w:hint="eastAsia"/>
          <w:color w:val="auto"/>
          <w:szCs w:val="22"/>
          <w:highlight w:val="none"/>
          <w:lang w:val="en-US" w:eastAsia="zh-CN"/>
        </w:rPr>
        <w:t xml:space="preserve">    3.7.2</w:t>
      </w:r>
      <w:r>
        <w:rPr>
          <w:rFonts w:ascii="宋体" w:eastAsia="宋体" w:hAnsi="宋体" w:cs="宋体" w:hint="eastAsia"/>
          <w:color w:val="auto"/>
          <w:szCs w:val="22"/>
          <w:highlight w:val="none"/>
        </w:rPr>
        <w:t xml:space="preserve">乙方提供的履约保证金必须是人民币，形式为银行本票、汇票、支票、电汇或者金融机构、担保机构出具的保函等非现金形式。</w:t>
      </w:r>
    </w:p>
    <w:p>
      <w:pPr>
        <w:spacing w:after="120" w:line="240" w:lineRule="auto"/>
        <w:ind w:firstLine="420"/>
        <w:rPr>
          <w:rFonts w:ascii="宋体" w:eastAsia="宋体" w:hAnsi="宋体" w:cs="宋体" w:hint="eastAsia"/>
          <w:color w:val="auto"/>
          <w:szCs w:val="22"/>
          <w:highlight w:val="none"/>
          <w:lang w:eastAsia="zh-CN"/>
        </w:rPr>
      </w:pPr>
      <w:r>
        <w:rPr>
          <w:rFonts w:ascii="宋体" w:eastAsia="宋体" w:hAnsi="宋体" w:cs="宋体" w:hint="eastAsia"/>
          <w:color w:val="auto"/>
          <w:szCs w:val="22"/>
          <w:highlight w:val="none"/>
          <w:lang w:val="en-US" w:eastAsia="zh-CN"/>
        </w:rPr>
        <w:t xml:space="preserve">    3.7.3</w:t>
      </w:r>
      <w:r>
        <w:rPr>
          <w:rFonts w:ascii="宋体" w:eastAsia="宋体" w:hAnsi="宋体" w:cs="宋体" w:hint="eastAsia"/>
          <w:color w:val="auto"/>
          <w:szCs w:val="22"/>
          <w:highlight w:val="none"/>
        </w:rPr>
        <w:t xml:space="preserve">如乙方未能履行合同规定的义务，甲方有权从履约保证金中取得补偿。</w:t>
      </w:r>
    </w:p>
    <w:p>
      <w:pPr>
        <w:spacing w:after="120" w:line="240" w:lineRule="auto"/>
        <w:ind w:firstLine="420"/>
        <w:rPr>
          <w:rFonts w:ascii="宋体" w:eastAsia="宋体" w:hAnsi="宋体" w:cs="宋体" w:hint="eastAsia"/>
          <w:color w:val="auto"/>
          <w:szCs w:val="22"/>
          <w:highlight w:val="none"/>
        </w:rPr>
      </w:pPr>
      <w:r>
        <w:rPr>
          <w:rFonts w:ascii="宋体" w:eastAsia="宋体" w:hAnsi="宋体" w:cs="宋体" w:hint="eastAsia"/>
          <w:color w:val="auto"/>
          <w:szCs w:val="22"/>
          <w:highlight w:val="none"/>
          <w:lang w:val="en-US" w:eastAsia="zh-CN"/>
        </w:rPr>
        <w:t xml:space="preserve">    3.7.4</w:t>
      </w:r>
      <w:r>
        <w:rPr>
          <w:rFonts w:ascii="宋体" w:eastAsia="宋体" w:hAnsi="宋体" w:cs="宋体" w:hint="eastAsia"/>
          <w:color w:val="auto"/>
          <w:szCs w:val="22"/>
          <w:highlight w:val="none"/>
        </w:rPr>
        <w:t xml:space="preserve">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   </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lang w:val="en-US" w:eastAsia="zh-CN"/>
        </w:rPr>
        <w:t xml:space="preserve">3.7.5</w:t>
      </w:r>
      <w:r>
        <w:rPr>
          <w:rFonts w:ascii="宋体" w:eastAsia="宋体" w:hAnsi="宋体" w:cs="宋体" w:hint="eastAsia"/>
          <w:color w:val="auto"/>
          <w:szCs w:val="22"/>
          <w:highlight w:val="none"/>
        </w:rPr>
        <w:t xml:space="preserve">履约保证金在项目验收合格后无息退还给乙方。</w:t>
      </w:r>
    </w:p>
    <w:p>
      <w:pPr>
        <w:spacing w:line="240" w:lineRule="auto"/>
        <w:ind w:firstLine="420"/>
        <w:rPr>
          <w:rFonts w:ascii="宋体" w:eastAsia="宋体" w:hAnsi="宋体" w:cs="宋体"/>
          <w:color w:val="auto"/>
          <w:szCs w:val="22"/>
          <w:highlight w:val="none"/>
        </w:rPr>
      </w:pPr>
      <w:bookmarkStart w:id="105" w:name="_Toc351203636"/>
      <w:r>
        <w:rPr>
          <w:rFonts w:ascii="宋体" w:eastAsia="宋体" w:hAnsi="宋体" w:cs="宋体" w:hint="eastAsia"/>
          <w:color w:val="auto"/>
          <w:szCs w:val="22"/>
          <w:highlight w:val="none"/>
        </w:rPr>
        <w:t xml:space="preserve">4</w:t>
      </w:r>
      <w:bookmarkStart w:id="106" w:name="_Toc292559871"/>
      <w:bookmarkStart w:id="107" w:name="_Toc296347161"/>
      <w:bookmarkStart w:id="108" w:name="_Toc296944501"/>
      <w:bookmarkStart w:id="109" w:name="_Toc296890990"/>
      <w:bookmarkStart w:id="110" w:name="_Toc292559366"/>
      <w:bookmarkStart w:id="111" w:name="_Toc296346663"/>
      <w:bookmarkStart w:id="112" w:name="_Toc296891202"/>
      <w:bookmarkStart w:id="113" w:name="_Toc297048348"/>
      <w:bookmarkStart w:id="114" w:name="_Toc297120462"/>
      <w:bookmarkStart w:id="115" w:name="_Toc267251413"/>
      <w:bookmarkStart w:id="116" w:name="_Toc296503162"/>
      <w:r>
        <w:rPr>
          <w:rFonts w:ascii="宋体" w:eastAsia="宋体" w:hAnsi="宋体" w:cs="宋体" w:hint="eastAsia"/>
          <w:color w:val="auto"/>
          <w:szCs w:val="22"/>
          <w:highlight w:val="none"/>
        </w:rPr>
        <w:t xml:space="preserve">. 监</w:t>
      </w:r>
      <w:bookmarkEnd w:id="106"/>
      <w:bookmarkEnd w:id="107"/>
      <w:bookmarkEnd w:id="108"/>
      <w:bookmarkEnd w:id="109"/>
      <w:bookmarkEnd w:id="110"/>
      <w:bookmarkEnd w:id="111"/>
      <w:bookmarkEnd w:id="112"/>
      <w:bookmarkEnd w:id="113"/>
      <w:bookmarkEnd w:id="114"/>
      <w:bookmarkEnd w:id="115"/>
      <w:bookmarkEnd w:id="116"/>
      <w:r>
        <w:rPr>
          <w:rFonts w:ascii="宋体" w:eastAsia="宋体" w:hAnsi="宋体" w:cs="宋体" w:hint="eastAsia"/>
          <w:color w:val="auto"/>
          <w:szCs w:val="22"/>
          <w:highlight w:val="none"/>
        </w:rPr>
        <w:t xml:space="preserve">理人</w:t>
      </w:r>
      <w:bookmarkEnd w:id="10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4.1监理人的一般规定</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关于监理人的监理内容：。</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关于监理人的监理权限：。</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关于监理人在施工现场的办公场所、生活场所的提供和费用承担的约定：。</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4.2 监理人员</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总监理工程师：</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姓名：</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职务：</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监理工程师执业资格证书号：</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联系电话：</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电子信箱：</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通信地址：</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关于监理人的其他约定：</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4.4 商定或确定</w:t>
      </w:r>
    </w:p>
    <w:p>
      <w:pPr>
        <w:spacing w:line="240" w:lineRule="auto"/>
        <w:ind w:firstLine="420"/>
        <w:rPr>
          <w:rFonts w:ascii="宋体" w:eastAsia="宋体" w:hAnsi="宋体" w:cs="宋体"/>
          <w:color w:val="auto"/>
          <w:szCs w:val="22"/>
          <w:highlight w:val="none"/>
        </w:rPr>
      </w:pPr>
      <w:bookmarkStart w:id="117" w:name="_Toc267251418"/>
      <w:r>
        <w:rPr>
          <w:rFonts w:ascii="宋体" w:eastAsia="宋体" w:hAnsi="宋体" w:cs="宋体" w:hint="eastAsia"/>
          <w:color w:val="auto"/>
          <w:szCs w:val="22"/>
          <w:highlight w:val="none"/>
        </w:rPr>
        <w:t xml:space="preserve">在发包人和承包人不能通过协商达成一致意见时，发包人授权监理人对以下事项进行确定：</w:t>
      </w:r>
    </w:p>
    <w:p>
      <w:pPr>
        <w:widowControl w:val="0"/>
        <w:spacing w:line="240" w:lineRule="auto"/>
        <w:ind w:firstLine="420"/>
        <w:jc w:val="both"/>
        <w:rPr>
          <w:rFonts w:ascii="宋体" w:eastAsia="宋体" w:hAnsi="宋体" w:cs="宋体"/>
          <w:color w:val="auto"/>
          <w:sz w:val="21"/>
          <w:szCs w:val="24"/>
          <w:highlight w:val="none"/>
          <w:u w:val="single"/>
          <w:lang w:val="en-US" w:eastAsia="zh-CN" w:bidi="ar-SA"/>
        </w:rPr>
      </w:pPr>
      <w:r>
        <w:rPr>
          <w:rFonts w:ascii="宋体" w:eastAsia="宋体" w:hAnsi="宋体" w:cs="宋体" w:hint="eastAsia"/>
          <w:color w:val="auto"/>
          <w:sz w:val="21"/>
          <w:szCs w:val="24"/>
          <w:highlight w:val="none"/>
          <w:lang w:val="en-US" w:eastAsia="zh-CN" w:bidi="ar-SA"/>
        </w:rPr>
        <w:t xml:space="preserve">（1）发包人委托监理人的职权：</w:t>
      </w:r>
      <w:r>
        <w:rPr>
          <w:rFonts w:ascii="宋体" w:eastAsia="宋体" w:hAnsi="宋体" w:cs="宋体" w:hint="eastAsia"/>
          <w:color w:val="auto"/>
          <w:sz w:val="21"/>
          <w:szCs w:val="24"/>
          <w:highlight w:val="none"/>
          <w:u w:val="single"/>
          <w:lang w:val="en-US" w:eastAsia="zh-CN" w:bidi="ar-SA"/>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（2）监理人需要取得发包人批准才能行驶的职权：</w:t>
      </w:r>
      <w:r>
        <w:rPr>
          <w:rFonts w:ascii="宋体" w:eastAsia="宋体" w:hAnsi="宋体" w:cs="宋体" w:hint="eastAsia"/>
          <w:color w:val="auto"/>
          <w:szCs w:val="22"/>
          <w:highlight w:val="none"/>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pPr>
        <w:spacing w:line="240" w:lineRule="auto"/>
        <w:rPr>
          <w:rFonts w:ascii="宋体" w:eastAsia="宋体" w:hAnsi="宋体" w:cs="宋体"/>
          <w:color w:val="auto"/>
          <w:szCs w:val="22"/>
          <w:highlight w:val="none"/>
        </w:rPr>
      </w:pPr>
      <w:bookmarkStart w:id="118" w:name="_Toc351203637"/>
      <w:r>
        <w:rPr>
          <w:rFonts w:ascii="宋体" w:eastAsia="宋体" w:hAnsi="宋体" w:cs="宋体" w:hint="eastAsia"/>
          <w:color w:val="auto"/>
          <w:szCs w:val="22"/>
          <w:highlight w:val="none"/>
        </w:rPr>
        <w:t xml:space="preserve">5</w:t>
      </w:r>
      <w:bookmarkEnd w:id="117"/>
      <w:bookmarkStart w:id="119" w:name="_Toc297048349"/>
      <w:bookmarkStart w:id="120" w:name="_Toc292559367"/>
      <w:bookmarkStart w:id="121" w:name="_Toc296891203"/>
      <w:bookmarkStart w:id="122" w:name="_Toc292559872"/>
      <w:bookmarkStart w:id="123" w:name="_Toc296503163"/>
      <w:bookmarkStart w:id="124" w:name="_Toc297120463"/>
      <w:bookmarkStart w:id="125" w:name="_Toc296347162"/>
      <w:bookmarkStart w:id="126" w:name="_Toc296346664"/>
      <w:bookmarkStart w:id="127" w:name="_Toc296890991"/>
      <w:bookmarkStart w:id="128" w:name="_Toc296944502"/>
      <w:r>
        <w:rPr>
          <w:rFonts w:ascii="宋体" w:eastAsia="宋体" w:hAnsi="宋体" w:cs="宋体" w:hint="eastAsia"/>
          <w:color w:val="auto"/>
          <w:szCs w:val="22"/>
          <w:highlight w:val="none"/>
        </w:rPr>
        <w:t xml:space="preserve">. 工程质量</w:t>
      </w:r>
      <w:bookmarkEnd w:id="118"/>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5.1 质量要求</w:t>
      </w:r>
    </w:p>
    <w:p>
      <w:pPr>
        <w:widowControl w:val="0"/>
        <w:spacing w:before="60" w:line="240" w:lineRule="auto"/>
        <w:ind w:firstLine="316"/>
        <w:jc w:val="both"/>
        <w:rPr>
          <w:rFonts w:ascii="宋体" w:eastAsia="宋体" w:hAnsi="宋体" w:cs="宋体"/>
          <w:b/>
          <w:color w:val="auto"/>
          <w:sz w:val="21"/>
          <w:szCs w:val="24"/>
          <w:highlight w:val="none"/>
          <w:u w:val="single"/>
          <w:lang w:val="en-US" w:eastAsia="zh-CN" w:bidi="ar-SA"/>
        </w:rPr>
      </w:pPr>
      <w:bookmarkStart w:id="129" w:name="_Toc303539106"/>
      <w:bookmarkStart w:id="130" w:name="_Toc312677997"/>
      <w:bookmarkStart w:id="131" w:name="_Toc300934949"/>
      <w:bookmarkStart w:id="132" w:name="_Toc297216155"/>
      <w:bookmarkStart w:id="133" w:name="_Toc297123496"/>
      <w:bookmarkStart w:id="134" w:name="_Toc318581164"/>
      <w:bookmarkStart w:id="135" w:name="_Toc304295527"/>
      <w:r>
        <w:rPr>
          <w:rFonts w:ascii="宋体" w:eastAsia="宋体" w:hAnsi="宋体" w:cs="宋体" w:hint="eastAsia"/>
          <w:b/>
          <w:color w:val="auto"/>
          <w:sz w:val="21"/>
          <w:szCs w:val="24"/>
          <w:highlight w:val="none"/>
          <w:u w:val="single"/>
          <w:lang w:val="en-US" w:eastAsia="zh-CN" w:bidi="ar-SA"/>
        </w:rPr>
        <w:t xml:space="preserve">5.1.1 特殊质量标准和要求：现行国家有关施工质量验收规范和合格标准。</w:t>
      </w:r>
    </w:p>
    <w:p>
      <w:pPr>
        <w:widowControl w:val="0"/>
        <w:spacing w:before="60" w:line="240" w:lineRule="auto"/>
        <w:ind w:firstLine="316"/>
        <w:jc w:val="both"/>
        <w:rPr>
          <w:rFonts w:ascii="宋体" w:eastAsia="宋体" w:hAnsi="宋体" w:cs="宋体"/>
          <w:b/>
          <w:color w:val="auto"/>
          <w:sz w:val="21"/>
          <w:szCs w:val="24"/>
          <w:highlight w:val="none"/>
          <w:u w:val="single"/>
          <w:lang w:val="en-US" w:eastAsia="zh-CN" w:bidi="ar-SA"/>
        </w:rPr>
      </w:pPr>
      <w:r>
        <w:rPr>
          <w:rFonts w:ascii="宋体" w:eastAsia="宋体" w:hAnsi="宋体" w:cs="宋体" w:hint="eastAsia"/>
          <w:b/>
          <w:color w:val="auto"/>
          <w:sz w:val="21"/>
          <w:szCs w:val="24"/>
          <w:highlight w:val="none"/>
          <w:u w:val="single"/>
          <w:lang w:val="en-US" w:eastAsia="zh-CN" w:bidi="ar-SA"/>
        </w:rPr>
        <w:t xml:space="preserve">增加：5.1.2除按承包人提供的工程承诺书执行外；以承包人中标质量等级为准；①工程验收达不到中标质量等级的，承包人必须自费返工，由此而造</w:t>
      </w:r>
      <w:r>
        <w:rPr>
          <w:rFonts w:ascii="宋体" w:eastAsia="宋体" w:hAnsi="宋体" w:cs="宋体" w:hint="eastAsia"/>
          <w:b/>
          <w:color w:val="auto"/>
          <w:sz w:val="21"/>
          <w:szCs w:val="24"/>
          <w:highlight w:val="none"/>
          <w:u w:val="single"/>
          <w:lang w:val="en-US" w:eastAsia="zh-CN" w:bidi="ar-SA"/>
        </w:rPr>
        <w:t xml:space="preserve">成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p>
    <w:p>
      <w:pPr>
        <w:widowControl w:val="0"/>
        <w:spacing w:before="60" w:line="240" w:lineRule="auto"/>
        <w:ind w:firstLine="420"/>
        <w:jc w:val="both"/>
        <w:rPr>
          <w:rFonts w:ascii="宋体" w:eastAsia="宋体" w:hAnsi="宋体" w:cs="宋体"/>
          <w:color w:val="auto"/>
          <w:sz w:val="21"/>
          <w:szCs w:val="24"/>
          <w:highlight w:val="none"/>
          <w:u w:val="single"/>
          <w:lang w:val="en-US" w:eastAsia="zh-CN" w:bidi="ar-SA"/>
        </w:rPr>
      </w:pPr>
      <w:r>
        <w:rPr>
          <w:rFonts w:ascii="宋体" w:eastAsia="宋体" w:hAnsi="宋体" w:cs="宋体" w:hint="eastAsia"/>
          <w:color w:val="auto"/>
          <w:sz w:val="21"/>
          <w:szCs w:val="24"/>
          <w:highlight w:val="none"/>
          <w:u w:val="single"/>
          <w:lang w:val="en-US" w:eastAsia="zh-CN" w:bidi="ar-SA"/>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ascii="宋体" w:eastAsia="宋体" w:hAnsi="宋体" w:cs="宋体" w:hint="eastAsia"/>
          <w:color w:val="auto"/>
          <w:sz w:val="21"/>
          <w:szCs w:val="24"/>
          <w:highlight w:val="none"/>
          <w:u w:val="single"/>
          <w:lang w:val="en-US" w:eastAsia="zh-CN" w:bidi="ar-SA"/>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pPr>
        <w:widowControl w:val="0"/>
        <w:spacing w:before="60" w:line="240" w:lineRule="auto"/>
        <w:ind w:firstLine="420"/>
        <w:jc w:val="both"/>
        <w:rPr>
          <w:rFonts w:ascii="宋体" w:eastAsia="宋体" w:hAnsi="宋体" w:cs="宋体"/>
          <w:color w:val="auto"/>
          <w:sz w:val="21"/>
          <w:szCs w:val="24"/>
          <w:highlight w:val="none"/>
          <w:u w:val="single"/>
          <w:lang w:val="en-US" w:eastAsia="zh-CN" w:bidi="ar-SA"/>
        </w:rPr>
      </w:pPr>
      <w:r>
        <w:rPr>
          <w:rFonts w:ascii="宋体" w:eastAsia="宋体" w:hAnsi="宋体" w:cs="宋体" w:hint="eastAsia"/>
          <w:color w:val="auto"/>
          <w:sz w:val="21"/>
          <w:szCs w:val="24"/>
          <w:highlight w:val="none"/>
          <w:u w:val="single"/>
          <w:lang w:val="en-US" w:eastAsia="zh-CN" w:bidi="ar-SA"/>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pPr>
        <w:spacing w:line="240" w:lineRule="auto"/>
        <w:ind w:firstLine="420"/>
        <w:rPr>
          <w:rFonts w:ascii="宋体" w:eastAsia="宋体" w:hAnsi="宋体" w:cs="宋体"/>
          <w:b/>
          <w:color w:val="auto"/>
          <w:szCs w:val="22"/>
          <w:highlight w:val="none"/>
          <w:u w:val="single"/>
        </w:rPr>
      </w:pPr>
      <w:r>
        <w:rPr>
          <w:rFonts w:ascii="宋体" w:eastAsia="宋体" w:hAnsi="宋体" w:cs="宋体" w:hint="eastAsia"/>
          <w:color w:val="auto"/>
          <w:szCs w:val="22"/>
          <w:highlight w:val="none"/>
          <w:u w:val="single"/>
        </w:rPr>
        <w:t xml:space="preserve">（3）、承包人须在每道工序及隐蔽验收、检验批验收前24小时向监理单位</w:t>
      </w:r>
      <w:r>
        <w:rPr>
          <w:rFonts w:ascii="宋体" w:eastAsia="宋体" w:hAnsi="宋体" w:cs="宋体" w:hint="eastAsia"/>
          <w:color w:val="auto"/>
          <w:szCs w:val="22"/>
          <w:highlight w:val="none"/>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ascii="宋体" w:eastAsia="宋体" w:hAnsi="宋体" w:cs="宋体" w:hint="eastAsia"/>
          <w:b/>
          <w:color w:val="auto"/>
          <w:szCs w:val="22"/>
          <w:highlight w:val="none"/>
          <w:u w:val="single"/>
        </w:rPr>
        <w:t xml:space="preserve">如若第二次验收仍未通过，监理单位将出具不合格处置单要求承包人进行整改的，承包人向发包人支付500—2000元的违约金。由此延误的工期由承包人承担全部责任。</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关于工程奖项的约定：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5.3 隐蔽工程检查</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5.3.2承包人提前通知监理人隐蔽工程检查的期限的约定：。</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监理人不能按时进行检查时，应提前小时提交书面延期要求。</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关于延期最长不得超过：72小时。</w:t>
      </w:r>
    </w:p>
    <w:p>
      <w:pPr>
        <w:spacing w:line="240" w:lineRule="auto"/>
        <w:rPr>
          <w:rFonts w:ascii="宋体" w:eastAsia="宋体" w:hAnsi="宋体" w:cs="宋体"/>
          <w:color w:val="auto"/>
          <w:szCs w:val="22"/>
          <w:highlight w:val="none"/>
        </w:rPr>
      </w:pPr>
      <w:bookmarkStart w:id="136" w:name="_Toc351203638"/>
      <w:r>
        <w:rPr>
          <w:rFonts w:ascii="宋体" w:eastAsia="宋体" w:hAnsi="宋体" w:cs="宋体" w:hint="eastAsia"/>
          <w:color w:val="auto"/>
          <w:szCs w:val="22"/>
          <w:highlight w:val="none"/>
        </w:rPr>
        <w:t xml:space="preserve">6. 安全文明施工与环境保护</w:t>
      </w:r>
      <w:bookmarkEnd w:id="136"/>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6.1安全文明施工</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6.1.1 项目安全生产的达标目标及相应事项的约定：</w:t>
      </w:r>
      <w:r>
        <w:rPr>
          <w:rFonts w:ascii="宋体" w:eastAsia="宋体" w:hAnsi="宋体" w:cs="宋体" w:hint="eastAsia"/>
          <w:color w:val="auto"/>
          <w:szCs w:val="22"/>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6.1.4 关于治安保卫的特别约定：</w:t>
      </w:r>
      <w:r>
        <w:rPr>
          <w:rFonts w:ascii="宋体" w:eastAsia="宋体" w:hAnsi="宋体" w:cs="宋体" w:hint="eastAsia"/>
          <w:color w:val="auto"/>
          <w:szCs w:val="22"/>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ascii="宋体" w:eastAsia="宋体" w:hAnsi="宋体" w:cs="宋体" w:hint="eastAsia"/>
          <w:color w:val="auto"/>
          <w:szCs w:val="22"/>
          <w:highlight w:val="none"/>
        </w:rPr>
        <w:t xml:space="preserve">。</w:t>
      </w:r>
      <w:r>
        <w:rPr>
          <w:rFonts w:ascii="宋体" w:eastAsia="宋体" w:hAnsi="宋体" w:cs="宋体" w:hint="eastAsia"/>
          <w:color w:val="auto"/>
          <w:szCs w:val="22"/>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关于编制施工场地治安管理计划的约定：</w:t>
      </w:r>
      <w:r>
        <w:rPr>
          <w:rFonts w:ascii="宋体" w:eastAsia="宋体" w:hAnsi="宋体" w:cs="宋体" w:hint="eastAsia"/>
          <w:color w:val="auto"/>
          <w:szCs w:val="22"/>
          <w:highlight w:val="none"/>
          <w:u w:val="single"/>
        </w:rPr>
        <w:t xml:space="preserve">工程正式开工后7日，承包人编制施工场地治安管理计划，并约定双方的责任和义务</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6.1.5 文明施工</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合同当事人对文明施工的要求：</w:t>
      </w:r>
      <w:r>
        <w:rPr>
          <w:rFonts w:ascii="宋体" w:eastAsia="宋体" w:hAnsi="宋体" w:cs="宋体" w:hint="eastAsia"/>
          <w:color w:val="auto"/>
          <w:szCs w:val="22"/>
          <w:highlight w:val="none"/>
          <w:u w:val="single"/>
        </w:rPr>
        <w:t xml:space="preserve">（1）“防止建筑工地扬尘、工程车抛洒滴漏”。承包人须加强工程施工车辆的管理并有具体有效防范措施，施工车辆不得堵塞道路交通，不得沿途抛洒弃土，疏于管理被有关部门处罚，承包人自行解决、费用自负。</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如有</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lang w:val="en-US" w:eastAsia="zh-CN"/>
        </w:rPr>
        <w:t xml:space="preserve">如有</w:t>
      </w:r>
      <w:r>
        <w:rPr>
          <w:rFonts w:ascii="宋体" w:eastAsia="宋体" w:hAnsi="宋体" w:cs="宋体" w:hint="eastAsia"/>
          <w:color w:val="auto"/>
          <w:szCs w:val="22"/>
          <w:highlight w:val="none"/>
          <w:u w:val="single"/>
          <w:lang w:eastAsia="zh-CN"/>
        </w:rPr>
        <w:t xml:space="preserve">）</w:t>
      </w:r>
      <w:r>
        <w:rPr>
          <w:rFonts w:ascii="宋体" w:eastAsia="宋体" w:hAnsi="宋体" w:cs="宋体" w:hint="eastAsia"/>
          <w:color w:val="auto"/>
          <w:szCs w:val="22"/>
          <w:highlight w:val="none"/>
          <w:u w:val="single"/>
        </w:rPr>
        <w:t xml:space="preserve">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（3）现场项目部环境和职业健康安全管理制度</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fldChar w:fldCharType="begin"/>
      </w:r>
      <w:r>
        <w:rPr>
          <w:rFonts w:ascii="宋体" w:eastAsia="宋体" w:hAnsi="宋体" w:cs="宋体" w:hint="eastAsia"/>
          <w:color w:val="auto"/>
          <w:szCs w:val="22"/>
          <w:highlight w:val="none"/>
          <w:u w:val="single"/>
        </w:rPr>
        <w:instrText xml:space="preserve">= 1 \* GB3</w:instrText>
      </w:r>
      <w:r>
        <w:rPr>
          <w:rFonts w:ascii="宋体" w:eastAsia="宋体" w:hAnsi="宋体" w:cs="宋体" w:hint="eastAsia"/>
          <w:color w:val="auto"/>
          <w:szCs w:val="22"/>
          <w:highlight w:val="none"/>
        </w:rPr>
        <w:fldChar w:fldCharType="separate"/>
      </w:r>
      <w:r>
        <w:rPr>
          <w:rFonts w:ascii="宋体" w:eastAsia="宋体" w:hAnsi="宋体" w:cs="宋体" w:hint="eastAsia"/>
          <w:color w:val="auto"/>
          <w:szCs w:val="22"/>
          <w:highlight w:val="none"/>
          <w:u w:val="single"/>
        </w:rPr>
        <w:t xml:space="preserve">①</w:t>
      </w:r>
      <w:r>
        <w:rPr>
          <w:rFonts w:ascii="宋体" w:eastAsia="宋体" w:hAnsi="宋体" w:cs="宋体" w:hint="eastAsia"/>
          <w:color w:val="auto"/>
          <w:szCs w:val="22"/>
          <w:highlight w:val="none"/>
          <w:u w:val="single"/>
        </w:rPr>
        <w:fldChar w:fldCharType="end"/>
      </w:r>
      <w:r>
        <w:rPr>
          <w:rFonts w:ascii="宋体" w:eastAsia="宋体" w:hAnsi="宋体" w:cs="宋体" w:hint="eastAsia"/>
          <w:color w:val="auto"/>
          <w:szCs w:val="22"/>
          <w:highlight w:val="none"/>
          <w:u w:val="single"/>
        </w:rPr>
        <w:t xml:space="preserve">承包人须对本工程的环境因素和危险源进行识别，编制项目的《环境因素辨识清单》和《危险源辨识清单》，并识别出其中的重大环境因素和重大危险源。</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fldChar w:fldCharType="begin"/>
      </w:r>
      <w:r>
        <w:rPr>
          <w:rFonts w:ascii="宋体" w:eastAsia="宋体" w:hAnsi="宋体" w:cs="宋体" w:hint="eastAsia"/>
          <w:color w:val="auto"/>
          <w:szCs w:val="22"/>
          <w:highlight w:val="none"/>
          <w:u w:val="single"/>
        </w:rPr>
        <w:instrText xml:space="preserve">= 2 \* GB3</w:instrText>
      </w:r>
      <w:r>
        <w:rPr>
          <w:rFonts w:ascii="宋体" w:eastAsia="宋体" w:hAnsi="宋体" w:cs="宋体" w:hint="eastAsia"/>
          <w:color w:val="auto"/>
          <w:szCs w:val="22"/>
          <w:highlight w:val="none"/>
        </w:rPr>
        <w:fldChar w:fldCharType="separate"/>
      </w:r>
      <w:r>
        <w:rPr>
          <w:rFonts w:ascii="宋体" w:eastAsia="宋体" w:hAnsi="宋体" w:cs="宋体" w:hint="eastAsia"/>
          <w:color w:val="auto"/>
          <w:szCs w:val="22"/>
          <w:highlight w:val="none"/>
          <w:u w:val="single"/>
        </w:rPr>
        <w:t xml:space="preserve">②</w:t>
      </w:r>
      <w:r>
        <w:rPr>
          <w:rFonts w:ascii="宋体" w:eastAsia="宋体" w:hAnsi="宋体" w:cs="宋体" w:hint="eastAsia"/>
          <w:color w:val="auto"/>
          <w:szCs w:val="22"/>
          <w:highlight w:val="none"/>
          <w:u w:val="single"/>
        </w:rPr>
        <w:fldChar w:fldCharType="end"/>
      </w:r>
      <w:r>
        <w:rPr>
          <w:rFonts w:ascii="宋体" w:eastAsia="宋体" w:hAnsi="宋体" w:cs="宋体" w:hint="eastAsia"/>
          <w:color w:val="auto"/>
          <w:szCs w:val="22"/>
          <w:highlight w:val="none"/>
          <w:u w:val="single"/>
        </w:rPr>
        <w:t xml:space="preserve">《环境因素辨识清单》和《危险源辨识清单》应报监理部备案。</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fldChar w:fldCharType="begin"/>
      </w:r>
      <w:r>
        <w:rPr>
          <w:rFonts w:ascii="宋体" w:eastAsia="宋体" w:hAnsi="宋体" w:cs="宋体" w:hint="eastAsia"/>
          <w:color w:val="auto"/>
          <w:szCs w:val="22"/>
          <w:highlight w:val="none"/>
          <w:u w:val="single"/>
        </w:rPr>
        <w:instrText xml:space="preserve">= 3 \* GB3</w:instrText>
      </w:r>
      <w:r>
        <w:rPr>
          <w:rFonts w:ascii="宋体" w:eastAsia="宋体" w:hAnsi="宋体" w:cs="宋体" w:hint="eastAsia"/>
          <w:color w:val="auto"/>
          <w:szCs w:val="22"/>
          <w:highlight w:val="none"/>
        </w:rPr>
        <w:fldChar w:fldCharType="separate"/>
      </w:r>
      <w:r>
        <w:rPr>
          <w:rFonts w:ascii="宋体" w:eastAsia="宋体" w:hAnsi="宋体" w:cs="宋体" w:hint="eastAsia"/>
          <w:color w:val="auto"/>
          <w:szCs w:val="22"/>
          <w:highlight w:val="none"/>
          <w:u w:val="single"/>
        </w:rPr>
        <w:t xml:space="preserve">③</w:t>
      </w:r>
      <w:r>
        <w:rPr>
          <w:rFonts w:ascii="宋体" w:eastAsia="宋体" w:hAnsi="宋体" w:cs="宋体" w:hint="eastAsia"/>
          <w:color w:val="auto"/>
          <w:szCs w:val="22"/>
          <w:highlight w:val="none"/>
          <w:u w:val="single"/>
        </w:rPr>
        <w:fldChar w:fldCharType="end"/>
      </w:r>
      <w:r>
        <w:rPr>
          <w:rFonts w:ascii="宋体" w:eastAsia="宋体" w:hAnsi="宋体" w:cs="宋体" w:hint="eastAsia"/>
          <w:color w:val="auto"/>
          <w:szCs w:val="22"/>
          <w:highlight w:val="none"/>
          <w:u w:val="single"/>
        </w:rPr>
        <w:t xml:space="preserve">针对识别出的重大环境因素和重大危险源，承包人须编制管理方案，报发包人、监理单位批准后实施。</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④承包人须识别出本工程在环境和职业健康安全方面的应急事件，针对应急事件编制《应急预案》，组织应急演习。</w:t>
      </w:r>
    </w:p>
    <w:p>
      <w:pPr>
        <w:spacing w:line="240" w:lineRule="auto"/>
        <w:ind w:firstLine="368"/>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u w:val="single"/>
        </w:rPr>
        <w:t xml:space="preserve">（5）</w:t>
      </w:r>
      <w:r>
        <w:rPr>
          <w:rFonts w:ascii="宋体" w:eastAsia="宋体" w:hAnsi="宋体" w:cs="宋体" w:hint="eastAsia"/>
          <w:b/>
          <w:color w:val="auto"/>
          <w:szCs w:val="22"/>
          <w:highlight w:val="none"/>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6.1.6 关于安全文明施工费支付比例和支付期限的约定：</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bookmarkEnd w:id="129"/>
      <w:bookmarkEnd w:id="130"/>
      <w:bookmarkEnd w:id="131"/>
      <w:bookmarkEnd w:id="132"/>
      <w:bookmarkEnd w:id="133"/>
      <w:bookmarkEnd w:id="134"/>
      <w:bookmarkEnd w:id="135"/>
    </w:p>
    <w:p>
      <w:pPr>
        <w:spacing w:line="240" w:lineRule="auto"/>
        <w:rPr>
          <w:rFonts w:ascii="宋体" w:eastAsia="宋体" w:hAnsi="宋体" w:cs="宋体"/>
          <w:color w:val="auto"/>
          <w:szCs w:val="22"/>
          <w:highlight w:val="none"/>
        </w:rPr>
      </w:pPr>
      <w:bookmarkStart w:id="137" w:name="_Toc351203639"/>
      <w:r>
        <w:rPr>
          <w:rFonts w:ascii="宋体" w:eastAsia="宋体" w:hAnsi="宋体" w:cs="宋体" w:hint="eastAsia"/>
          <w:color w:val="auto"/>
          <w:szCs w:val="22"/>
          <w:highlight w:val="none"/>
        </w:rPr>
        <w:t xml:space="preserve">7. 工期和进度</w:t>
      </w:r>
      <w:bookmarkEnd w:id="137"/>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7.1 施工组织设计</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7.1.1 合同当事人约定的施工组织设计应包括的其他内容：</w:t>
      </w:r>
      <w:r>
        <w:rPr>
          <w:rFonts w:ascii="宋体" w:eastAsia="宋体" w:hAnsi="宋体" w:cs="宋体" w:hint="eastAsia"/>
          <w:color w:val="auto"/>
          <w:szCs w:val="22"/>
          <w:highlight w:val="none"/>
          <w:u w:val="single"/>
        </w:rPr>
        <w:t xml:space="preserve">按《通用合同条款》执行。</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7.1.2 施工组织设计的提交和修改</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承包人提交详细施工组织设计的期限的约定：</w:t>
      </w:r>
      <w:r>
        <w:rPr>
          <w:rFonts w:ascii="宋体" w:eastAsia="宋体" w:hAnsi="宋体" w:cs="宋体" w:hint="eastAsia"/>
          <w:color w:val="auto"/>
          <w:szCs w:val="22"/>
          <w:highlight w:val="none"/>
          <w:u w:val="single"/>
        </w:rPr>
        <w:t xml:space="preserve">合同签订后</w:t>
      </w:r>
      <w:r>
        <w:rPr>
          <w:rFonts w:ascii="宋体" w:eastAsia="宋体" w:hAnsi="宋体" w:cs="宋体" w:hint="eastAsia"/>
          <w:color w:val="auto"/>
          <w:szCs w:val="22"/>
          <w:highlight w:val="none"/>
          <w:u w:val="single"/>
          <w:lang w:val="en-US" w:eastAsia="zh-CN"/>
        </w:rPr>
        <w:t xml:space="preserve">7</w:t>
      </w:r>
      <w:r>
        <w:rPr>
          <w:rFonts w:ascii="宋体" w:eastAsia="宋体" w:hAnsi="宋体" w:cs="宋体" w:hint="eastAsia"/>
          <w:color w:val="auto"/>
          <w:szCs w:val="22"/>
          <w:highlight w:val="none"/>
          <w:u w:val="single"/>
        </w:rPr>
        <w:t xml:space="preserve">日</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发包人和监理人在收到详细的施工组织设计后确认或提出修改意见的期限：</w:t>
      </w:r>
      <w:r>
        <w:rPr>
          <w:rFonts w:ascii="宋体" w:eastAsia="宋体" w:hAnsi="宋体" w:cs="宋体" w:hint="eastAsia"/>
          <w:color w:val="auto"/>
          <w:szCs w:val="22"/>
          <w:highlight w:val="none"/>
          <w:u w:val="single"/>
        </w:rPr>
        <w:t xml:space="preserve">收到承包人提交的施工组织设计后7日内</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w:t>
      </w:r>
      <w:bookmarkStart w:id="138" w:name="_Toc300934966"/>
      <w:bookmarkStart w:id="139" w:name="_Toc312678005"/>
      <w:bookmarkStart w:id="140" w:name="_Toc297123514"/>
      <w:bookmarkStart w:id="141" w:name="_Toc303539123"/>
      <w:bookmarkStart w:id="142" w:name="_Toc312677479"/>
      <w:bookmarkStart w:id="143" w:name="_Toc304295541"/>
      <w:bookmarkStart w:id="144" w:name="_Toc297216173"/>
      <w:r>
        <w:rPr>
          <w:rFonts w:ascii="宋体" w:eastAsia="宋体" w:hAnsi="宋体" w:cs="宋体" w:hint="eastAsia"/>
          <w:color w:val="auto"/>
          <w:szCs w:val="22"/>
          <w:highlight w:val="none"/>
        </w:rPr>
        <w:t xml:space="preserve">.2 施工进度计划</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7.2.2 施工进度计划的修订</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发包人和监理人在收到修订的施工进度计划后确认或提出修改意见的期限：</w:t>
      </w:r>
      <w:r>
        <w:rPr>
          <w:rFonts w:ascii="宋体" w:eastAsia="宋体" w:hAnsi="宋体" w:cs="宋体" w:hint="eastAsia"/>
          <w:color w:val="auto"/>
          <w:szCs w:val="22"/>
          <w:highlight w:val="none"/>
          <w:u w:val="single"/>
        </w:rPr>
        <w:t xml:space="preserve">收到承包人提交的修订的施工进度计划后3日</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7.3 开工</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7.3.1 开工准备</w:t>
      </w:r>
    </w:p>
    <w:p>
      <w:pPr>
        <w:spacing w:line="240" w:lineRule="auto"/>
        <w:ind w:firstLine="645"/>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关于承包人提交工程开工报审表的期限：</w:t>
      </w:r>
      <w:r>
        <w:rPr>
          <w:rFonts w:ascii="宋体" w:eastAsia="宋体" w:hAnsi="宋体" w:cs="宋体" w:hint="eastAsia"/>
          <w:color w:val="auto"/>
          <w:szCs w:val="22"/>
          <w:highlight w:val="none"/>
          <w:u w:val="single"/>
        </w:rPr>
        <w:t xml:space="preserve">合同签订后</w:t>
      </w:r>
      <w:r>
        <w:rPr>
          <w:rFonts w:ascii="宋体" w:eastAsia="宋体" w:hAnsi="宋体" w:cs="宋体" w:hint="eastAsia"/>
          <w:color w:val="auto"/>
          <w:szCs w:val="22"/>
          <w:highlight w:val="none"/>
          <w:u w:val="single"/>
          <w:lang w:val="en-US" w:eastAsia="zh-CN"/>
        </w:rPr>
        <w:t xml:space="preserve">7</w:t>
      </w:r>
      <w:r>
        <w:rPr>
          <w:rFonts w:ascii="宋体" w:eastAsia="宋体" w:hAnsi="宋体" w:cs="宋体" w:hint="eastAsia"/>
          <w:color w:val="auto"/>
          <w:szCs w:val="22"/>
          <w:highlight w:val="none"/>
          <w:u w:val="single"/>
        </w:rPr>
        <w:t xml:space="preserve">日内</w:t>
      </w:r>
      <w:r>
        <w:rPr>
          <w:rFonts w:ascii="宋体" w:eastAsia="宋体" w:hAnsi="宋体" w:cs="宋体" w:hint="eastAsia"/>
          <w:color w:val="auto"/>
          <w:szCs w:val="22"/>
          <w:highlight w:val="none"/>
        </w:rPr>
        <w:t xml:space="preserve">。</w:t>
      </w:r>
    </w:p>
    <w:p>
      <w:pPr>
        <w:spacing w:line="240" w:lineRule="auto"/>
        <w:ind w:firstLine="645"/>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关于发包人应完成的其他开工准备工作及期限：</w:t>
      </w:r>
      <w:r>
        <w:rPr>
          <w:rFonts w:ascii="宋体" w:eastAsia="宋体" w:hAnsi="宋体" w:cs="宋体" w:hint="eastAsia"/>
          <w:color w:val="auto"/>
          <w:szCs w:val="22"/>
          <w:highlight w:val="none"/>
          <w:u w:val="single"/>
        </w:rPr>
        <w:t xml:space="preserve">开工前七日内提供满足开工条件的施工现场 </w:t>
      </w:r>
      <w:r>
        <w:rPr>
          <w:rFonts w:ascii="宋体" w:eastAsia="宋体" w:hAnsi="宋体" w:cs="宋体" w:hint="eastAsia"/>
          <w:color w:val="auto"/>
          <w:szCs w:val="22"/>
          <w:highlight w:val="none"/>
        </w:rPr>
        <w:t xml:space="preserve">。</w:t>
      </w:r>
    </w:p>
    <w:p>
      <w:pPr>
        <w:spacing w:line="240" w:lineRule="auto"/>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关于承包人应完成的其他开工准备工作及期限：</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（1）</w:t>
      </w:r>
      <w:r>
        <w:rPr>
          <w:rFonts w:ascii="宋体" w:eastAsia="宋体" w:hAnsi="宋体" w:cs="宋体" w:hint="eastAsia"/>
          <w:color w:val="auto"/>
          <w:szCs w:val="22"/>
          <w:highlight w:val="none"/>
          <w:u w:val="single"/>
        </w:rPr>
        <w:t xml:space="preserve">开工前七日内将机械设备进场计划、施工组织设计、施工总进度计划和供应的材料设备总计划各四份送交监理单位审核后转交给发包人审批。</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w:t>
      </w:r>
      <w:r>
        <w:rPr>
          <w:rFonts w:ascii="宋体" w:eastAsia="宋体" w:hAnsi="宋体" w:cs="宋体" w:hint="eastAsia"/>
          <w:color w:val="auto"/>
          <w:szCs w:val="22"/>
          <w:highlight w:val="none"/>
          <w:u w:val="single"/>
        </w:rPr>
        <w:t xml:space="preserve">开工前七日内完成临时设施及临时施工道路。</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7.3.2开工通知</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因发包人原因造成监理人未能在计划开工日期之日起</w:t>
      </w:r>
      <w:r>
        <w:rPr>
          <w:rFonts w:ascii="宋体" w:eastAsia="宋体" w:hAnsi="宋体" w:cs="宋体" w:hint="eastAsia"/>
          <w:color w:val="auto"/>
          <w:szCs w:val="22"/>
          <w:highlight w:val="none"/>
          <w:u w:val="single"/>
        </w:rPr>
        <w:t xml:space="preserve">30</w:t>
      </w:r>
      <w:r>
        <w:rPr>
          <w:rFonts w:ascii="宋体" w:eastAsia="宋体" w:hAnsi="宋体" w:cs="宋体" w:hint="eastAsia"/>
          <w:color w:val="auto"/>
          <w:szCs w:val="22"/>
          <w:highlight w:val="none"/>
        </w:rPr>
        <w:t xml:space="preserve">天内发出开工通知的，承包人有权提出价格调整要求，或者解除合同</w:t>
      </w:r>
      <w:bookmarkEnd w:id="138"/>
      <w:bookmarkEnd w:id="139"/>
      <w:bookmarkEnd w:id="140"/>
      <w:bookmarkEnd w:id="141"/>
      <w:bookmarkEnd w:id="142"/>
      <w:bookmarkEnd w:id="143"/>
      <w:bookmarkEnd w:id="144"/>
      <w:r>
        <w:rPr>
          <w:rFonts w:ascii="宋体" w:eastAsia="宋体" w:hAnsi="宋体" w:cs="宋体" w:hint="eastAsia"/>
          <w:color w:val="auto"/>
          <w:szCs w:val="22"/>
          <w:highlight w:val="none"/>
        </w:rPr>
        <w:t xml:space="preserve">，承包人如在</w:t>
      </w:r>
      <w:r>
        <w:rPr>
          <w:rFonts w:ascii="宋体" w:eastAsia="宋体" w:hAnsi="宋体" w:cs="宋体" w:hint="eastAsia"/>
          <w:color w:val="auto"/>
          <w:szCs w:val="22"/>
          <w:highlight w:val="none"/>
          <w:u w:val="single"/>
        </w:rPr>
        <w:t xml:space="preserve">30</w:t>
      </w:r>
      <w:r>
        <w:rPr>
          <w:rFonts w:ascii="宋体" w:eastAsia="宋体" w:hAnsi="宋体" w:cs="宋体" w:hint="eastAsia"/>
          <w:color w:val="auto"/>
          <w:szCs w:val="22"/>
          <w:highlight w:val="none"/>
        </w:rPr>
        <w:t xml:space="preserve">天内不提出任何异议，即对此</w:t>
      </w:r>
      <w:r>
        <w:rPr>
          <w:rFonts w:ascii="宋体" w:eastAsia="宋体" w:hAnsi="宋体" w:cs="宋体" w:hint="eastAsia"/>
          <w:color w:val="auto"/>
          <w:szCs w:val="22"/>
          <w:highlight w:val="none"/>
          <w:u w:val="single"/>
        </w:rPr>
        <w:t xml:space="preserve">30</w:t>
      </w:r>
      <w:r>
        <w:rPr>
          <w:rFonts w:ascii="宋体" w:eastAsia="宋体" w:hAnsi="宋体" w:cs="宋体" w:hint="eastAsia"/>
          <w:color w:val="auto"/>
          <w:szCs w:val="22"/>
          <w:highlight w:val="none"/>
        </w:rPr>
        <w:t xml:space="preserve">天内的价格上涨不做调整表示无异议，只有权提出顺延工期或解除合同要求。</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7.4 测量放线</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7.4.1发包人通过监理人向承包人提供测量基准点、基准线和水准点及其书面资料的期限：</w:t>
      </w:r>
      <w:r>
        <w:rPr>
          <w:rFonts w:ascii="宋体" w:eastAsia="宋体" w:hAnsi="宋体" w:cs="宋体" w:hint="eastAsia"/>
          <w:color w:val="auto"/>
          <w:szCs w:val="22"/>
          <w:highlight w:val="none"/>
          <w:u w:val="single"/>
        </w:rPr>
        <w:t xml:space="preserve">签订合同后</w:t>
      </w:r>
      <w:r>
        <w:rPr>
          <w:rFonts w:ascii="宋体" w:eastAsia="宋体" w:hAnsi="宋体" w:cs="宋体" w:hint="eastAsia"/>
          <w:color w:val="auto"/>
          <w:szCs w:val="22"/>
          <w:highlight w:val="none"/>
          <w:u w:val="single"/>
          <w:lang w:val="en-US" w:eastAsia="zh-CN"/>
        </w:rPr>
        <w:t xml:space="preserve">7</w:t>
      </w:r>
      <w:r>
        <w:rPr>
          <w:rFonts w:ascii="宋体" w:eastAsia="宋体" w:hAnsi="宋体" w:cs="宋体" w:hint="eastAsia"/>
          <w:color w:val="auto"/>
          <w:szCs w:val="22"/>
          <w:highlight w:val="none"/>
          <w:u w:val="single"/>
        </w:rPr>
        <w:t xml:space="preserve">日，但不得晚于开工通知载明的开工日期前</w:t>
      </w:r>
      <w:r>
        <w:rPr>
          <w:rFonts w:ascii="宋体" w:eastAsia="宋体" w:hAnsi="宋体" w:cs="宋体" w:hint="eastAsia"/>
          <w:color w:val="auto"/>
          <w:szCs w:val="22"/>
          <w:highlight w:val="none"/>
          <w:u w:val="single"/>
          <w:lang w:val="en-US" w:eastAsia="zh-CN"/>
        </w:rPr>
        <w:t xml:space="preserve">3</w:t>
      </w:r>
      <w:r>
        <w:rPr>
          <w:rFonts w:ascii="宋体" w:eastAsia="宋体" w:hAnsi="宋体" w:cs="宋体" w:hint="eastAsia"/>
          <w:color w:val="auto"/>
          <w:szCs w:val="22"/>
          <w:highlight w:val="none"/>
          <w:u w:val="single"/>
        </w:rPr>
        <w:t xml:space="preserve">日，向承包人提供测量基准点、基准线和水准点及其书面资料。承包人就此建立的施工控制网资料应在开工前三日报送监理人审批及复核。</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w:t>
      </w:r>
      <w:bookmarkStart w:id="145" w:name="_Toc304295546"/>
      <w:bookmarkStart w:id="146" w:name="_Toc297123516"/>
      <w:bookmarkStart w:id="147" w:name="_Toc312677484"/>
      <w:bookmarkStart w:id="148" w:name="_Toc300934968"/>
      <w:bookmarkStart w:id="149" w:name="_Toc303539125"/>
      <w:bookmarkStart w:id="150" w:name="_Toc312678010"/>
      <w:bookmarkStart w:id="151" w:name="_Toc297216175"/>
      <w:r>
        <w:rPr>
          <w:rFonts w:ascii="宋体" w:eastAsia="宋体" w:hAnsi="宋体" w:cs="宋体" w:hint="eastAsia"/>
          <w:color w:val="auto"/>
          <w:szCs w:val="22"/>
          <w:highlight w:val="none"/>
        </w:rPr>
        <w:t xml:space="preserve">.5 工期延误</w:t>
      </w:r>
      <w:bookmarkEnd w:id="145"/>
      <w:bookmarkEnd w:id="146"/>
      <w:bookmarkEnd w:id="147"/>
      <w:bookmarkEnd w:id="148"/>
      <w:bookmarkEnd w:id="149"/>
      <w:bookmarkEnd w:id="150"/>
      <w:bookmarkEnd w:id="151"/>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7.5.1 因发包人原因导致工期延误</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（7）因发包人原因导致工期延误的其他情形：</w:t>
      </w:r>
      <w:r>
        <w:rPr>
          <w:rFonts w:ascii="宋体" w:eastAsia="宋体" w:hAnsi="宋体" w:cs="宋体" w:hint="eastAsia"/>
          <w:color w:val="auto"/>
          <w:szCs w:val="22"/>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ascii="宋体" w:eastAsia="宋体" w:hAnsi="宋体" w:cs="宋体" w:hint="eastAsia"/>
          <w:b/>
          <w:color w:val="auto"/>
          <w:szCs w:val="22"/>
          <w:highlight w:val="none"/>
          <w:u w:val="singl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w:t>
      </w:r>
      <w:bookmarkStart w:id="152" w:name="_Toc318581169"/>
      <w:bookmarkStart w:id="153" w:name="_Toc312678012"/>
      <w:bookmarkStart w:id="154" w:name="_Toc312677486"/>
      <w:bookmarkStart w:id="155" w:name="_Toc300934970"/>
      <w:bookmarkStart w:id="156" w:name="_Toc303539127"/>
      <w:bookmarkStart w:id="157" w:name="_Toc297216177"/>
      <w:bookmarkStart w:id="158" w:name="_Toc304295548"/>
      <w:bookmarkStart w:id="159" w:name="_Toc297123518"/>
      <w:r>
        <w:rPr>
          <w:rFonts w:ascii="宋体" w:eastAsia="宋体" w:hAnsi="宋体" w:cs="宋体" w:hint="eastAsia"/>
          <w:color w:val="auto"/>
          <w:szCs w:val="22"/>
          <w:highlight w:val="none"/>
        </w:rPr>
        <w:t xml:space="preserve">.5.2 因承包人原因导致工期延误</w:t>
      </w:r>
      <w:bookmarkEnd w:id="152"/>
      <w:bookmarkEnd w:id="153"/>
      <w:bookmarkEnd w:id="154"/>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因</w:t>
      </w:r>
      <w:bookmarkStart w:id="160" w:name="_Toc312677487"/>
      <w:bookmarkStart w:id="161" w:name="_Toc312678013"/>
      <w:bookmarkStart w:id="162" w:name="_Toc318581170"/>
      <w:r>
        <w:rPr>
          <w:rFonts w:ascii="宋体" w:eastAsia="宋体" w:hAnsi="宋体" w:cs="宋体" w:hint="eastAsia"/>
          <w:color w:val="auto"/>
          <w:szCs w:val="22"/>
          <w:highlight w:val="none"/>
        </w:rPr>
        <w:t xml:space="preserve">承包人原因造成工期延误，逾期竣工违约金的计算方法为：</w:t>
      </w:r>
      <w:bookmarkEnd w:id="155"/>
      <w:bookmarkEnd w:id="156"/>
      <w:bookmarkEnd w:id="157"/>
      <w:bookmarkEnd w:id="158"/>
      <w:bookmarkEnd w:id="159"/>
      <w:bookmarkEnd w:id="160"/>
      <w:bookmarkEnd w:id="161"/>
    </w:p>
    <w:p>
      <w:pPr>
        <w:spacing w:line="240" w:lineRule="auto"/>
        <w:ind w:firstLine="420"/>
        <w:jc w:val="left"/>
        <w:rPr>
          <w:rFonts w:ascii="宋体" w:eastAsia="宋体" w:hAnsi="宋体" w:cs="宋体"/>
          <w:b/>
          <w:bCs/>
          <w:color w:val="auto"/>
          <w:szCs w:val="22"/>
          <w:highlight w:val="none"/>
          <w:u w:val="single"/>
        </w:rPr>
      </w:pPr>
      <w:r>
        <w:rPr>
          <w:rFonts w:ascii="宋体" w:eastAsia="宋体" w:hAnsi="宋体" w:cs="宋体" w:hint="eastAsia"/>
          <w:b/>
          <w:bCs/>
          <w:color w:val="auto"/>
          <w:szCs w:val="22"/>
          <w:highlight w:val="none"/>
          <w:u w:val="single"/>
        </w:rPr>
        <w:t xml:space="preserve">①竣工日期延误在10天（包含）以内的，承包人向发包人缴纳违约金</w:t>
      </w:r>
      <w:r>
        <w:rPr>
          <w:rFonts w:ascii="宋体" w:eastAsia="宋体" w:hAnsi="宋体" w:cs="宋体" w:hint="eastAsia"/>
          <w:b/>
          <w:bCs/>
          <w:color w:val="auto"/>
          <w:szCs w:val="22"/>
          <w:highlight w:val="none"/>
          <w:u w:val="single"/>
          <w:lang w:val="en-US" w:eastAsia="zh-CN"/>
        </w:rPr>
        <w:t xml:space="preserve">2</w:t>
      </w:r>
      <w:r>
        <w:rPr>
          <w:rFonts w:ascii="宋体" w:eastAsia="宋体" w:hAnsi="宋体" w:cs="宋体" w:hint="eastAsia"/>
          <w:b/>
          <w:bCs/>
          <w:color w:val="auto"/>
          <w:szCs w:val="22"/>
          <w:highlight w:val="none"/>
          <w:u w:val="single"/>
        </w:rPr>
        <w:t xml:space="preserve">000元/天；</w:t>
      </w:r>
    </w:p>
    <w:p>
      <w:pPr>
        <w:spacing w:line="240" w:lineRule="auto"/>
        <w:ind w:firstLine="420"/>
        <w:jc w:val="left"/>
        <w:rPr>
          <w:rFonts w:ascii="宋体" w:eastAsia="宋体" w:hAnsi="宋体" w:cs="宋体"/>
          <w:b/>
          <w:bCs/>
          <w:color w:val="auto"/>
          <w:szCs w:val="22"/>
          <w:highlight w:val="none"/>
          <w:u w:val="single"/>
        </w:rPr>
      </w:pPr>
      <w:r>
        <w:rPr>
          <w:rFonts w:ascii="宋体" w:eastAsia="宋体" w:hAnsi="宋体" w:cs="宋体" w:hint="eastAsia"/>
          <w:b/>
          <w:bCs/>
          <w:color w:val="auto"/>
          <w:szCs w:val="22"/>
          <w:highlight w:val="none"/>
          <w:u w:val="single"/>
        </w:rPr>
        <w:t xml:space="preserve">②竣工日期延误10天以上未超过20天（包含）的，承包人向发包人缴纳违约金</w:t>
      </w:r>
      <w:r>
        <w:rPr>
          <w:rFonts w:ascii="宋体" w:eastAsia="宋体" w:hAnsi="宋体" w:cs="宋体" w:hint="eastAsia"/>
          <w:b/>
          <w:bCs/>
          <w:color w:val="auto"/>
          <w:szCs w:val="22"/>
          <w:highlight w:val="none"/>
          <w:u w:val="single"/>
          <w:lang w:val="en-US" w:eastAsia="zh-CN"/>
        </w:rPr>
        <w:t xml:space="preserve">5</w:t>
      </w:r>
      <w:r>
        <w:rPr>
          <w:rFonts w:ascii="宋体" w:eastAsia="宋体" w:hAnsi="宋体" w:cs="宋体" w:hint="eastAsia"/>
          <w:b/>
          <w:bCs/>
          <w:color w:val="auto"/>
          <w:szCs w:val="22"/>
          <w:highlight w:val="none"/>
          <w:u w:val="single"/>
        </w:rPr>
        <w:t xml:space="preserve">000元/天；</w:t>
      </w:r>
    </w:p>
    <w:p>
      <w:pPr>
        <w:spacing w:line="240" w:lineRule="auto"/>
        <w:ind w:firstLine="420"/>
        <w:jc w:val="left"/>
        <w:rPr>
          <w:rFonts w:ascii="宋体" w:eastAsia="宋体" w:hAnsi="宋体" w:cs="宋体"/>
          <w:b/>
          <w:bCs/>
          <w:color w:val="auto"/>
          <w:szCs w:val="22"/>
          <w:highlight w:val="none"/>
          <w:u w:val="single"/>
        </w:rPr>
      </w:pPr>
      <w:r>
        <w:rPr>
          <w:rFonts w:ascii="宋体" w:eastAsia="宋体" w:hAnsi="宋体" w:cs="宋体" w:hint="eastAsia"/>
          <w:b/>
          <w:bCs/>
          <w:color w:val="auto"/>
          <w:szCs w:val="22"/>
          <w:highlight w:val="none"/>
          <w:u w:val="single"/>
        </w:rPr>
        <w:t xml:space="preserve">③竣工日期延误20天以上未超过30天（包含）的，承包人向发包人缴纳违约金</w:t>
      </w:r>
      <w:r>
        <w:rPr>
          <w:rFonts w:ascii="宋体" w:eastAsia="宋体" w:hAnsi="宋体" w:cs="宋体" w:hint="eastAsia"/>
          <w:b/>
          <w:bCs/>
          <w:color w:val="auto"/>
          <w:szCs w:val="22"/>
          <w:highlight w:val="none"/>
          <w:u w:val="single"/>
          <w:lang w:val="en-US" w:eastAsia="zh-CN"/>
        </w:rPr>
        <w:t xml:space="preserve">1</w:t>
      </w:r>
      <w:r>
        <w:rPr>
          <w:rFonts w:ascii="宋体" w:eastAsia="宋体" w:hAnsi="宋体" w:cs="宋体" w:hint="eastAsia"/>
          <w:b/>
          <w:bCs/>
          <w:color w:val="auto"/>
          <w:szCs w:val="22"/>
          <w:highlight w:val="none"/>
          <w:u w:val="single"/>
        </w:rPr>
        <w:t xml:space="preserve">0000元/天；</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b/>
          <w:bCs/>
          <w:color w:val="auto"/>
          <w:szCs w:val="22"/>
          <w:highlight w:val="none"/>
          <w:u w:val="single"/>
        </w:rPr>
        <w:t xml:space="preserve">④竣工日期延误超过30天以上的，</w:t>
      </w:r>
      <w:r>
        <w:rPr>
          <w:rFonts w:ascii="宋体" w:eastAsia="宋体" w:hAnsi="宋体" w:cs="宋体" w:hint="eastAsia"/>
          <w:b/>
          <w:bCs/>
          <w:color w:val="auto"/>
          <w:szCs w:val="22"/>
          <w:highlight w:val="none"/>
          <w:u w:val="single"/>
          <w:lang w:val="en-US" w:eastAsia="zh-CN"/>
        </w:rPr>
        <w:t xml:space="preserve">承包人向发包人缴纳违约金20000元/天，违约金上限不超过合同价的30%，</w:t>
      </w:r>
      <w:r>
        <w:rPr>
          <w:rFonts w:ascii="宋体" w:eastAsia="宋体" w:hAnsi="宋体" w:cs="宋体" w:hint="eastAsia"/>
          <w:b/>
          <w:bCs/>
          <w:color w:val="auto"/>
          <w:szCs w:val="22"/>
          <w:highlight w:val="none"/>
          <w:u w:val="single"/>
        </w:rPr>
        <w:t xml:space="preserve">发包人有权单方解除合同并没收</w:t>
      </w:r>
      <w:r>
        <w:rPr>
          <w:rFonts w:ascii="宋体" w:eastAsia="宋体" w:hAnsi="宋体" w:cs="宋体" w:hint="eastAsia"/>
          <w:b/>
          <w:bCs/>
          <w:color w:val="auto"/>
          <w:szCs w:val="22"/>
          <w:highlight w:val="none"/>
          <w:u w:val="single"/>
          <w:lang w:eastAsia="zh-CN"/>
        </w:rPr>
        <w:t xml:space="preserve">履约保证金（如有）</w:t>
      </w:r>
      <w:r>
        <w:rPr>
          <w:rFonts w:ascii="宋体" w:eastAsia="宋体" w:hAnsi="宋体" w:cs="宋体" w:hint="eastAsia"/>
          <w:b/>
          <w:bCs/>
          <w:color w:val="auto"/>
          <w:szCs w:val="22"/>
          <w:highlight w:val="none"/>
          <w:u w:val="single"/>
        </w:rPr>
        <w:t xml:space="preserve">，同时承包人还应赔偿给发包人造成的全部经济损失</w:t>
      </w:r>
      <w:r>
        <w:rPr>
          <w:rFonts w:ascii="宋体" w:eastAsia="宋体" w:hAnsi="宋体" w:cs="宋体" w:hint="eastAsia"/>
          <w:b/>
          <w:bCs/>
          <w:color w:val="auto"/>
          <w:szCs w:val="22"/>
          <w:highlight w:val="none"/>
        </w:rPr>
        <w:t xml:space="preserve">。</w:t>
      </w:r>
      <w:bookmarkEnd w:id="162"/>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w:t>
      </w:r>
      <w:bookmarkStart w:id="163" w:name="_Toc303539128"/>
      <w:bookmarkStart w:id="164" w:name="_Toc297216178"/>
      <w:bookmarkStart w:id="165" w:name="_Toc304295549"/>
      <w:bookmarkStart w:id="166" w:name="_Toc300934971"/>
      <w:bookmarkStart w:id="167" w:name="_Toc297123519"/>
      <w:bookmarkStart w:id="168" w:name="_Toc312678015"/>
      <w:r>
        <w:rPr>
          <w:rFonts w:ascii="宋体" w:eastAsia="宋体" w:hAnsi="宋体" w:cs="宋体" w:hint="eastAsia"/>
          <w:color w:val="auto"/>
          <w:szCs w:val="22"/>
          <w:highlight w:val="none"/>
        </w:rPr>
        <w:t xml:space="preserve">.6 不</w:t>
      </w:r>
      <w:bookmarkEnd w:id="163"/>
      <w:bookmarkEnd w:id="164"/>
      <w:bookmarkEnd w:id="165"/>
      <w:bookmarkEnd w:id="166"/>
      <w:bookmarkEnd w:id="167"/>
      <w:bookmarkEnd w:id="168"/>
      <w:r>
        <w:rPr>
          <w:rFonts w:ascii="宋体" w:eastAsia="宋体" w:hAnsi="宋体" w:cs="宋体" w:hint="eastAsia"/>
          <w:color w:val="auto"/>
          <w:szCs w:val="22"/>
          <w:highlight w:val="none"/>
        </w:rPr>
        <w:t xml:space="preserve">利物质条件</w:t>
      </w:r>
    </w:p>
    <w:p>
      <w:pPr>
        <w:spacing w:line="240" w:lineRule="auto"/>
        <w:ind w:firstLine="420"/>
        <w:jc w:val="left"/>
        <w:rPr>
          <w:rFonts w:ascii="宋体" w:eastAsia="宋体" w:hAnsi="宋体" w:cs="宋体"/>
          <w:color w:val="auto"/>
          <w:szCs w:val="22"/>
          <w:highlight w:val="none"/>
        </w:rPr>
      </w:pPr>
      <w:bookmarkStart w:id="169" w:name="_Toc312678016"/>
      <w:bookmarkStart w:id="170" w:name="_Toc297123520"/>
      <w:bookmarkStart w:id="171" w:name="_Toc303539129"/>
      <w:bookmarkStart w:id="172" w:name="_Toc297216179"/>
      <w:bookmarkStart w:id="173" w:name="_Toc300934972"/>
      <w:bookmarkStart w:id="174" w:name="_Toc304295550"/>
      <w:bookmarkStart w:id="175" w:name="_Toc318581172"/>
      <w:r>
        <w:rPr>
          <w:rFonts w:ascii="宋体" w:eastAsia="宋体" w:hAnsi="宋体" w:cs="宋体" w:hint="eastAsia"/>
          <w:color w:val="auto"/>
          <w:szCs w:val="22"/>
          <w:highlight w:val="none"/>
        </w:rPr>
        <w:t xml:space="preserve">不利物质条件的其他情形和有关约定：</w:t>
      </w:r>
      <w:r>
        <w:rPr>
          <w:rFonts w:ascii="宋体" w:eastAsia="宋体" w:hAnsi="宋体" w:cs="宋体" w:hint="eastAsia"/>
          <w:color w:val="auto"/>
          <w:szCs w:val="22"/>
          <w:highlight w:val="none"/>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bookmarkEnd w:id="170"/>
      <w:bookmarkEnd w:id="171"/>
      <w:bookmarkEnd w:id="172"/>
      <w:bookmarkEnd w:id="173"/>
      <w:bookmarkEnd w:id="174"/>
      <w:bookmarkEnd w:id="17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w:t>
      </w:r>
      <w:bookmarkStart w:id="176" w:name="_Toc297216180"/>
      <w:bookmarkStart w:id="177" w:name="_Toc297123521"/>
      <w:bookmarkStart w:id="178" w:name="_Toc312678017"/>
      <w:bookmarkStart w:id="179" w:name="_Toc300934973"/>
      <w:bookmarkStart w:id="180" w:name="_Toc303539130"/>
      <w:bookmarkStart w:id="181" w:name="_Toc304295551"/>
      <w:r>
        <w:rPr>
          <w:rFonts w:ascii="宋体" w:eastAsia="宋体" w:hAnsi="宋体" w:cs="宋体" w:hint="eastAsia"/>
          <w:color w:val="auto"/>
          <w:szCs w:val="22"/>
          <w:highlight w:val="none"/>
        </w:rPr>
        <w:t xml:space="preserve">.7异常恶劣的气候条件</w:t>
      </w:r>
      <w:bookmarkEnd w:id="176"/>
      <w:bookmarkEnd w:id="177"/>
      <w:bookmarkEnd w:id="178"/>
      <w:bookmarkEnd w:id="179"/>
      <w:bookmarkEnd w:id="180"/>
      <w:bookmarkEnd w:id="181"/>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发包人和承包人同意以下情形视为异常恶劣的气候条件：</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r>
        <w:rPr>
          <w:rFonts w:ascii="宋体" w:eastAsia="宋体" w:hAnsi="宋体" w:cs="宋体" w:hint="eastAsia"/>
          <w:color w:val="auto"/>
          <w:szCs w:val="22"/>
          <w:highlight w:val="none"/>
          <w:u w:val="single"/>
        </w:rPr>
        <w:t xml:space="preserve">按《通用条款》执行</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w:t>
      </w:r>
      <w:r>
        <w:rPr>
          <w:rFonts w:ascii="宋体" w:eastAsia="宋体" w:hAnsi="宋体" w:cs="宋体" w:hint="eastAsia"/>
          <w:color w:val="auto"/>
          <w:szCs w:val="22"/>
          <w:highlight w:val="none"/>
          <w:u w:val="single"/>
        </w:rPr>
        <w:t xml:space="preserve">其他政府主管部门通知的不宜施工或影响正常施工的非正常气候条件。</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7.9 提前竣工的奖励</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7.9.2提前竣工的奖励：</w:t>
      </w:r>
      <w:r>
        <w:rPr>
          <w:rFonts w:ascii="宋体" w:eastAsia="宋体" w:hAnsi="宋体" w:cs="宋体" w:hint="eastAsia"/>
          <w:color w:val="auto"/>
          <w:szCs w:val="22"/>
          <w:highlight w:val="none"/>
          <w:u w:val="single"/>
        </w:rPr>
        <w:t xml:space="preserve">发包人不要求承包人提前竣工。如果发包人需要承包人提前竣工 ，由此增加的赶工费用、措施费用由发包人承担 </w:t>
      </w:r>
      <w:r>
        <w:rPr>
          <w:rFonts w:ascii="宋体" w:eastAsia="宋体" w:hAnsi="宋体" w:cs="宋体" w:hint="eastAsia"/>
          <w:color w:val="auto"/>
          <w:szCs w:val="22"/>
          <w:highlight w:val="none"/>
        </w:rPr>
        <w:t xml:space="preserve">。</w:t>
      </w:r>
    </w:p>
    <w:p>
      <w:pPr>
        <w:spacing w:line="240" w:lineRule="auto"/>
        <w:rPr>
          <w:rFonts w:ascii="宋体" w:eastAsia="宋体" w:hAnsi="宋体" w:cs="宋体"/>
          <w:color w:val="auto"/>
          <w:szCs w:val="22"/>
          <w:highlight w:val="none"/>
        </w:rPr>
      </w:pPr>
      <w:bookmarkStart w:id="182" w:name="_Toc351203640"/>
      <w:r>
        <w:rPr>
          <w:rFonts w:ascii="宋体" w:eastAsia="宋体" w:hAnsi="宋体" w:cs="宋体" w:hint="eastAsia"/>
          <w:color w:val="auto"/>
          <w:szCs w:val="22"/>
          <w:highlight w:val="none"/>
        </w:rPr>
        <w:t xml:space="preserve">8. 材料与设备</w:t>
      </w:r>
      <w:bookmarkEnd w:id="119"/>
      <w:bookmarkEnd w:id="120"/>
      <w:bookmarkEnd w:id="121"/>
      <w:bookmarkEnd w:id="122"/>
      <w:bookmarkEnd w:id="123"/>
      <w:bookmarkEnd w:id="124"/>
      <w:bookmarkEnd w:id="125"/>
      <w:bookmarkEnd w:id="126"/>
      <w:bookmarkEnd w:id="127"/>
      <w:bookmarkEnd w:id="128"/>
      <w:bookmarkEnd w:id="182"/>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w:t>
      </w:r>
      <w:bookmarkStart w:id="183" w:name="_Toc304295556"/>
      <w:bookmarkStart w:id="184" w:name="_Toc280868654"/>
      <w:bookmarkStart w:id="185" w:name="_Toc303539136"/>
      <w:bookmarkStart w:id="186" w:name="_Toc297123527"/>
      <w:bookmarkStart w:id="187" w:name="_Toc312677493"/>
      <w:bookmarkStart w:id="188" w:name="_Toc297120467"/>
      <w:bookmarkStart w:id="189" w:name="_Toc296944506"/>
      <w:bookmarkStart w:id="190" w:name="_Toc297216186"/>
      <w:bookmarkStart w:id="191" w:name="_Toc296891207"/>
      <w:bookmarkStart w:id="192" w:name="_Toc296346668"/>
      <w:bookmarkStart w:id="193" w:name="_Toc292559372"/>
      <w:bookmarkStart w:id="194" w:name="_Toc296890995"/>
      <w:bookmarkStart w:id="195" w:name="_Toc292559877"/>
      <w:bookmarkStart w:id="196" w:name="_Toc312678019"/>
      <w:bookmarkStart w:id="197" w:name="_Toc296347166"/>
      <w:bookmarkStart w:id="198" w:name="_Toc297048353"/>
      <w:bookmarkStart w:id="199" w:name="_Toc300934979"/>
      <w:bookmarkStart w:id="200" w:name="_Toc296503167"/>
      <w:bookmarkStart w:id="201" w:name="_Toc280868655"/>
      <w:bookmarkStart w:id="202" w:name="_Toc267251424"/>
      <w:bookmarkStart w:id="203" w:name="_Toc280868656"/>
      <w:r>
        <w:rPr>
          <w:rFonts w:ascii="宋体" w:eastAsia="宋体" w:hAnsi="宋体" w:cs="宋体" w:hint="eastAsia"/>
          <w:color w:val="auto"/>
          <w:szCs w:val="22"/>
          <w:highlight w:val="none"/>
        </w:rPr>
        <w:t xml:space="preserve">.4材料与工程设备的保管与使用</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w:t>
      </w:r>
      <w:bookmarkStart w:id="204" w:name="_Toc292559373"/>
      <w:bookmarkStart w:id="205" w:name="_Toc292559878"/>
      <w:bookmarkStart w:id="206" w:name="_Toc312678020"/>
      <w:bookmarkStart w:id="207" w:name="_Toc300934980"/>
      <w:bookmarkStart w:id="208" w:name="_Toc296944507"/>
      <w:bookmarkStart w:id="209" w:name="_Toc297216187"/>
      <w:bookmarkStart w:id="210" w:name="_Toc297120468"/>
      <w:bookmarkStart w:id="211" w:name="_Toc304295557"/>
      <w:bookmarkStart w:id="212" w:name="_Toc296891208"/>
      <w:bookmarkStart w:id="213" w:name="_Toc318581173"/>
      <w:bookmarkStart w:id="214" w:name="_Toc297123528"/>
      <w:bookmarkStart w:id="215" w:name="_Toc297048354"/>
      <w:bookmarkStart w:id="216" w:name="_Toc296503168"/>
      <w:bookmarkStart w:id="217" w:name="_Toc296346669"/>
      <w:bookmarkStart w:id="218" w:name="_Toc303539137"/>
      <w:bookmarkStart w:id="219" w:name="_Toc296890996"/>
      <w:bookmarkStart w:id="220" w:name="_Toc312677494"/>
      <w:bookmarkStart w:id="221" w:name="_Toc296347167"/>
      <w:r>
        <w:rPr>
          <w:rFonts w:ascii="宋体" w:eastAsia="宋体" w:hAnsi="宋体" w:cs="宋体" w:hint="eastAsia"/>
          <w:color w:val="auto"/>
          <w:szCs w:val="22"/>
          <w:highlight w:val="none"/>
        </w:rPr>
        <w:t xml:space="preserve">.4.1发包人供应的材料设备的保管费用的承担：</w:t>
      </w:r>
      <w:r>
        <w:rPr>
          <w:rFonts w:ascii="宋体" w:eastAsia="宋体" w:hAnsi="宋体" w:cs="宋体" w:hint="eastAsia"/>
          <w:color w:val="auto"/>
          <w:szCs w:val="22"/>
          <w:highlight w:val="none"/>
          <w:u w:val="single"/>
        </w:rPr>
        <w:t xml:space="preserve">无，如果发生双方另行协商</w:t>
      </w:r>
      <w:r>
        <w:rPr>
          <w:rFonts w:ascii="宋体" w:eastAsia="宋体" w:hAnsi="宋体" w:cs="宋体" w:hint="eastAsia"/>
          <w:color w:val="auto"/>
          <w:szCs w:val="22"/>
          <w:highlight w:val="none"/>
        </w:rPr>
        <w:t xml:space="preserve">。</w:t>
      </w:r>
      <w:bookmarkEnd w:id="204"/>
      <w:bookmarkEnd w:id="20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8.6 样品</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8.6.1</w:t>
      </w:r>
      <w:r>
        <w:rPr>
          <w:rFonts w:ascii="宋体" w:eastAsia="宋体" w:hAnsi="宋体" w:cs="宋体" w:hint="eastAsia"/>
          <w:color w:val="auto"/>
          <w:szCs w:val="22"/>
          <w:highlight w:val="none"/>
        </w:rPr>
        <w:t xml:space="preserve">样品的报送与封存</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需要承包人报送样品的材料或工程设备，样品的种类、名称、规格、数量要求：</w:t>
      </w:r>
      <w:r>
        <w:rPr>
          <w:rFonts w:ascii="宋体" w:eastAsia="宋体" w:hAnsi="宋体" w:cs="宋体" w:hint="eastAsia"/>
          <w:color w:val="auto"/>
          <w:szCs w:val="22"/>
          <w:highlight w:val="none"/>
          <w:u w:val="single"/>
        </w:rPr>
        <w:t xml:space="preserve">按照国家、江苏省及淮安市</w:t>
      </w:r>
      <w:r>
        <w:rPr>
          <w:rFonts w:ascii="宋体" w:eastAsia="宋体" w:hAnsi="宋体" w:cs="宋体" w:hint="eastAsia"/>
          <w:color w:val="auto"/>
          <w:szCs w:val="22"/>
          <w:highlight w:val="none"/>
          <w:u w:val="single"/>
          <w:lang w:eastAsia="zh-CN"/>
        </w:rPr>
        <w:t xml:space="preserve">建筑工程</w:t>
      </w:r>
      <w:r>
        <w:rPr>
          <w:rFonts w:ascii="宋体" w:eastAsia="宋体" w:hAnsi="宋体" w:cs="宋体" w:hint="eastAsia"/>
          <w:color w:val="auto"/>
          <w:szCs w:val="22"/>
          <w:highlight w:val="none"/>
          <w:u w:val="single"/>
        </w:rPr>
        <w:t xml:space="preserve">施工验收规范及设计图纸中的规定执行，并提供有关产品合格证明和质量保证资料及江苏省及淮安市规定的相应资料，对所采购的材料、成品、半成品、构配件、设备等的质量负责。</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8.8 施工设备和临时设施</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8.8.1 承包人提供的施工设备和临时设施</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关于修建临时设施费用承担的约定：</w:t>
      </w:r>
      <w:r>
        <w:rPr>
          <w:rFonts w:ascii="宋体" w:eastAsia="宋体" w:hAnsi="宋体" w:cs="宋体" w:hint="eastAsia"/>
          <w:color w:val="auto"/>
          <w:szCs w:val="22"/>
          <w:highlight w:val="none"/>
          <w:u w:val="single"/>
        </w:rPr>
        <w:t xml:space="preserve">除约定外均自行修建</w:t>
      </w:r>
      <w:r>
        <w:rPr>
          <w:rFonts w:ascii="宋体" w:eastAsia="宋体" w:hAnsi="宋体" w:cs="宋体" w:hint="eastAsia"/>
          <w:color w:val="auto"/>
          <w:szCs w:val="22"/>
          <w:highlight w:val="none"/>
        </w:rPr>
        <w:t xml:space="preserve">。</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pPr>
        <w:spacing w:line="240" w:lineRule="auto"/>
        <w:rPr>
          <w:rFonts w:ascii="宋体" w:eastAsia="宋体" w:hAnsi="宋体" w:cs="宋体"/>
          <w:color w:val="auto"/>
          <w:szCs w:val="22"/>
          <w:highlight w:val="none"/>
        </w:rPr>
      </w:pPr>
      <w:bookmarkStart w:id="222" w:name="_Toc351203641"/>
      <w:r>
        <w:rPr>
          <w:rFonts w:ascii="宋体" w:eastAsia="宋体" w:hAnsi="宋体" w:cs="宋体" w:hint="eastAsia"/>
          <w:color w:val="auto"/>
          <w:szCs w:val="22"/>
          <w:highlight w:val="none"/>
        </w:rPr>
        <w:t xml:space="preserve">9</w:t>
      </w:r>
      <w:bookmarkEnd w:id="201"/>
      <w:bookmarkEnd w:id="202"/>
      <w:bookmarkEnd w:id="203"/>
      <w:bookmarkStart w:id="223" w:name="_Toc304295559"/>
      <w:bookmarkStart w:id="224" w:name="_Toc297123533"/>
      <w:bookmarkStart w:id="225" w:name="_Toc300934982"/>
      <w:bookmarkStart w:id="226" w:name="_Toc312678021"/>
      <w:bookmarkStart w:id="227" w:name="_Toc312677495"/>
      <w:bookmarkStart w:id="228" w:name="_Toc303539139"/>
      <w:bookmarkStart w:id="229" w:name="_Toc297216192"/>
      <w:bookmarkStart w:id="230" w:name="_Toc267251428"/>
      <w:bookmarkStart w:id="231" w:name="_Toc267251427"/>
      <w:bookmarkStart w:id="232" w:name="_Toc296944512"/>
      <w:bookmarkStart w:id="233" w:name="_Toc296891001"/>
      <w:bookmarkStart w:id="234" w:name="_Toc292559883"/>
      <w:bookmarkStart w:id="235" w:name="_Toc297120473"/>
      <w:bookmarkStart w:id="236" w:name="_Toc296347172"/>
      <w:bookmarkStart w:id="237" w:name="_Toc296346674"/>
      <w:bookmarkStart w:id="238" w:name="_Toc296503173"/>
      <w:bookmarkStart w:id="239" w:name="_Toc292559378"/>
      <w:bookmarkStart w:id="240" w:name="_Toc297048359"/>
      <w:bookmarkStart w:id="241" w:name="_Toc296891213"/>
      <w:r>
        <w:rPr>
          <w:rFonts w:ascii="宋体" w:eastAsia="宋体" w:hAnsi="宋体" w:cs="宋体" w:hint="eastAsia"/>
          <w:color w:val="auto"/>
          <w:szCs w:val="22"/>
          <w:highlight w:val="none"/>
        </w:rPr>
        <w:t xml:space="preserve">. 试验与检验</w:t>
      </w:r>
      <w:bookmarkEnd w:id="222"/>
      <w:bookmarkEnd w:id="223"/>
      <w:bookmarkEnd w:id="224"/>
      <w:bookmarkEnd w:id="225"/>
      <w:bookmarkEnd w:id="226"/>
      <w:bookmarkEnd w:id="227"/>
      <w:bookmarkEnd w:id="228"/>
      <w:bookmarkEnd w:id="229"/>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9</w:t>
      </w:r>
      <w:bookmarkStart w:id="242" w:name="_Toc300934983"/>
      <w:bookmarkStart w:id="243" w:name="_Toc297216193"/>
      <w:bookmarkStart w:id="244" w:name="_Toc303539140"/>
      <w:bookmarkStart w:id="245" w:name="_Toc312678022"/>
      <w:bookmarkStart w:id="246" w:name="_Toc297123534"/>
      <w:bookmarkStart w:id="247" w:name="_Toc304295560"/>
      <w:bookmarkStart w:id="248" w:name="_Toc312677496"/>
      <w:r>
        <w:rPr>
          <w:rFonts w:ascii="宋体" w:eastAsia="宋体" w:hAnsi="宋体" w:cs="宋体" w:hint="eastAsia"/>
          <w:color w:val="auto"/>
          <w:szCs w:val="22"/>
          <w:highlight w:val="none"/>
        </w:rPr>
        <w:t xml:space="preserve">.1试验设备与试验人员</w:t>
      </w:r>
      <w:bookmarkEnd w:id="242"/>
      <w:bookmarkEnd w:id="243"/>
      <w:bookmarkEnd w:id="244"/>
      <w:bookmarkEnd w:id="245"/>
      <w:bookmarkEnd w:id="246"/>
      <w:bookmarkEnd w:id="247"/>
      <w:bookmarkEnd w:id="248"/>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9</w:t>
      </w:r>
      <w:bookmarkStart w:id="249" w:name="_Toc304295561"/>
      <w:bookmarkStart w:id="250" w:name="_Toc312677497"/>
      <w:bookmarkStart w:id="251" w:name="_Toc297123535"/>
      <w:bookmarkStart w:id="252" w:name="_Toc300934984"/>
      <w:bookmarkStart w:id="253" w:name="_Toc297216194"/>
      <w:bookmarkStart w:id="254" w:name="_Toc303539141"/>
      <w:bookmarkStart w:id="255" w:name="_Toc312678023"/>
      <w:bookmarkStart w:id="256" w:name="_Toc318581174"/>
      <w:r>
        <w:rPr>
          <w:rFonts w:ascii="宋体" w:eastAsia="宋体" w:hAnsi="宋体" w:cs="宋体" w:hint="eastAsia"/>
          <w:color w:val="auto"/>
          <w:szCs w:val="22"/>
          <w:highlight w:val="none"/>
        </w:rPr>
        <w:t xml:space="preserve">.1.2 试验设备</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施工现场需要配置的试验场所：</w:t>
      </w:r>
      <w:bookmarkEnd w:id="249"/>
      <w:bookmarkEnd w:id="250"/>
      <w:bookmarkEnd w:id="251"/>
      <w:bookmarkEnd w:id="252"/>
      <w:bookmarkEnd w:id="253"/>
      <w:bookmarkEnd w:id="254"/>
      <w:bookmarkEnd w:id="255"/>
      <w:bookmarkStart w:id="257" w:name="_Toc312678024"/>
      <w:bookmarkStart w:id="258" w:name="_Toc297123536"/>
      <w:bookmarkStart w:id="259" w:name="_Toc297216195"/>
      <w:bookmarkStart w:id="260" w:name="_Toc312677498"/>
      <w:bookmarkStart w:id="261" w:name="_Toc300934985"/>
      <w:bookmarkStart w:id="262" w:name="_Toc303539142"/>
      <w:bookmarkStart w:id="263" w:name="_Toc304295562"/>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施工现场需要配备的试验设备：</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施工现场需要具备的其他试验条件：</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9.4 现场工艺试验</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现场工艺试验的有关约定：</w:t>
      </w:r>
      <w:r>
        <w:rPr>
          <w:rFonts w:ascii="宋体" w:eastAsia="宋体" w:hAnsi="宋体" w:cs="宋体" w:hint="eastAsia"/>
          <w:b/>
          <w:color w:val="auto"/>
          <w:szCs w:val="22"/>
          <w:highlight w:val="none"/>
          <w:u w:val="single"/>
        </w:rPr>
        <w:t xml:space="preserve">承发包双方根据工程实际情况约定，对于特殊的、大型的、难度系数较大的现场工艺试验，应编制专项工艺试验措施计划及专项方案，报监理人审查。</w:t>
      </w:r>
      <w:bookmarkEnd w:id="256"/>
      <w:bookmarkEnd w:id="257"/>
      <w:bookmarkEnd w:id="258"/>
      <w:bookmarkEnd w:id="259"/>
      <w:bookmarkEnd w:id="260"/>
      <w:bookmarkEnd w:id="261"/>
      <w:bookmarkEnd w:id="262"/>
      <w:bookmarkEnd w:id="263"/>
    </w:p>
    <w:p>
      <w:pPr>
        <w:spacing w:line="240" w:lineRule="auto"/>
        <w:rPr>
          <w:rFonts w:ascii="宋体" w:eastAsia="宋体" w:hAnsi="宋体" w:cs="宋体"/>
          <w:color w:val="auto"/>
          <w:szCs w:val="22"/>
          <w:highlight w:val="none"/>
        </w:rPr>
      </w:pPr>
      <w:bookmarkStart w:id="264" w:name="_Toc351203642"/>
      <w:r>
        <w:rPr>
          <w:rFonts w:ascii="宋体" w:eastAsia="宋体" w:hAnsi="宋体" w:cs="宋体" w:hint="eastAsia"/>
          <w:color w:val="auto"/>
          <w:szCs w:val="22"/>
          <w:highlight w:val="none"/>
        </w:rPr>
        <w:t xml:space="preserve">1</w:t>
      </w:r>
      <w:bookmarkEnd w:id="230"/>
      <w:bookmarkEnd w:id="231"/>
      <w:bookmarkEnd w:id="232"/>
      <w:bookmarkEnd w:id="233"/>
      <w:bookmarkEnd w:id="234"/>
      <w:bookmarkEnd w:id="235"/>
      <w:bookmarkEnd w:id="236"/>
      <w:bookmarkEnd w:id="237"/>
      <w:bookmarkEnd w:id="238"/>
      <w:bookmarkEnd w:id="239"/>
      <w:bookmarkEnd w:id="240"/>
      <w:bookmarkEnd w:id="241"/>
      <w:bookmarkStart w:id="265" w:name="_Toc297123540"/>
      <w:bookmarkStart w:id="266" w:name="_Toc292559903"/>
      <w:bookmarkStart w:id="267" w:name="_Toc312677499"/>
      <w:bookmarkStart w:id="268" w:name="_Toc296891021"/>
      <w:bookmarkStart w:id="269" w:name="_Toc304295566"/>
      <w:bookmarkStart w:id="270" w:name="_Toc300934989"/>
      <w:bookmarkStart w:id="271" w:name="_Toc297216199"/>
      <w:bookmarkStart w:id="272" w:name="_Toc303539146"/>
      <w:bookmarkStart w:id="273" w:name="_Toc292559398"/>
      <w:bookmarkStart w:id="274" w:name="_Toc296347192"/>
      <w:bookmarkStart w:id="275" w:name="_Toc312678025"/>
      <w:bookmarkStart w:id="276" w:name="_Toc297048379"/>
      <w:bookmarkStart w:id="277" w:name="_Toc296944532"/>
      <w:bookmarkStart w:id="278" w:name="_Toc296891233"/>
      <w:bookmarkStart w:id="279" w:name="_Toc296503193"/>
      <w:bookmarkStart w:id="280" w:name="_Toc297120493"/>
      <w:bookmarkStart w:id="281" w:name="_Toc296346694"/>
      <w:bookmarkStart w:id="282" w:name="_Toc267251437"/>
      <w:bookmarkStart w:id="283" w:name="_Toc267251441"/>
      <w:bookmarkStart w:id="284" w:name="_Toc267251440"/>
      <w:bookmarkStart w:id="285" w:name="_Toc267251439"/>
      <w:bookmarkStart w:id="286" w:name="_Toc267251435"/>
      <w:bookmarkStart w:id="287" w:name="_Toc267251433"/>
      <w:bookmarkStart w:id="288" w:name="_Toc267251442"/>
      <w:r>
        <w:rPr>
          <w:rFonts w:ascii="宋体" w:eastAsia="宋体" w:hAnsi="宋体" w:cs="宋体" w:hint="eastAsia"/>
          <w:color w:val="auto"/>
          <w:szCs w:val="22"/>
          <w:highlight w:val="none"/>
        </w:rPr>
        <w:t xml:space="preserve">0. 变更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Start w:id="289" w:name="_Toc303539147"/>
      <w:bookmarkStart w:id="290" w:name="_Toc296346695"/>
      <w:bookmarkStart w:id="291" w:name="_Toc312678026"/>
      <w:bookmarkStart w:id="292" w:name="_Toc296503194"/>
      <w:bookmarkStart w:id="293" w:name="_Toc300934990"/>
      <w:bookmarkStart w:id="294" w:name="_Toc296891234"/>
      <w:bookmarkStart w:id="295" w:name="_Toc297216200"/>
      <w:bookmarkStart w:id="296" w:name="_Toc297123541"/>
      <w:bookmarkStart w:id="297" w:name="_Toc292559904"/>
      <w:bookmarkStart w:id="298" w:name="_Toc296891022"/>
      <w:bookmarkStart w:id="299" w:name="_Toc296944533"/>
      <w:bookmarkStart w:id="300" w:name="_Toc304295567"/>
      <w:bookmarkStart w:id="301" w:name="_Toc296347193"/>
      <w:bookmarkStart w:id="302" w:name="_Toc312677500"/>
      <w:bookmarkStart w:id="303" w:name="_Toc297120494"/>
      <w:bookmarkStart w:id="304" w:name="_Toc297048380"/>
      <w:bookmarkStart w:id="305" w:name="_Toc292559399"/>
      <w:r>
        <w:rPr>
          <w:rFonts w:ascii="宋体" w:eastAsia="宋体" w:hAnsi="宋体" w:cs="宋体" w:hint="eastAsia"/>
          <w:color w:val="auto"/>
          <w:szCs w:val="22"/>
          <w:highlight w:val="none"/>
        </w:rPr>
        <w:t xml:space="preserve">0.1变更的范围</w:t>
      </w:r>
    </w:p>
    <w:p>
      <w:pPr>
        <w:spacing w:line="240" w:lineRule="auto"/>
        <w:ind w:firstLine="60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关于变更的范围的约定：</w:t>
      </w:r>
      <w:r>
        <w:rPr>
          <w:rFonts w:ascii="宋体" w:eastAsia="宋体" w:hAnsi="宋体" w:cs="宋体" w:hint="eastAsia"/>
          <w:color w:val="auto"/>
          <w:szCs w:val="22"/>
          <w:highlight w:val="none"/>
          <w:u w:val="single"/>
        </w:rPr>
        <w:t xml:space="preserve">按《通用合同条款》执行。</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10.4 变更估价</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10.4.1 变更估价原则</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关于变更估价的约定: </w:t>
      </w:r>
      <w:r>
        <w:rPr>
          <w:rFonts w:ascii="宋体" w:eastAsia="宋体" w:hAnsi="宋体" w:cs="宋体" w:hint="eastAsia"/>
          <w:color w:val="auto"/>
          <w:szCs w:val="22"/>
          <w:highlight w:val="none"/>
          <w:u w:val="single"/>
        </w:rPr>
        <w:t xml:space="preserve">执行《建设工程工程量清单计价规范》（GB50500-2013）。</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Start w:id="306" w:name="_Toc292559402"/>
      <w:bookmarkStart w:id="307" w:name="_Toc300934993"/>
      <w:bookmarkStart w:id="308" w:name="_Toc296347196"/>
      <w:bookmarkStart w:id="309" w:name="_Toc296346698"/>
      <w:bookmarkStart w:id="310" w:name="_Toc296891237"/>
      <w:bookmarkStart w:id="311" w:name="_Toc297120497"/>
      <w:bookmarkStart w:id="312" w:name="_Toc296891025"/>
      <w:bookmarkStart w:id="313" w:name="_Toc297123544"/>
      <w:bookmarkStart w:id="314" w:name="_Toc303539150"/>
      <w:bookmarkStart w:id="315" w:name="_Toc297216203"/>
      <w:bookmarkStart w:id="316" w:name="_Toc296503197"/>
      <w:bookmarkStart w:id="317" w:name="_Toc292559907"/>
      <w:bookmarkStart w:id="318" w:name="_Toc297048383"/>
      <w:bookmarkStart w:id="319" w:name="_Toc296944536"/>
      <w:bookmarkStart w:id="320" w:name="_Toc304295570"/>
      <w:bookmarkStart w:id="321" w:name="_Toc312678029"/>
      <w:bookmarkStart w:id="322" w:name="_Toc312677503"/>
      <w:r>
        <w:rPr>
          <w:rFonts w:ascii="宋体" w:eastAsia="宋体" w:hAnsi="宋体" w:cs="宋体" w:hint="eastAsia"/>
          <w:color w:val="auto"/>
          <w:szCs w:val="22"/>
          <w:highlight w:val="none"/>
        </w:rPr>
        <w:t xml:space="preserve">0.5承</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Start w:id="323" w:name="_Toc296503203"/>
      <w:bookmarkStart w:id="324" w:name="_Toc297120503"/>
      <w:bookmarkStart w:id="325" w:name="_Toc296347202"/>
      <w:bookmarkStart w:id="326" w:name="_Toc297123545"/>
      <w:bookmarkStart w:id="327" w:name="_Toc300934994"/>
      <w:bookmarkStart w:id="328" w:name="_Toc296891031"/>
      <w:bookmarkStart w:id="329" w:name="_Toc303539151"/>
      <w:bookmarkStart w:id="330" w:name="_Toc296346704"/>
      <w:bookmarkStart w:id="331" w:name="_Toc296944542"/>
      <w:bookmarkStart w:id="332" w:name="_Toc297048389"/>
      <w:bookmarkStart w:id="333" w:name="_Toc297216204"/>
      <w:bookmarkStart w:id="334" w:name="_Toc292559408"/>
      <w:bookmarkStart w:id="335" w:name="_Toc292559913"/>
      <w:bookmarkStart w:id="336" w:name="_Toc296891243"/>
      <w:r>
        <w:rPr>
          <w:rFonts w:ascii="宋体" w:eastAsia="宋体" w:hAnsi="宋体" w:cs="宋体" w:hint="eastAsia"/>
          <w:color w:val="auto"/>
          <w:szCs w:val="22"/>
          <w:highlight w:val="none"/>
        </w:rPr>
        <w:t xml:space="preserve">包人的合理化建议</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监理人审查承包人合理化建议的期限：</w:t>
      </w:r>
      <w:r>
        <w:rPr>
          <w:rFonts w:ascii="宋体" w:eastAsia="宋体" w:hAnsi="宋体" w:cs="宋体" w:hint="eastAsia"/>
          <w:color w:val="auto"/>
          <w:szCs w:val="22"/>
          <w:highlight w:val="none"/>
          <w:u w:val="single"/>
        </w:rPr>
        <w:t xml:space="preserve">收到承包人递交的文件后7日内</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发包人审批承包人合理化建议的期限：</w:t>
      </w:r>
      <w:r>
        <w:rPr>
          <w:rFonts w:ascii="宋体" w:eastAsia="宋体" w:hAnsi="宋体" w:cs="宋体" w:hint="eastAsia"/>
          <w:color w:val="auto"/>
          <w:szCs w:val="22"/>
          <w:highlight w:val="none"/>
          <w:u w:val="single"/>
        </w:rPr>
        <w:t xml:space="preserve">收到承包人递交的文件后7日内</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承</w:t>
      </w:r>
      <w:bookmarkStart w:id="337" w:name="_Toc292559914"/>
      <w:bookmarkStart w:id="338" w:name="_Toc297216205"/>
      <w:bookmarkStart w:id="339" w:name="_Toc296503204"/>
      <w:bookmarkStart w:id="340" w:name="_Toc297048390"/>
      <w:bookmarkStart w:id="341" w:name="_Toc312678030"/>
      <w:bookmarkStart w:id="342" w:name="_Toc297120504"/>
      <w:bookmarkStart w:id="343" w:name="_Toc312677504"/>
      <w:bookmarkStart w:id="344" w:name="_Toc297123546"/>
      <w:bookmarkStart w:id="345" w:name="_Toc304295571"/>
      <w:bookmarkStart w:id="346" w:name="_Toc296891244"/>
      <w:bookmarkStart w:id="347" w:name="_Toc296347203"/>
      <w:bookmarkStart w:id="348" w:name="_Toc300934995"/>
      <w:bookmarkStart w:id="349" w:name="_Toc292559409"/>
      <w:bookmarkStart w:id="350" w:name="_Toc296944543"/>
      <w:bookmarkStart w:id="351" w:name="_Toc296346705"/>
      <w:bookmarkStart w:id="352" w:name="_Toc318581175"/>
      <w:bookmarkStart w:id="353" w:name="_Toc296891032"/>
      <w:bookmarkStart w:id="354" w:name="_Toc303539152"/>
      <w:r>
        <w:rPr>
          <w:rFonts w:ascii="宋体" w:eastAsia="宋体" w:hAnsi="宋体" w:cs="宋体" w:hint="eastAsia"/>
          <w:color w:val="auto"/>
          <w:szCs w:val="22"/>
          <w:highlight w:val="none"/>
        </w:rPr>
        <w:t xml:space="preserve">包人提出的合理化建议降低了合同价格或者提高了工程经济效益的奖励的方法和金额为：</w:t>
      </w:r>
      <w:r>
        <w:rPr>
          <w:rFonts w:ascii="宋体" w:eastAsia="宋体" w:hAnsi="宋体" w:cs="宋体" w:hint="eastAsia"/>
          <w:color w:val="auto"/>
          <w:szCs w:val="22"/>
          <w:highlight w:val="none"/>
          <w:u w:val="single"/>
        </w:rPr>
        <w:t xml:space="preserve">发生时，另行协商</w:t>
      </w:r>
      <w:r>
        <w:rPr>
          <w:rFonts w:ascii="宋体" w:eastAsia="宋体" w:hAnsi="宋体" w:cs="宋体" w:hint="eastAsia"/>
          <w:color w:val="auto"/>
          <w:szCs w:val="22"/>
          <w:highlight w:val="none"/>
        </w:rPr>
        <w:t xml:space="preserve">。</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Start w:id="355" w:name="_Toc296891027"/>
      <w:bookmarkStart w:id="356" w:name="_Toc300934997"/>
      <w:bookmarkStart w:id="357" w:name="_Toc297216207"/>
      <w:bookmarkStart w:id="358" w:name="_Toc297123548"/>
      <w:bookmarkStart w:id="359" w:name="_Toc303539154"/>
      <w:bookmarkStart w:id="360" w:name="_Toc296891239"/>
      <w:bookmarkStart w:id="361" w:name="_Toc296346700"/>
      <w:bookmarkStart w:id="362" w:name="_Toc296503199"/>
      <w:bookmarkStart w:id="363" w:name="_Toc304295574"/>
      <w:bookmarkStart w:id="364" w:name="_Toc292559404"/>
      <w:bookmarkStart w:id="365" w:name="_Toc296944538"/>
      <w:bookmarkStart w:id="366" w:name="_Toc297048385"/>
      <w:bookmarkStart w:id="367" w:name="_Toc312678033"/>
      <w:bookmarkStart w:id="368" w:name="_Toc296347198"/>
      <w:bookmarkStart w:id="369" w:name="_Toc312677507"/>
      <w:bookmarkStart w:id="370" w:name="_Toc297120499"/>
      <w:bookmarkStart w:id="371" w:name="_Toc292559909"/>
      <w:r>
        <w:rPr>
          <w:rFonts w:ascii="宋体" w:eastAsia="宋体" w:hAnsi="宋体" w:cs="宋体" w:hint="eastAsia"/>
          <w:color w:val="auto"/>
          <w:szCs w:val="22"/>
          <w:highlight w:val="none"/>
        </w:rPr>
        <w:t xml:space="preserve">0.7 暂估价</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暂</w:t>
      </w:r>
      <w:bookmarkStart w:id="372" w:name="_Toc312678034"/>
      <w:bookmarkStart w:id="373" w:name="_Toc318581176"/>
      <w:bookmarkStart w:id="374" w:name="_Toc312677508"/>
      <w:r>
        <w:rPr>
          <w:rFonts w:ascii="宋体" w:eastAsia="宋体" w:hAnsi="宋体" w:cs="宋体" w:hint="eastAsia"/>
          <w:color w:val="auto"/>
          <w:szCs w:val="22"/>
          <w:highlight w:val="none"/>
        </w:rPr>
        <w:t xml:space="preserve">估价材料和工程设备的明细详见附件11：《暂估价一览表》。</w:t>
      </w:r>
      <w:bookmarkEnd w:id="372"/>
      <w:bookmarkEnd w:id="373"/>
      <w:bookmarkEnd w:id="374"/>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Start w:id="375" w:name="_Toc312678035"/>
      <w:bookmarkStart w:id="376" w:name="_Toc312677509"/>
      <w:bookmarkStart w:id="377" w:name="_Toc318581177"/>
      <w:r>
        <w:rPr>
          <w:rFonts w:ascii="宋体" w:eastAsia="宋体" w:hAnsi="宋体" w:cs="宋体" w:hint="eastAsia"/>
          <w:color w:val="auto"/>
          <w:szCs w:val="22"/>
          <w:highlight w:val="none"/>
        </w:rPr>
        <w:t xml:space="preserve">0.7.1 依法必须招标的暂估价项目</w:t>
      </w:r>
      <w:bookmarkEnd w:id="375"/>
      <w:bookmarkEnd w:id="376"/>
      <w:bookmarkEnd w:id="377"/>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对于依法必须招标的暂估价项目的确认和批准采取第</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种方式确定。</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10.7.2 不属于依法必须招标的暂估价项目</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对于不属于依法必须招标的暂估价项目的确认和批准采取</w:t>
      </w:r>
      <w:r>
        <w:rPr>
          <w:rFonts w:ascii="宋体" w:eastAsia="宋体" w:hAnsi="宋体" w:cs="宋体" w:hint="eastAsia"/>
          <w:color w:val="auto"/>
          <w:szCs w:val="22"/>
          <w:highlight w:val="none"/>
          <w:u w:val="single"/>
        </w:rPr>
        <w:t xml:space="preserve">由跟踪审计单位、监理单位、建设单位、承包单位共同询价</w:t>
      </w:r>
      <w:r>
        <w:rPr>
          <w:rFonts w:ascii="宋体" w:eastAsia="宋体" w:hAnsi="宋体" w:cs="宋体" w:hint="eastAsia"/>
          <w:color w:val="auto"/>
          <w:szCs w:val="22"/>
          <w:highlight w:val="none"/>
        </w:rPr>
        <w:t xml:space="preserve">方式确定。</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第3种方式：承包人直接实施的暂估价项目</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承包人直接实施的暂估价项目的约定：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10.8 暂列金额</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合同当事人关于暂列金额使用的约定：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line="240" w:lineRule="auto"/>
        <w:rPr>
          <w:rFonts w:ascii="宋体" w:eastAsia="宋体" w:hAnsi="宋体" w:cs="宋体"/>
          <w:color w:val="auto"/>
          <w:szCs w:val="22"/>
          <w:highlight w:val="none"/>
        </w:rPr>
      </w:pPr>
      <w:bookmarkStart w:id="378" w:name="_Toc351203643"/>
      <w:r>
        <w:rPr>
          <w:rFonts w:ascii="宋体" w:eastAsia="宋体" w:hAnsi="宋体" w:cs="宋体" w:hint="eastAsia"/>
          <w:color w:val="auto"/>
          <w:szCs w:val="22"/>
          <w:highlight w:val="none"/>
        </w:rPr>
        <w:t xml:space="preserve">11. 价格调整</w:t>
      </w:r>
      <w:bookmarkEnd w:id="378"/>
    </w:p>
    <w:p>
      <w:pPr>
        <w:spacing w:after="120" w:line="240" w:lineRule="auto"/>
        <w:ind w:firstLine="420"/>
        <w:rPr>
          <w:rFonts w:ascii="宋体" w:eastAsia="宋体" w:hAnsi="宋体" w:cs="宋体"/>
          <w:color w:val="auto"/>
          <w:szCs w:val="22"/>
          <w:highlight w:val="none"/>
        </w:rPr>
      </w:pPr>
      <w:bookmarkStart w:id="379" w:name="_Toc292559911"/>
      <w:bookmarkStart w:id="380" w:name="_Toc312678039"/>
      <w:bookmarkStart w:id="381" w:name="_Toc296346702"/>
      <w:bookmarkStart w:id="382" w:name="_Toc296944540"/>
      <w:bookmarkStart w:id="383" w:name="_Toc300935000"/>
      <w:bookmarkStart w:id="384" w:name="_Toc297216209"/>
      <w:bookmarkStart w:id="385" w:name="_Toc297048387"/>
      <w:bookmarkStart w:id="386" w:name="_Toc296347200"/>
      <w:bookmarkStart w:id="387" w:name="_Toc296503201"/>
      <w:bookmarkStart w:id="388" w:name="_Toc296891029"/>
      <w:bookmarkStart w:id="389" w:name="_Toc296891241"/>
      <w:bookmarkStart w:id="390" w:name="_Toc297123550"/>
      <w:bookmarkStart w:id="391" w:name="_Toc304295577"/>
      <w:bookmarkStart w:id="392" w:name="_Toc297120501"/>
      <w:bookmarkStart w:id="393" w:name="_Toc292559406"/>
      <w:bookmarkStart w:id="394" w:name="_Toc303539157"/>
      <w:r>
        <w:rPr>
          <w:rFonts w:ascii="宋体" w:eastAsia="宋体" w:hAnsi="宋体" w:cs="宋体" w:hint="eastAsia"/>
          <w:color w:val="auto"/>
          <w:szCs w:val="22"/>
          <w:highlight w:val="none"/>
        </w:rPr>
        <w:t xml:space="preserve">11.1 市场价格波动引起的调整</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市场价格波动是否调整合同价格的约定：</w:t>
      </w:r>
      <w:r>
        <w:rPr>
          <w:rFonts w:ascii="宋体" w:eastAsia="宋体" w:hAnsi="宋体" w:cs="宋体" w:hint="eastAsia"/>
          <w:color w:val="auto"/>
          <w:szCs w:val="22"/>
          <w:highlight w:val="none"/>
          <w:u w:val="single"/>
        </w:rPr>
        <w:t xml:space="preserve">不调整</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因市场价格波动调整合同价格，采用以下第</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种方式对合同价格进行调整：</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第1种方式：采用价格指数进行价格调整。</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关于各可调因子、定值和变值权重，以及基本价格指数及其来源的约定：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第2种方式：采用造价信息进行价格调整。</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（2）关于基准价格的约定：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专用合同条款①承包人在已标价工程量清单或预算书中载明的材料单价低于基准价格的：专用合同条款合同履行期间材料单价涨幅以基准价格为基础超过</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%时，或材料单价跌幅以已标价工程量清单或预算书中载明材料单价为基础超过</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%时，其超过部分据实调整。</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②承包人在已标价工程量清单或预算书中载明的材料单价高于基准价格的：专用合同条款合同履行期间材料单价跌幅以基准价格为基础超过</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%时，材料单价涨幅以已标价工程量清单或预算书中载明材料单价为基础超过</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%时，其超过部分据实调整。</w:t>
      </w:r>
    </w:p>
    <w:p>
      <w:pPr>
        <w:spacing w:line="240" w:lineRule="auto"/>
        <w:ind w:firstLine="645"/>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③承包人在已标价工程量清单或预算书中载明的材料单价等于基准单价的：专用合同条款合同履行期间材料单价涨跌幅以基准单价为基础超过±</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%时，其超过部分据实调整。</w:t>
      </w:r>
    </w:p>
    <w:p>
      <w:pPr>
        <w:spacing w:line="240" w:lineRule="auto"/>
        <w:ind w:firstLine="645"/>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第3种方式：其他价格调整方式：</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bookmarkEnd w:id="282"/>
      <w:bookmarkEnd w:id="283"/>
      <w:bookmarkEnd w:id="284"/>
      <w:bookmarkEnd w:id="285"/>
      <w:bookmarkEnd w:id="286"/>
      <w:bookmarkEnd w:id="287"/>
    </w:p>
    <w:p>
      <w:pPr>
        <w:spacing w:line="240" w:lineRule="auto"/>
        <w:rPr>
          <w:rFonts w:ascii="宋体" w:eastAsia="宋体" w:hAnsi="宋体" w:cs="宋体"/>
          <w:color w:val="auto"/>
          <w:szCs w:val="22"/>
          <w:highlight w:val="none"/>
        </w:rPr>
      </w:pPr>
      <w:bookmarkStart w:id="395" w:name="_Toc292559915"/>
      <w:bookmarkStart w:id="396" w:name="_Toc297048391"/>
      <w:bookmarkStart w:id="397" w:name="_Toc296891033"/>
      <w:bookmarkStart w:id="398" w:name="_Toc296944544"/>
      <w:bookmarkStart w:id="399" w:name="_Toc296503205"/>
      <w:bookmarkStart w:id="400" w:name="_Toc296891245"/>
      <w:bookmarkStart w:id="401" w:name="_Toc296346706"/>
      <w:bookmarkStart w:id="402" w:name="_Toc297120505"/>
      <w:bookmarkStart w:id="403" w:name="_Toc292559410"/>
      <w:bookmarkStart w:id="404" w:name="_Toc296347204"/>
      <w:bookmarkStart w:id="405" w:name="_Toc351203644"/>
      <w:bookmarkStart w:id="406" w:name="_Toc312678040"/>
      <w:bookmarkStart w:id="407" w:name="_Toc297216211"/>
      <w:bookmarkStart w:id="408" w:name="_Toc300935002"/>
      <w:bookmarkStart w:id="409" w:name="_Toc303539159"/>
      <w:bookmarkStart w:id="410" w:name="_Toc304295579"/>
      <w:bookmarkStart w:id="411" w:name="_Toc297123552"/>
      <w:r>
        <w:rPr>
          <w:rFonts w:ascii="宋体" w:eastAsia="宋体" w:hAnsi="宋体" w:cs="宋体" w:hint="eastAsia"/>
          <w:color w:val="auto"/>
          <w:szCs w:val="22"/>
          <w:highlight w:val="none"/>
        </w:rPr>
        <w:t xml:space="preserve">12. </w:t>
      </w:r>
      <w:bookmarkEnd w:id="395"/>
      <w:bookmarkEnd w:id="396"/>
      <w:bookmarkEnd w:id="397"/>
      <w:bookmarkEnd w:id="398"/>
      <w:bookmarkEnd w:id="399"/>
      <w:bookmarkEnd w:id="400"/>
      <w:bookmarkEnd w:id="401"/>
      <w:bookmarkEnd w:id="402"/>
      <w:bookmarkEnd w:id="403"/>
      <w:bookmarkEnd w:id="404"/>
      <w:r>
        <w:rPr>
          <w:rFonts w:ascii="宋体" w:eastAsia="宋体" w:hAnsi="宋体" w:cs="宋体" w:hint="eastAsia"/>
          <w:color w:val="auto"/>
          <w:szCs w:val="22"/>
          <w:highlight w:val="none"/>
        </w:rPr>
        <w:t xml:space="preserve">合同价格、计量与支付</w:t>
      </w:r>
      <w:bookmarkEnd w:id="405"/>
      <w:bookmarkEnd w:id="406"/>
      <w:bookmarkEnd w:id="407"/>
      <w:bookmarkEnd w:id="408"/>
      <w:bookmarkEnd w:id="409"/>
      <w:bookmarkEnd w:id="410"/>
      <w:bookmarkEnd w:id="411"/>
    </w:p>
    <w:p>
      <w:pPr>
        <w:spacing w:after="120" w:line="240" w:lineRule="auto"/>
        <w:ind w:firstLine="420"/>
        <w:rPr>
          <w:rFonts w:ascii="宋体" w:eastAsia="宋体" w:hAnsi="宋体" w:cs="宋体"/>
          <w:color w:val="auto"/>
          <w:szCs w:val="22"/>
          <w:highlight w:val="none"/>
        </w:rPr>
      </w:pPr>
      <w:bookmarkStart w:id="412" w:name="_Toc292559916"/>
      <w:bookmarkStart w:id="413" w:name="_Toc292559411"/>
      <w:bookmarkStart w:id="414" w:name="_Toc267251461"/>
      <w:bookmarkStart w:id="415" w:name="_Toc297120506"/>
      <w:bookmarkStart w:id="416" w:name="_Toc296503206"/>
      <w:bookmarkStart w:id="417" w:name="_Toc296347205"/>
      <w:bookmarkStart w:id="418" w:name="_Toc296346707"/>
      <w:bookmarkStart w:id="419" w:name="_Toc297048392"/>
      <w:bookmarkStart w:id="420" w:name="_Toc296944545"/>
      <w:bookmarkStart w:id="421" w:name="_Toc296891034"/>
      <w:bookmarkStart w:id="422" w:name="_Toc296891246"/>
      <w:bookmarkStart w:id="423" w:name="_Toc303539160"/>
      <w:bookmarkStart w:id="424" w:name="_Toc297216212"/>
      <w:bookmarkStart w:id="425" w:name="_Toc300935003"/>
      <w:bookmarkStart w:id="426" w:name="_Toc304295580"/>
      <w:bookmarkStart w:id="427" w:name="_Toc312678041"/>
      <w:bookmarkStart w:id="428" w:name="_Toc297123553"/>
      <w:r>
        <w:rPr>
          <w:rFonts w:ascii="宋体" w:eastAsia="宋体" w:hAnsi="宋体" w:cs="宋体" w:hint="eastAsia"/>
          <w:color w:val="auto"/>
          <w:szCs w:val="22"/>
          <w:highlight w:val="none"/>
        </w:rPr>
        <w:t xml:space="preserve">12.1 合</w:t>
      </w:r>
      <w:bookmarkEnd w:id="412"/>
      <w:bookmarkEnd w:id="413"/>
      <w:bookmarkEnd w:id="414"/>
      <w:r>
        <w:rPr>
          <w:rFonts w:ascii="宋体" w:eastAsia="宋体" w:hAnsi="宋体" w:cs="宋体" w:hint="eastAsia"/>
          <w:color w:val="auto"/>
          <w:szCs w:val="22"/>
          <w:highlight w:val="none"/>
        </w:rPr>
        <w:t xml:space="preserve">同价</w:t>
      </w:r>
      <w:bookmarkEnd w:id="415"/>
      <w:bookmarkEnd w:id="416"/>
      <w:bookmarkEnd w:id="417"/>
      <w:bookmarkEnd w:id="418"/>
      <w:bookmarkEnd w:id="419"/>
      <w:bookmarkEnd w:id="420"/>
      <w:bookmarkEnd w:id="421"/>
      <w:bookmarkEnd w:id="422"/>
      <w:r>
        <w:rPr>
          <w:rFonts w:ascii="宋体" w:eastAsia="宋体" w:hAnsi="宋体" w:cs="宋体" w:hint="eastAsia"/>
          <w:color w:val="auto"/>
          <w:szCs w:val="22"/>
          <w:highlight w:val="none"/>
        </w:rPr>
        <w:t xml:space="preserve">格形式</w:t>
      </w:r>
      <w:bookmarkEnd w:id="423"/>
      <w:bookmarkEnd w:id="424"/>
      <w:bookmarkEnd w:id="425"/>
      <w:bookmarkEnd w:id="426"/>
      <w:bookmarkEnd w:id="427"/>
      <w:bookmarkEnd w:id="428"/>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1、单价合同。</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综合单价包含的风险范围：</w:t>
      </w:r>
      <w:r>
        <w:rPr>
          <w:rFonts w:ascii="宋体" w:eastAsia="宋体" w:hAnsi="宋体" w:cs="宋体" w:hint="eastAsia"/>
          <w:b/>
          <w:color w:val="auto"/>
          <w:szCs w:val="22"/>
          <w:highlight w:val="none"/>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风险费用的计算方法：</w:t>
      </w:r>
      <w:r>
        <w:rPr>
          <w:rFonts w:ascii="宋体" w:eastAsia="宋体" w:hAnsi="宋体" w:cs="宋体" w:hint="eastAsia"/>
          <w:b/>
          <w:color w:val="auto"/>
          <w:szCs w:val="22"/>
          <w:highlight w:val="none"/>
          <w:u w:val="single"/>
        </w:rPr>
        <w:t xml:space="preserve">承包人报价时自行考虑、自主报价</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风险范围以外合同价格的调整方法：</w:t>
      </w:r>
      <w:r>
        <w:rPr>
          <w:rFonts w:ascii="宋体" w:eastAsia="宋体" w:hAnsi="宋体" w:cs="宋体" w:hint="eastAsia"/>
          <w:color w:val="auto"/>
          <w:szCs w:val="22"/>
          <w:highlight w:val="none"/>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2、总价合同。</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总价包含的风险范围：</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风险费用的计算方法：</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风险范围以外合同价格的调整方法：</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3、其他价格方式：</w:t>
      </w:r>
      <w:r>
        <w:rPr>
          <w:rFonts w:ascii="宋体" w:eastAsia="宋体" w:hAnsi="宋体" w:cs="宋体" w:hint="eastAsia"/>
          <w:color w:val="auto"/>
          <w:szCs w:val="22"/>
          <w:highlight w:val="none"/>
          <w:u w:val="single"/>
        </w:rPr>
        <w:t xml:space="preserve">不适用 </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bookmarkStart w:id="429" w:name="_Toc303539161"/>
      <w:bookmarkStart w:id="430" w:name="_Toc300935004"/>
      <w:bookmarkStart w:id="431" w:name="_Toc297123554"/>
      <w:bookmarkStart w:id="432" w:name="_Toc304295581"/>
      <w:bookmarkStart w:id="433" w:name="_Toc297216213"/>
      <w:bookmarkStart w:id="434" w:name="_Toc312678042"/>
      <w:bookmarkStart w:id="435" w:name="_Toc296944546"/>
      <w:bookmarkStart w:id="436" w:name="_Toc296891035"/>
      <w:bookmarkStart w:id="437" w:name="_Toc292559412"/>
      <w:bookmarkStart w:id="438" w:name="_Toc297048393"/>
      <w:bookmarkStart w:id="439" w:name="_Toc297120507"/>
      <w:bookmarkStart w:id="440" w:name="_Toc296347206"/>
      <w:bookmarkStart w:id="441" w:name="_Toc296503207"/>
      <w:bookmarkStart w:id="442" w:name="_Toc296346708"/>
      <w:bookmarkStart w:id="443" w:name="_Toc292559917"/>
      <w:bookmarkStart w:id="444" w:name="_Toc296891247"/>
      <w:r>
        <w:rPr>
          <w:rFonts w:ascii="宋体" w:eastAsia="宋体" w:hAnsi="宋体" w:cs="宋体" w:hint="eastAsia"/>
          <w:color w:val="auto"/>
          <w:szCs w:val="22"/>
          <w:highlight w:val="none"/>
        </w:rPr>
        <w:t xml:space="preserve">12.2 预付款</w:t>
      </w:r>
      <w:bookmarkEnd w:id="429"/>
      <w:bookmarkEnd w:id="430"/>
      <w:bookmarkEnd w:id="431"/>
      <w:bookmarkEnd w:id="432"/>
      <w:bookmarkEnd w:id="433"/>
      <w:bookmarkEnd w:id="434"/>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12.2.1 预付款的支付</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预付款支付比例或金额：</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预付款支付期限：</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预付款扣回的方式：</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12.2.2 预付款担保</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承包人提交预付款担保的期限：</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预付款担保的形式为：</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bookmarkEnd w:id="435"/>
      <w:bookmarkEnd w:id="436"/>
      <w:bookmarkEnd w:id="437"/>
      <w:bookmarkEnd w:id="438"/>
      <w:bookmarkEnd w:id="439"/>
      <w:bookmarkEnd w:id="440"/>
      <w:bookmarkEnd w:id="441"/>
      <w:bookmarkEnd w:id="442"/>
      <w:bookmarkEnd w:id="443"/>
      <w:bookmarkEnd w:id="444"/>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 计量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12.3.1 计量原则</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工程量计算规则：</w:t>
      </w:r>
      <w:r>
        <w:rPr>
          <w:rFonts w:ascii="宋体" w:eastAsia="宋体" w:hAnsi="宋体" w:cs="宋体" w:hint="eastAsia"/>
          <w:color w:val="auto"/>
          <w:szCs w:val="22"/>
          <w:highlight w:val="none"/>
          <w:u w:val="single"/>
        </w:rPr>
        <w:t xml:space="preserve">按照《建设工程工程量计清单计价规范》（GB50500-2013)。</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12.3.2 计量周期</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关于计量周期的约定：</w:t>
      </w:r>
      <w:r>
        <w:rPr>
          <w:rFonts w:ascii="宋体" w:eastAsia="宋体" w:hAnsi="宋体" w:cs="宋体" w:hint="eastAsia"/>
          <w:b/>
          <w:color w:val="auto"/>
          <w:szCs w:val="22"/>
          <w:highlight w:val="none"/>
          <w:u w:val="single"/>
        </w:rPr>
        <w:t xml:space="preserve">每</w:t>
      </w:r>
      <w:r>
        <w:rPr>
          <w:rFonts w:ascii="宋体" w:eastAsia="宋体" w:hAnsi="宋体" w:cs="宋体" w:hint="eastAsia"/>
          <w:b/>
          <w:color w:val="auto"/>
          <w:szCs w:val="22"/>
          <w:highlight w:val="none"/>
          <w:u w:val="single"/>
          <w:lang w:val="en-US" w:eastAsia="zh-CN"/>
        </w:rPr>
        <w:t xml:space="preserve">周</w:t>
      </w:r>
      <w:r>
        <w:rPr>
          <w:rFonts w:ascii="宋体" w:eastAsia="宋体" w:hAnsi="宋体" w:cs="宋体" w:hint="eastAsia"/>
          <w:b/>
          <w:color w:val="auto"/>
          <w:szCs w:val="22"/>
          <w:highlight w:val="none"/>
          <w:u w:val="single"/>
        </w:rPr>
        <w:t xml:space="preserve">日向监理人、发包人提交上</w:t>
      </w:r>
      <w:r>
        <w:rPr>
          <w:rFonts w:ascii="宋体" w:eastAsia="宋体" w:hAnsi="宋体" w:cs="宋体" w:hint="eastAsia"/>
          <w:b/>
          <w:color w:val="auto"/>
          <w:szCs w:val="22"/>
          <w:highlight w:val="none"/>
          <w:u w:val="single"/>
          <w:lang w:val="en-US" w:eastAsia="zh-CN"/>
        </w:rPr>
        <w:t xml:space="preserve">周五</w:t>
      </w:r>
      <w:r>
        <w:rPr>
          <w:rFonts w:ascii="宋体" w:eastAsia="宋体" w:hAnsi="宋体" w:cs="宋体" w:hint="eastAsia"/>
          <w:b/>
          <w:color w:val="auto"/>
          <w:szCs w:val="22"/>
          <w:highlight w:val="none"/>
          <w:u w:val="single"/>
        </w:rPr>
        <w:t xml:space="preserve">至本</w:t>
      </w:r>
      <w:r>
        <w:rPr>
          <w:rFonts w:ascii="宋体" w:eastAsia="宋体" w:hAnsi="宋体" w:cs="宋体" w:hint="eastAsia"/>
          <w:b/>
          <w:color w:val="auto"/>
          <w:szCs w:val="22"/>
          <w:highlight w:val="none"/>
          <w:u w:val="single"/>
          <w:lang w:val="en-US" w:eastAsia="zh-CN"/>
        </w:rPr>
        <w:t xml:space="preserve">周五</w:t>
      </w:r>
      <w:r>
        <w:rPr>
          <w:rFonts w:ascii="宋体" w:eastAsia="宋体" w:hAnsi="宋体" w:cs="宋体" w:hint="eastAsia"/>
          <w:b/>
          <w:color w:val="auto"/>
          <w:szCs w:val="22"/>
          <w:highlight w:val="none"/>
          <w:u w:val="single"/>
        </w:rPr>
        <w:t xml:space="preserve">已完工程量报告。  但不作为工程结算、工程计量和进度付款的依据。</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12.3.3 单价合同的计量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关于单价合同计量的约定：</w:t>
      </w:r>
      <w:r>
        <w:rPr>
          <w:rFonts w:ascii="宋体" w:eastAsia="宋体" w:hAnsi="宋体" w:cs="宋体" w:hint="eastAsia"/>
          <w:b/>
          <w:color w:val="auto"/>
          <w:szCs w:val="22"/>
          <w:highlight w:val="none"/>
          <w:u w:val="single"/>
        </w:rPr>
        <w:t xml:space="preserve">结算时的工程量，将以承包人按施工图纸、投标答疑文件、工程变更及签证完成的实际工程量为准。</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12.3.4 总价合同的计量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关于总价合同计量的约定：</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12.3.5总价合同采用支付分解表计量支付的，是否适用第12.3.4 项〔总价合同的计量〕约定进行计量：</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12.3.6 其他价格形式合同的计量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其他价格形式的计量方式和程序：</w:t>
      </w:r>
      <w:r>
        <w:rPr>
          <w:rFonts w:ascii="宋体" w:eastAsia="宋体" w:hAnsi="宋体" w:cs="宋体" w:hint="eastAsia"/>
          <w:color w:val="auto"/>
          <w:szCs w:val="22"/>
          <w:highlight w:val="none"/>
          <w:u w:val="single"/>
        </w:rPr>
        <w:t xml:space="preserve">无</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12.4 工程进度款支付</w:t>
      </w:r>
    </w:p>
    <w:p>
      <w:pPr>
        <w:spacing w:line="240" w:lineRule="auto"/>
        <w:ind w:firstLine="420"/>
        <w:jc w:val="left"/>
        <w:rPr>
          <w:rFonts w:ascii="宋体" w:eastAsia="宋体" w:hAnsi="宋体" w:cs="宋体"/>
          <w:color w:val="auto"/>
          <w:szCs w:val="22"/>
          <w:highlight w:val="none"/>
        </w:rPr>
      </w:pPr>
      <w:bookmarkStart w:id="445" w:name="_Toc296944550"/>
      <w:bookmarkStart w:id="446" w:name="_Toc303539163"/>
      <w:bookmarkStart w:id="447" w:name="_Toc297216215"/>
      <w:bookmarkStart w:id="448" w:name="_Toc297048397"/>
      <w:bookmarkStart w:id="449" w:name="_Toc296503211"/>
      <w:bookmarkStart w:id="450" w:name="_Toc297120511"/>
      <w:bookmarkStart w:id="451" w:name="_Toc300935006"/>
      <w:bookmarkStart w:id="452" w:name="_Toc296891251"/>
      <w:bookmarkStart w:id="453" w:name="_Toc297123556"/>
      <w:bookmarkStart w:id="454" w:name="_Toc296347210"/>
      <w:bookmarkStart w:id="455" w:name="_Toc292559921"/>
      <w:bookmarkStart w:id="456" w:name="_Toc296891039"/>
      <w:bookmarkStart w:id="457" w:name="_Toc296346712"/>
      <w:bookmarkStart w:id="458" w:name="_Toc292559416"/>
      <w:r>
        <w:rPr>
          <w:rFonts w:ascii="宋体" w:eastAsia="宋体" w:hAnsi="宋体" w:cs="宋体" w:hint="eastAsia"/>
          <w:color w:val="auto"/>
          <w:szCs w:val="22"/>
          <w:highlight w:val="none"/>
        </w:rPr>
        <w:t xml:space="preserve">12.4.1 付款周期</w:t>
      </w:r>
    </w:p>
    <w:p>
      <w:pPr>
        <w:spacing w:line="240" w:lineRule="auto"/>
        <w:ind w:firstLine="420"/>
        <w:rPr>
          <w:rFonts w:ascii="宋体" w:eastAsia="宋体" w:hAnsi="宋体" w:cs="宋体" w:hint="eastAsia"/>
          <w:b/>
          <w:color w:val="auto"/>
          <w:szCs w:val="22"/>
          <w:highlight w:val="none"/>
          <w:u w:val="single"/>
          <w:lang w:val="en-US" w:eastAsia="zh-CN"/>
        </w:rPr>
      </w:pPr>
      <w:r>
        <w:rPr>
          <w:rFonts w:ascii="宋体" w:eastAsia="宋体" w:hAnsi="宋体" w:cs="宋体" w:hint="eastAsia"/>
          <w:color w:val="auto"/>
          <w:szCs w:val="22"/>
          <w:highlight w:val="none"/>
        </w:rPr>
        <w:t xml:space="preserve">关于付款周期的约定：</w:t>
      </w:r>
      <w:r>
        <w:rPr>
          <w:rFonts w:ascii="宋体" w:hAnsi="宋体" w:cs="宋体" w:hint="eastAsia"/>
          <w:b/>
          <w:bCs/>
          <w:color w:val="auto"/>
          <w:szCs w:val="22"/>
          <w:highlight w:val="none"/>
          <w:u w:val="none"/>
          <w:lang w:val="en-US" w:eastAsia="zh-CN"/>
        </w:rPr>
        <w:t xml:space="preserve">工程经竣工验收合格后，且上级专项资金到位的情况下，第一年付40万元，第二年付至审定价的60%，第三年付至审定价的90%，余款待质保期满后一次性付清（无息）</w:t>
      </w:r>
      <w:r>
        <w:rPr>
          <w:rFonts w:ascii="宋体" w:eastAsia="宋体" w:hAnsi="宋体" w:cs="宋体" w:hint="eastAsia"/>
          <w:b/>
          <w:bCs/>
          <w:color w:val="auto"/>
          <w:szCs w:val="22"/>
          <w:highlight w:val="none"/>
          <w:u w:val="none"/>
          <w:lang w:val="en-US" w:eastAsia="zh-CN"/>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12.4.2 进度付款申请单的编制</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关于进度付款申请单编制的约定：</w:t>
      </w:r>
      <w:r>
        <w:rPr>
          <w:rFonts w:ascii="宋体" w:eastAsia="宋体" w:hAnsi="宋体" w:cs="宋体" w:hint="eastAsia"/>
          <w:color w:val="auto"/>
          <w:szCs w:val="22"/>
          <w:highlight w:val="none"/>
          <w:u w:val="single"/>
        </w:rPr>
        <w:t xml:space="preserve">执行通用条款</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宋体" w:eastAsia="宋体" w:hAnsi="宋体" w:cs="宋体" w:hint="eastAsia"/>
          <w:color w:val="auto"/>
          <w:szCs w:val="22"/>
          <w:highlight w:val="none"/>
        </w:rPr>
        <w:t xml:space="preserve">2.4.3 进度付款申请单的提交</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（1）单价合同进度付款申请单提交的约定：</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（2）总价合同进度付款申请单提交的约定：</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（3）其他价格形式合同进度付款申请单提交的约定：</w:t>
      </w:r>
      <w:r>
        <w:rPr>
          <w:rFonts w:ascii="宋体" w:eastAsia="宋体" w:hAnsi="宋体" w:cs="宋体" w:hint="eastAsia"/>
          <w:color w:val="auto"/>
          <w:szCs w:val="22"/>
          <w:highlight w:val="none"/>
          <w:u w:val="single"/>
        </w:rPr>
        <w:t xml:space="preserve">不适用</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12.4.4 进度款审核和支付</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（1）监理人审查并报送发包人的期限：</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发包人完成审批并签发进度款支付证书的期限：</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（2）发包人支付进度款的期限：</w:t>
      </w:r>
      <w:r>
        <w:rPr>
          <w:rFonts w:ascii="宋体" w:eastAsia="宋体" w:hAnsi="宋体" w:cs="宋体" w:hint="eastAsia"/>
          <w:b/>
          <w:color w:val="auto"/>
          <w:szCs w:val="22"/>
          <w:highlight w:val="none"/>
          <w:u w:val="single"/>
        </w:rPr>
        <w:t xml:space="preserve">按照《专用合同条款》第12.4.1款“付款周期”约定的期限执行。</w:t>
      </w:r>
    </w:p>
    <w:p>
      <w:pPr>
        <w:spacing w:line="240" w:lineRule="auto"/>
        <w:ind w:firstLine="525"/>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发包人逾期支付进度款的违约金的计算方式：</w:t>
      </w:r>
      <w:r>
        <w:rPr>
          <w:rFonts w:ascii="宋体" w:eastAsia="宋体" w:hAnsi="宋体" w:cs="宋体" w:hint="eastAsia"/>
          <w:color w:val="auto"/>
          <w:szCs w:val="22"/>
          <w:highlight w:val="none"/>
          <w:u w:val="single"/>
        </w:rPr>
        <w:t xml:space="preserve">若</w:t>
      </w:r>
      <w:r>
        <w:rPr>
          <w:rFonts w:ascii="宋体" w:eastAsia="宋体" w:hAnsi="宋体" w:cs="宋体" w:hint="eastAsia"/>
          <w:color w:val="auto"/>
          <w:szCs w:val="22"/>
          <w:highlight w:val="none"/>
          <w:u w:val="single"/>
          <w:lang w:val="en-US" w:eastAsia="zh-CN"/>
        </w:rPr>
        <w:t xml:space="preserve">发包人</w:t>
      </w:r>
      <w:r>
        <w:rPr>
          <w:rFonts w:ascii="宋体" w:eastAsia="宋体" w:hAnsi="宋体" w:cs="宋体" w:hint="eastAsia"/>
          <w:color w:val="auto"/>
          <w:szCs w:val="22"/>
          <w:highlight w:val="none"/>
          <w:u w:val="single"/>
        </w:rPr>
        <w:t xml:space="preserve">逾期付款的，应按照逾期付款金额的银行同期活期利率支付逾期付款违约金，但违约金总额不超过应付款金额的5% </w:t>
      </w:r>
      <w:r>
        <w:rPr>
          <w:rFonts w:ascii="宋体" w:eastAsia="宋体" w:hAnsi="宋体" w:cs="宋体" w:hint="eastAsia"/>
          <w:color w:val="auto"/>
          <w:szCs w:val="22"/>
          <w:highlight w:val="none"/>
        </w:rPr>
        <w:t xml:space="preserve">。</w:t>
      </w:r>
    </w:p>
    <w:p>
      <w:pPr>
        <w:spacing w:line="240" w:lineRule="auto"/>
        <w:ind w:firstLine="525"/>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12.4.6 支付分解表的编制</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2、总价合同支付分解表的编制与审批：</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3、单价合同的总价项目支付分解表的编制与审批：</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bookmarkEnd w:id="288"/>
    </w:p>
    <w:p>
      <w:pPr>
        <w:spacing w:line="240" w:lineRule="auto"/>
        <w:rPr>
          <w:rFonts w:ascii="宋体" w:eastAsia="宋体" w:hAnsi="宋体" w:cs="宋体"/>
          <w:color w:val="auto"/>
          <w:szCs w:val="22"/>
          <w:highlight w:val="none"/>
        </w:rPr>
      </w:pPr>
      <w:bookmarkStart w:id="459" w:name="_Toc297120519"/>
      <w:bookmarkStart w:id="460" w:name="_Toc297216223"/>
      <w:bookmarkStart w:id="461" w:name="_Toc297123564"/>
      <w:bookmarkStart w:id="462" w:name="_Toc296346720"/>
      <w:bookmarkStart w:id="463" w:name="_Toc296891259"/>
      <w:bookmarkStart w:id="464" w:name="_Toc292559929"/>
      <w:bookmarkStart w:id="465" w:name="_Toc297048405"/>
      <w:bookmarkStart w:id="466" w:name="_Toc296891047"/>
      <w:bookmarkStart w:id="467" w:name="_Toc351203645"/>
      <w:bookmarkStart w:id="468" w:name="_Toc300935015"/>
      <w:bookmarkStart w:id="469" w:name="_Toc292559424"/>
      <w:bookmarkStart w:id="470" w:name="_Toc312678053"/>
      <w:bookmarkStart w:id="471" w:name="_Toc296944558"/>
      <w:bookmarkStart w:id="472" w:name="_Toc296347218"/>
      <w:bookmarkStart w:id="473" w:name="_Toc303539172"/>
      <w:bookmarkStart w:id="474" w:name="_Toc304295593"/>
      <w:bookmarkStart w:id="475" w:name="_Toc296503219"/>
      <w:r>
        <w:rPr>
          <w:rFonts w:ascii="宋体" w:eastAsia="宋体" w:hAnsi="宋体" w:cs="宋体" w:hint="eastAsia"/>
          <w:color w:val="auto"/>
          <w:szCs w:val="22"/>
          <w:highlight w:val="none"/>
        </w:rPr>
        <w:t xml:space="preserve">13. 验收和工程试车</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13.1 分部分项工程验收</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13.1.2监理人不能按时进行验收时，应提前</w:t>
      </w:r>
      <w:r>
        <w:rPr>
          <w:rFonts w:ascii="宋体" w:eastAsia="宋体" w:hAnsi="宋体" w:cs="宋体" w:hint="eastAsia"/>
          <w:color w:val="auto"/>
          <w:szCs w:val="22"/>
          <w:highlight w:val="none"/>
          <w:u w:val="single"/>
        </w:rPr>
        <w:t xml:space="preserve">24</w:t>
      </w:r>
      <w:r>
        <w:rPr>
          <w:rFonts w:ascii="宋体" w:eastAsia="宋体" w:hAnsi="宋体" w:cs="宋体" w:hint="eastAsia"/>
          <w:color w:val="auto"/>
          <w:szCs w:val="22"/>
          <w:highlight w:val="none"/>
        </w:rPr>
        <w:t xml:space="preserve">小时提交书面延期要求。</w:t>
      </w:r>
    </w:p>
    <w:p>
      <w:pPr>
        <w:spacing w:line="240" w:lineRule="auto"/>
        <w:ind w:firstLine="420"/>
        <w:jc w:val="left"/>
        <w:rPr>
          <w:rFonts w:ascii="宋体" w:eastAsia="宋体" w:hAnsi="宋体" w:cs="宋体"/>
          <w:b/>
          <w:color w:val="auto"/>
          <w:szCs w:val="22"/>
          <w:highlight w:val="none"/>
        </w:rPr>
      </w:pPr>
      <w:r>
        <w:rPr>
          <w:rFonts w:ascii="宋体" w:eastAsia="宋体" w:hAnsi="宋体" w:cs="宋体" w:hint="eastAsia"/>
          <w:color w:val="auto"/>
          <w:szCs w:val="22"/>
          <w:highlight w:val="none"/>
        </w:rPr>
        <w:t xml:space="preserve">关于延期最长不得超过：</w:t>
      </w:r>
      <w:r>
        <w:rPr>
          <w:rFonts w:ascii="宋体" w:eastAsia="宋体" w:hAnsi="宋体" w:cs="宋体" w:hint="eastAsia"/>
          <w:color w:val="auto"/>
          <w:szCs w:val="22"/>
          <w:highlight w:val="none"/>
          <w:u w:val="single"/>
        </w:rPr>
        <w:t xml:space="preserve">48</w:t>
      </w:r>
      <w:r>
        <w:rPr>
          <w:rFonts w:ascii="宋体" w:eastAsia="宋体" w:hAnsi="宋体" w:cs="宋体" w:hint="eastAsia"/>
          <w:color w:val="auto"/>
          <w:szCs w:val="22"/>
          <w:highlight w:val="none"/>
        </w:rPr>
        <w:t xml:space="preserve">小时。</w:t>
      </w:r>
    </w:p>
    <w:p>
      <w:pPr>
        <w:spacing w:after="120" w:line="240" w:lineRule="auto"/>
        <w:ind w:firstLine="420"/>
        <w:rPr>
          <w:rFonts w:ascii="宋体" w:eastAsia="宋体" w:hAnsi="宋体" w:cs="宋体"/>
          <w:color w:val="auto"/>
          <w:szCs w:val="22"/>
          <w:highlight w:val="none"/>
        </w:rPr>
      </w:pPr>
      <w:bookmarkStart w:id="476" w:name="_Toc300935016"/>
      <w:bookmarkStart w:id="477" w:name="_Toc297120523"/>
      <w:bookmarkStart w:id="478" w:name="_Toc292559428"/>
      <w:bookmarkStart w:id="479" w:name="_Toc296346724"/>
      <w:bookmarkStart w:id="480" w:name="_Toc296503223"/>
      <w:bookmarkStart w:id="481" w:name="_Toc296891051"/>
      <w:bookmarkStart w:id="482" w:name="_Toc297048409"/>
      <w:bookmarkStart w:id="483" w:name="_Toc296891263"/>
      <w:bookmarkStart w:id="484" w:name="_Toc297123565"/>
      <w:bookmarkStart w:id="485" w:name="_Toc297216224"/>
      <w:bookmarkStart w:id="486" w:name="_Toc296347222"/>
      <w:bookmarkStart w:id="487" w:name="_Toc304295596"/>
      <w:bookmarkStart w:id="488" w:name="_Toc292559933"/>
      <w:bookmarkStart w:id="489" w:name="_Toc312678056"/>
      <w:bookmarkStart w:id="490" w:name="_Toc303539173"/>
      <w:bookmarkStart w:id="491" w:name="_Toc296944562"/>
      <w:bookmarkStart w:id="492" w:name="_Toc267251473"/>
      <w:bookmarkStart w:id="493" w:name="_Toc267251472"/>
      <w:bookmarkStart w:id="494" w:name="_Toc267251470"/>
      <w:bookmarkStart w:id="495" w:name="_Toc267251475"/>
      <w:bookmarkStart w:id="496" w:name="_Toc267251476"/>
      <w:bookmarkStart w:id="497" w:name="_Toc267251474"/>
      <w:bookmarkStart w:id="498" w:name="_Toc267251471"/>
      <w:r>
        <w:rPr>
          <w:rFonts w:ascii="宋体" w:eastAsia="宋体" w:hAnsi="宋体" w:cs="宋体" w:hint="eastAsia"/>
          <w:color w:val="auto"/>
          <w:szCs w:val="22"/>
          <w:highlight w:val="none"/>
        </w:rPr>
        <w:t xml:space="preserve">13.2 竣工验收</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pPr>
        <w:spacing w:line="240" w:lineRule="auto"/>
        <w:ind w:firstLine="420"/>
        <w:jc w:val="left"/>
        <w:rPr>
          <w:rFonts w:ascii="宋体" w:eastAsia="宋体" w:hAnsi="宋体" w:cs="宋体"/>
          <w:color w:val="auto"/>
          <w:szCs w:val="22"/>
          <w:highlight w:val="none"/>
        </w:rPr>
      </w:pPr>
      <w:bookmarkStart w:id="499" w:name="_Toc280868704"/>
      <w:bookmarkStart w:id="500" w:name="_Toc280868705"/>
      <w:bookmarkStart w:id="501" w:name="_Toc280868706"/>
      <w:bookmarkStart w:id="502" w:name="_Toc280868707"/>
      <w:bookmarkStart w:id="503" w:name="_Toc280868708"/>
      <w:bookmarkStart w:id="504" w:name="_Toc280868709"/>
      <w:r>
        <w:rPr>
          <w:rFonts w:ascii="宋体" w:eastAsia="宋体" w:hAnsi="宋体" w:cs="宋体" w:hint="eastAsia"/>
          <w:color w:val="auto"/>
          <w:szCs w:val="22"/>
          <w:highlight w:val="none"/>
        </w:rPr>
        <w:t xml:space="preserve">13.2.2竣工验收程序</w:t>
      </w:r>
      <w:bookmarkEnd w:id="499"/>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关于竣工验收程序的约定：</w:t>
      </w:r>
      <w:r>
        <w:rPr>
          <w:rFonts w:ascii="宋体" w:eastAsia="宋体" w:hAnsi="宋体" w:cs="宋体" w:hint="eastAsia"/>
          <w:color w:val="auto"/>
          <w:szCs w:val="22"/>
          <w:highlight w:val="none"/>
          <w:u w:val="single"/>
        </w:rPr>
        <w:t xml:space="preserve">执行通用条款</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发包人不按照本项约定组织竣工验收、颁发工程接收证书的违约金的计算方法：</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bookmarkEnd w:id="500"/>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13.2.5移交、接收全部与部分工程</w:t>
      </w:r>
      <w:bookmarkEnd w:id="501"/>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承包人向发包人移交工程的期限：</w:t>
      </w:r>
      <w:r>
        <w:rPr>
          <w:rFonts w:ascii="宋体" w:eastAsia="宋体" w:hAnsi="宋体" w:cs="宋体" w:hint="eastAsia"/>
          <w:color w:val="auto"/>
          <w:szCs w:val="22"/>
          <w:highlight w:val="none"/>
          <w:u w:val="single"/>
        </w:rPr>
        <w:t xml:space="preserve">工程竣工验收合格后10日内，发包人按照《专用合同条款》第12.4.1款“付款周期”约定的期限支付工程款后7日内，承包人将向发包人移交工程。</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u w:val="single"/>
        </w:rPr>
        <w:t xml:space="preserve">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ascii="宋体" w:eastAsia="宋体" w:hAnsi="宋体" w:cs="宋体" w:hint="eastAsia"/>
          <w:b/>
          <w:color w:val="auto"/>
          <w:szCs w:val="22"/>
          <w:highlight w:val="none"/>
          <w:u w:val="single"/>
        </w:rPr>
        <w:t xml:space="preserve">发包人可向承包人索赔不少于人民币1万元/事件的名誉损失费，并在当期付款中扣除。</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发包人未按本合同约定接收全部或部分工程的，违约金的计算方法为：</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w:t>
      </w:r>
      <w:bookmarkEnd w:id="502"/>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承包人未按时移交工程的，违约金的计算方法为：</w:t>
      </w:r>
      <w:r>
        <w:rPr>
          <w:rFonts w:ascii="宋体" w:eastAsia="宋体" w:hAnsi="宋体" w:cs="宋体" w:hint="eastAsia"/>
          <w:color w:val="auto"/>
          <w:szCs w:val="22"/>
          <w:highlight w:val="none"/>
          <w:u w:val="single"/>
          <w:lang w:val="en-US" w:eastAsia="zh-CN"/>
        </w:rPr>
        <w:t xml:space="preserve">按7.5.2条款执行</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13.3 工程试车</w:t>
      </w:r>
      <w:bookmarkEnd w:id="503"/>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13.3.1 试车程序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工程试车内容：</w:t>
      </w:r>
      <w:r>
        <w:rPr>
          <w:rFonts w:ascii="宋体" w:eastAsia="宋体" w:hAnsi="宋体" w:cs="宋体" w:hint="eastAsia"/>
          <w:b/>
          <w:color w:val="auto"/>
          <w:szCs w:val="22"/>
          <w:highlight w:val="none"/>
          <w:u w:val="single"/>
        </w:rPr>
        <w:t xml:space="preserve">相关规范规定的内容</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（1）单机无负荷试车费用由</w:t>
      </w:r>
      <w:r>
        <w:rPr>
          <w:rFonts w:ascii="宋体" w:eastAsia="宋体" w:hAnsi="宋体" w:cs="宋体" w:hint="eastAsia"/>
          <w:color w:val="auto"/>
          <w:szCs w:val="22"/>
          <w:highlight w:val="none"/>
          <w:u w:val="single"/>
        </w:rPr>
        <w:t xml:space="preserve">承包人</w:t>
      </w:r>
      <w:r>
        <w:rPr>
          <w:rFonts w:ascii="宋体" w:eastAsia="宋体" w:hAnsi="宋体" w:cs="宋体" w:hint="eastAsia"/>
          <w:color w:val="auto"/>
          <w:szCs w:val="22"/>
          <w:highlight w:val="none"/>
        </w:rPr>
        <w:t xml:space="preserve">承担；</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（2）无负荷联动试车费用由</w:t>
      </w:r>
      <w:r>
        <w:rPr>
          <w:rFonts w:ascii="宋体" w:eastAsia="宋体" w:hAnsi="宋体" w:cs="宋体" w:hint="eastAsia"/>
          <w:color w:val="auto"/>
          <w:szCs w:val="22"/>
          <w:highlight w:val="none"/>
          <w:u w:val="single"/>
        </w:rPr>
        <w:t xml:space="preserve">承包人</w:t>
      </w:r>
      <w:r>
        <w:rPr>
          <w:rFonts w:ascii="宋体" w:eastAsia="宋体" w:hAnsi="宋体" w:cs="宋体" w:hint="eastAsia"/>
          <w:color w:val="auto"/>
          <w:szCs w:val="22"/>
          <w:highlight w:val="none"/>
        </w:rPr>
        <w:t xml:space="preserve">承担。</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13.3.3 投料试车</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关于投料试车相关事项的约定：</w:t>
      </w:r>
      <w:r>
        <w:rPr>
          <w:rFonts w:ascii="宋体" w:eastAsia="宋体" w:hAnsi="宋体" w:cs="宋体" w:hint="eastAsia"/>
          <w:color w:val="auto"/>
          <w:szCs w:val="22"/>
          <w:highlight w:val="none"/>
          <w:u w:val="single"/>
        </w:rPr>
        <w:t xml:space="preserve">    无     </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13.6 竣工退场</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13.6.1 竣工退场</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承包人完成竣工退场的期限：</w:t>
      </w:r>
      <w:r>
        <w:rPr>
          <w:rFonts w:ascii="宋体" w:eastAsia="宋体" w:hAnsi="宋体" w:cs="宋体" w:hint="eastAsia"/>
          <w:color w:val="auto"/>
          <w:szCs w:val="22"/>
          <w:highlight w:val="none"/>
          <w:u w:val="single"/>
        </w:rPr>
        <w:t xml:space="preserve">承包人按合同约定已完成施工图纸及约定范围内的所有内容，并通过竣工验收。</w:t>
      </w:r>
    </w:p>
    <w:p>
      <w:pPr>
        <w:spacing w:line="240" w:lineRule="auto"/>
        <w:rPr>
          <w:rFonts w:ascii="宋体" w:eastAsia="宋体" w:hAnsi="宋体" w:cs="宋体"/>
          <w:color w:val="auto"/>
          <w:szCs w:val="22"/>
          <w:highlight w:val="none"/>
        </w:rPr>
      </w:pPr>
      <w:bookmarkStart w:id="505" w:name="_Toc351203646"/>
      <w:r>
        <w:rPr>
          <w:rFonts w:ascii="宋体" w:eastAsia="宋体" w:hAnsi="宋体" w:cs="宋体" w:hint="eastAsia"/>
          <w:color w:val="auto"/>
          <w:szCs w:val="22"/>
          <w:highlight w:val="none"/>
        </w:rPr>
        <w:t xml:space="preserve">14. 竣工结算</w:t>
      </w:r>
      <w:bookmarkEnd w:id="50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14.1 竣工结算申请</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承包人提交竣工结算申请单的期限：</w:t>
      </w:r>
      <w:r>
        <w:rPr>
          <w:rFonts w:ascii="宋体" w:eastAsia="宋体" w:hAnsi="宋体" w:cs="宋体" w:hint="eastAsia"/>
          <w:color w:val="auto"/>
          <w:szCs w:val="22"/>
          <w:highlight w:val="none"/>
          <w:u w:val="single"/>
        </w:rPr>
        <w:t xml:space="preserve">工程竣工验收合格之日起 28 日内</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竣工结算申请单应包括的内容：</w:t>
      </w:r>
      <w:r>
        <w:rPr>
          <w:rFonts w:ascii="宋体" w:eastAsia="宋体" w:hAnsi="宋体" w:cs="宋体" w:hint="eastAsia"/>
          <w:color w:val="auto"/>
          <w:szCs w:val="22"/>
          <w:highlight w:val="none"/>
          <w:u w:val="single"/>
        </w:rPr>
        <w:t xml:space="preserve">按《通用合同条款》执行</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14.2 竣工结算审核</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发包人审批竣工付款申请单的期限：</w:t>
      </w:r>
      <w:r>
        <w:rPr>
          <w:rFonts w:ascii="宋体" w:eastAsia="宋体" w:hAnsi="宋体" w:cs="宋体" w:hint="eastAsia"/>
          <w:color w:val="auto"/>
          <w:szCs w:val="22"/>
          <w:highlight w:val="none"/>
          <w:u w:val="single"/>
        </w:rPr>
        <w:t xml:space="preserve">按专用条款12.4.1条款执行</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发包人完成竣工付款的期限：</w:t>
      </w:r>
      <w:r>
        <w:rPr>
          <w:rFonts w:ascii="宋体" w:eastAsia="宋体" w:hAnsi="宋体" w:cs="宋体" w:hint="eastAsia"/>
          <w:color w:val="auto"/>
          <w:szCs w:val="22"/>
          <w:highlight w:val="none"/>
          <w:u w:val="single"/>
        </w:rPr>
        <w:t xml:space="preserve">按专用条款12.4.1条款执行</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hint="eastAsia"/>
          <w:color w:val="auto"/>
          <w:szCs w:val="22"/>
          <w:highlight w:val="none"/>
          <w:u w:val="single"/>
        </w:rPr>
      </w:pPr>
      <w:r>
        <w:rPr>
          <w:rFonts w:ascii="宋体" w:eastAsia="宋体" w:hAnsi="宋体" w:cs="宋体" w:hint="eastAsia"/>
          <w:color w:val="auto"/>
          <w:szCs w:val="22"/>
          <w:highlight w:val="none"/>
        </w:rPr>
        <w:t xml:space="preserve">关于竣工付款证书异议部分复核的方式和程序：</w:t>
      </w:r>
      <w:r>
        <w:rPr>
          <w:rFonts w:ascii="宋体" w:eastAsia="宋体" w:hAnsi="宋体" w:cs="宋体" w:hint="eastAsia"/>
          <w:color w:val="auto"/>
          <w:szCs w:val="22"/>
          <w:highlight w:val="none"/>
          <w:u w:val="single"/>
        </w:rPr>
        <w:t xml:space="preserve">按《淮安市政府投资项目审计监督办法》（淮政发[2009]49号）执行。</w:t>
      </w:r>
    </w:p>
    <w:p>
      <w:pPr>
        <w:spacing w:line="240" w:lineRule="auto"/>
        <w:ind w:firstLine="420"/>
        <w:jc w:val="left"/>
        <w:rPr>
          <w:rFonts w:ascii="宋体" w:eastAsia="宋体" w:hAnsi="宋体" w:cs="宋体"/>
          <w:color w:val="auto"/>
          <w:szCs w:val="22"/>
          <w:highlight w:val="none"/>
          <w:u w:val="single"/>
          <w:lang w:val="en-US" w:eastAsia="zh-CN"/>
        </w:rPr>
      </w:pPr>
      <w:r>
        <w:rPr>
          <w:rFonts w:ascii="宋体" w:eastAsia="宋体" w:hAnsi="宋体" w:cs="宋体" w:hint="eastAsia"/>
          <w:color w:val="auto"/>
          <w:szCs w:val="22"/>
          <w:highlight w:val="none"/>
          <w:u w:val="single"/>
          <w:lang w:val="en-US" w:eastAsia="zh-CN"/>
        </w:rPr>
        <w:t xml:space="preserve">注：核减率超过10%以上部分的审核费用由施工单位承担，由建设单位从工程款中扣除。</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14.4 最终结清</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14.4.1 最终结清申请单</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承包人提交最终结清申请单的份数：</w:t>
      </w:r>
      <w:r>
        <w:rPr>
          <w:rFonts w:ascii="宋体" w:eastAsia="宋体" w:hAnsi="宋体" w:cs="宋体" w:hint="eastAsia"/>
          <w:color w:val="auto"/>
          <w:szCs w:val="22"/>
          <w:highlight w:val="none"/>
          <w:u w:val="single"/>
        </w:rPr>
        <w:t xml:space="preserve">四份</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承包人提交最终结算申请单的期限：</w:t>
      </w:r>
      <w:r>
        <w:rPr>
          <w:rFonts w:ascii="宋体" w:eastAsia="宋体" w:hAnsi="宋体" w:cs="宋体" w:hint="eastAsia"/>
          <w:color w:val="auto"/>
          <w:szCs w:val="22"/>
          <w:highlight w:val="none"/>
          <w:u w:val="single"/>
        </w:rPr>
        <w:t xml:space="preserve">工程竣工验收合格2个月内</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14.4.2 最终结清证书和支付</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（1）发包人完成最终结清申请单的审批并颁发最终结清证书的期限：</w:t>
      </w:r>
      <w:r>
        <w:rPr>
          <w:rFonts w:ascii="宋体" w:eastAsia="宋体" w:hAnsi="宋体" w:cs="宋体" w:hint="eastAsia"/>
          <w:color w:val="auto"/>
          <w:szCs w:val="22"/>
          <w:highlight w:val="none"/>
          <w:u w:val="single"/>
        </w:rPr>
        <w:t xml:space="preserve">按《通用合同条款》执行</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（2）发包人完成支付的期限：</w:t>
      </w:r>
      <w:r>
        <w:rPr>
          <w:rFonts w:ascii="宋体" w:eastAsia="宋体" w:hAnsi="宋体" w:cs="宋体" w:hint="eastAsia"/>
          <w:color w:val="auto"/>
          <w:szCs w:val="22"/>
          <w:highlight w:val="none"/>
          <w:u w:val="single"/>
        </w:rPr>
        <w:t xml:space="preserve">按专用条款12.4.1条款执行</w:t>
      </w:r>
      <w:r>
        <w:rPr>
          <w:rFonts w:ascii="宋体" w:eastAsia="宋体" w:hAnsi="宋体" w:cs="宋体" w:hint="eastAsia"/>
          <w:color w:val="auto"/>
          <w:szCs w:val="22"/>
          <w:highlight w:val="none"/>
        </w:rPr>
        <w:t xml:space="preserve">。</w:t>
      </w:r>
      <w:bookmarkEnd w:id="492"/>
      <w:bookmarkEnd w:id="493"/>
      <w:bookmarkEnd w:id="494"/>
      <w:bookmarkEnd w:id="495"/>
      <w:bookmarkEnd w:id="496"/>
      <w:bookmarkEnd w:id="497"/>
      <w:bookmarkEnd w:id="498"/>
      <w:bookmarkEnd w:id="504"/>
    </w:p>
    <w:p>
      <w:pPr>
        <w:spacing w:line="240" w:lineRule="auto"/>
        <w:rPr>
          <w:rFonts w:ascii="宋体" w:eastAsia="宋体" w:hAnsi="宋体" w:cs="宋体"/>
          <w:color w:val="auto"/>
          <w:szCs w:val="22"/>
          <w:highlight w:val="none"/>
        </w:rPr>
      </w:pPr>
      <w:bookmarkStart w:id="506" w:name="_Toc351203647"/>
      <w:bookmarkStart w:id="507" w:name="_Toc267251483"/>
      <w:bookmarkStart w:id="508" w:name="_Toc267251482"/>
      <w:bookmarkStart w:id="509" w:name="_Toc267251484"/>
      <w:bookmarkStart w:id="510" w:name="_Toc267251485"/>
      <w:bookmarkStart w:id="511" w:name="_Toc267251488"/>
      <w:bookmarkStart w:id="512" w:name="_Toc267251489"/>
      <w:bookmarkStart w:id="513" w:name="_Toc267251486"/>
      <w:bookmarkStart w:id="514" w:name="_Toc267251490"/>
      <w:r>
        <w:rPr>
          <w:rFonts w:ascii="宋体" w:eastAsia="宋体" w:hAnsi="宋体" w:cs="宋体" w:hint="eastAsia"/>
          <w:color w:val="auto"/>
          <w:szCs w:val="22"/>
          <w:highlight w:val="none"/>
        </w:rPr>
        <w:t xml:space="preserve">15. 缺陷责任期与保修</w:t>
      </w:r>
      <w:bookmarkEnd w:id="506"/>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15.2缺陷责任期</w:t>
      </w:r>
      <w:bookmarkEnd w:id="507"/>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缺陷责任期的具体期限：</w:t>
      </w:r>
      <w:r>
        <w:rPr>
          <w:rFonts w:ascii="宋体" w:eastAsia="宋体" w:hAnsi="宋体" w:cs="宋体" w:hint="eastAsia"/>
          <w:color w:val="auto"/>
          <w:szCs w:val="22"/>
          <w:highlight w:val="none"/>
          <w:u w:val="single"/>
        </w:rPr>
        <w:t xml:space="preserve">自工程竣工验收合格之日起3</w:t>
      </w:r>
      <w:r>
        <w:rPr>
          <w:rFonts w:ascii="宋体" w:eastAsia="宋体" w:hAnsi="宋体" w:cs="宋体" w:hint="eastAsia"/>
          <w:color w:val="auto"/>
          <w:szCs w:val="22"/>
          <w:highlight w:val="none"/>
          <w:u w:val="single"/>
        </w:rPr>
        <w:t xml:space="preserve">年</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15.3 质量保证金</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关于是否扣留质量保证金的约定：</w:t>
      </w:r>
      <w:r>
        <w:rPr>
          <w:rFonts w:ascii="宋体" w:eastAsia="宋体" w:hAnsi="宋体" w:cs="宋体" w:hint="eastAsia"/>
          <w:color w:val="auto"/>
          <w:szCs w:val="22"/>
          <w:highlight w:val="none"/>
          <w:u w:val="single"/>
        </w:rPr>
        <w:t xml:space="preserve">/</w:t>
      </w:r>
      <w:r>
        <w:rPr>
          <w:rFonts w:ascii="宋体" w:eastAsia="宋体" w:hAnsi="宋体" w:cs="宋体" w:hint="eastAsia"/>
          <w:color w:val="auto"/>
          <w:szCs w:val="22"/>
          <w:highlight w:val="none"/>
        </w:rPr>
        <w:t xml:space="preserve">。在工程项目竣工前，承包人按专用合同条款第3.7条提供履约担保的，发包人不得同时预留工程质量保证金。</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15.3.1 承包人提供质量保证金的方式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质量保证金采用以下第</w:t>
      </w:r>
      <w:r>
        <w:rPr>
          <w:rFonts w:ascii="宋体" w:eastAsia="宋体" w:hAnsi="宋体" w:cs="宋体" w:hint="eastAsia"/>
          <w:color w:val="auto"/>
          <w:szCs w:val="22"/>
          <w:highlight w:val="none"/>
          <w:u w:val="single"/>
        </w:rPr>
        <w:t xml:space="preserve">3</w:t>
      </w:r>
      <w:r>
        <w:rPr>
          <w:rFonts w:ascii="宋体" w:eastAsia="宋体" w:hAnsi="宋体" w:cs="宋体" w:hint="eastAsia"/>
          <w:color w:val="auto"/>
          <w:szCs w:val="22"/>
          <w:highlight w:val="none"/>
        </w:rPr>
        <w:t xml:space="preserve">种方式：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（1）质量保证金保函，保证金额为：</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w:t>
      </w:r>
      <w:r>
        <w:rPr>
          <w:rFonts w:ascii="宋体" w:eastAsia="宋体" w:hAnsi="宋体" w:cs="宋体" w:hint="eastAsia"/>
          <w:color w:val="auto"/>
          <w:szCs w:val="22"/>
          <w:highlight w:val="none"/>
          <w:u w:val="single"/>
        </w:rPr>
        <w:t xml:space="preserve"> 3 </w:t>
      </w:r>
      <w:r>
        <w:rPr>
          <w:rFonts w:ascii="宋体" w:eastAsia="宋体" w:hAnsi="宋体" w:cs="宋体" w:hint="eastAsia"/>
          <w:color w:val="auto"/>
          <w:szCs w:val="22"/>
          <w:highlight w:val="none"/>
        </w:rPr>
        <w:t xml:space="preserve">%的工程款；</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（3）其他方式:</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15.3.2 质量保证金的扣留</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质量保证金的扣留采取以下第</w:t>
      </w:r>
      <w:r>
        <w:rPr>
          <w:rFonts w:ascii="宋体" w:eastAsia="宋体" w:hAnsi="宋体" w:cs="宋体" w:hint="eastAsia"/>
          <w:color w:val="auto"/>
          <w:szCs w:val="22"/>
          <w:highlight w:val="none"/>
          <w:u w:val="single"/>
        </w:rPr>
        <w:t xml:space="preserve">（3）</w:t>
      </w:r>
      <w:r>
        <w:rPr>
          <w:rFonts w:ascii="宋体" w:eastAsia="宋体" w:hAnsi="宋体" w:cs="宋体" w:hint="eastAsia"/>
          <w:color w:val="auto"/>
          <w:szCs w:val="22"/>
          <w:highlight w:val="none"/>
        </w:rPr>
        <w:t xml:space="preserve">种方式：</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（1）在支付工程进度款时逐次扣留，在此情形下，质量保证金的计算基数不包括预付款的支付、扣回以及价格调整的金额；</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（2）工程竣工结算时一次性扣留质量保证金；</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（3）其他扣留方式:</w:t>
      </w:r>
      <w:r>
        <w:rPr>
          <w:rFonts w:ascii="宋体" w:eastAsia="宋体" w:hAnsi="宋体" w:cs="宋体" w:hint="eastAsia"/>
          <w:color w:val="auto"/>
          <w:szCs w:val="22"/>
          <w:highlight w:val="none"/>
          <w:u w:val="single"/>
        </w:rPr>
        <w:t xml:space="preserve">\ </w:t>
      </w:r>
      <w:r>
        <w:rPr>
          <w:rFonts w:ascii="宋体" w:eastAsia="宋体" w:hAnsi="宋体" w:cs="宋体" w:hint="eastAsia"/>
          <w:color w:val="auto"/>
          <w:szCs w:val="22"/>
          <w:highlight w:val="none"/>
        </w:rPr>
        <w:t xml:space="preserve">。</w:t>
      </w:r>
    </w:p>
    <w:p>
      <w:pPr>
        <w:spacing w:line="240" w:lineRule="auto"/>
        <w:ind w:firstLine="21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关于质量保证金的补充约定：</w:t>
      </w:r>
      <w:r>
        <w:rPr>
          <w:rFonts w:ascii="宋体" w:eastAsia="宋体" w:hAnsi="宋体" w:cs="宋体" w:hint="eastAsia"/>
          <w:b/>
          <w:color w:val="auto"/>
          <w:szCs w:val="22"/>
          <w:highlight w:val="none"/>
          <w:u w:val="single"/>
        </w:rPr>
        <w:t xml:space="preserve">缺陷责任期满,扣除维修费用且保修无误后无息一次性返清。</w:t>
      </w:r>
      <w:bookmarkEnd w:id="508"/>
      <w:bookmarkEnd w:id="509"/>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15.4保修</w:t>
      </w:r>
      <w:bookmarkEnd w:id="510"/>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15.4.1 保修责任</w:t>
      </w:r>
    </w:p>
    <w:p>
      <w:pPr>
        <w:spacing w:line="240" w:lineRule="auto"/>
        <w:ind w:firstLine="409"/>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工程保修期为：</w:t>
      </w:r>
      <w:r>
        <w:rPr>
          <w:rFonts w:ascii="宋体" w:eastAsia="宋体" w:hAnsi="宋体" w:cs="宋体" w:hint="eastAsia"/>
          <w:color w:val="auto"/>
          <w:szCs w:val="22"/>
          <w:highlight w:val="none"/>
          <w:u w:val="single"/>
        </w:rPr>
        <w:t xml:space="preserve">自工程竣工验收合格之日起计算：</w:t>
      </w:r>
    </w:p>
    <w:p>
      <w:pPr>
        <w:spacing w:line="240" w:lineRule="auto"/>
        <w:ind w:firstLine="409"/>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1）地基基础工程和主体结构工程为设计文件规定的该工程合理使用年限；</w:t>
      </w:r>
    </w:p>
    <w:p>
      <w:pPr>
        <w:spacing w:line="240" w:lineRule="auto"/>
        <w:ind w:firstLine="409"/>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2）屋面防水工程、有防水要求的卫生间、房间和外墙面的防渗漏为5年；</w:t>
      </w:r>
    </w:p>
    <w:p>
      <w:pPr>
        <w:spacing w:line="240" w:lineRule="auto"/>
        <w:ind w:firstLine="409"/>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3）装修工程为2年；</w:t>
      </w:r>
    </w:p>
    <w:p>
      <w:pPr>
        <w:spacing w:line="240" w:lineRule="auto"/>
        <w:ind w:firstLine="409"/>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u w:val="single"/>
        </w:rPr>
        <w:t xml:space="preserve">4）电气管线，给排水管道，设备安装工程为2年；</w:t>
      </w:r>
    </w:p>
    <w:p>
      <w:pPr>
        <w:spacing w:line="240" w:lineRule="auto"/>
        <w:ind w:firstLine="409"/>
        <w:jc w:val="left"/>
        <w:rPr>
          <w:rFonts w:ascii="宋体" w:eastAsia="宋体" w:hAnsi="宋体" w:cs="宋体"/>
          <w:color w:val="auto"/>
          <w:szCs w:val="22"/>
          <w:highlight w:val="none"/>
          <w:u w:val="single"/>
        </w:rPr>
      </w:pPr>
      <w:r>
        <w:rPr>
          <w:rFonts w:ascii="宋体" w:eastAsia="宋体" w:hAnsi="宋体" w:cs="宋体" w:hint="eastAsia"/>
          <w:b/>
          <w:bCs/>
          <w:color w:val="auto"/>
          <w:szCs w:val="22"/>
          <w:highlight w:val="none"/>
          <w:u w:val="single"/>
        </w:rPr>
        <w:t xml:space="preserve">5）</w:t>
      </w:r>
      <w:r>
        <w:rPr>
          <w:rFonts w:ascii="宋体" w:hAnsi="宋体" w:cs="宋体" w:hint="eastAsia"/>
          <w:b/>
          <w:bCs/>
          <w:color w:val="auto"/>
          <w:szCs w:val="22"/>
          <w:highlight w:val="none"/>
          <w:u w:val="single"/>
          <w:lang w:val="en-US" w:eastAsia="zh-CN"/>
        </w:rPr>
        <w:t xml:space="preserve">本</w:t>
      </w:r>
      <w:r>
        <w:rPr>
          <w:rFonts w:ascii="宋体" w:eastAsia="宋体" w:hAnsi="宋体" w:cs="宋体" w:hint="eastAsia"/>
          <w:b/>
          <w:bCs/>
          <w:color w:val="auto"/>
          <w:szCs w:val="22"/>
          <w:highlight w:val="none"/>
          <w:u w:val="single"/>
        </w:rPr>
        <w:t xml:space="preserve">工程</w:t>
      </w:r>
      <w:r>
        <w:rPr>
          <w:rFonts w:ascii="宋体" w:hAnsi="宋体" w:cs="宋体" w:hint="eastAsia"/>
          <w:b/>
          <w:bCs/>
          <w:color w:val="auto"/>
          <w:szCs w:val="22"/>
          <w:highlight w:val="none"/>
          <w:u w:val="single"/>
          <w:lang w:val="en-US" w:eastAsia="zh-CN"/>
        </w:rPr>
        <w:t xml:space="preserve">质保期</w:t>
      </w:r>
      <w:r>
        <w:rPr>
          <w:rFonts w:ascii="宋体" w:eastAsia="宋体" w:hAnsi="宋体" w:cs="宋体" w:hint="eastAsia"/>
          <w:b/>
          <w:bCs/>
          <w:color w:val="auto"/>
          <w:szCs w:val="22"/>
          <w:highlight w:val="none"/>
          <w:u w:val="single"/>
        </w:rPr>
        <w:t xml:space="preserve">为</w:t>
      </w:r>
      <w:r>
        <w:rPr>
          <w:rFonts w:ascii="宋体" w:hAnsi="宋体" w:cs="宋体" w:hint="eastAsia"/>
          <w:b/>
          <w:bCs/>
          <w:color w:val="auto"/>
          <w:szCs w:val="22"/>
          <w:highlight w:val="none"/>
          <w:u w:val="single"/>
          <w:lang w:val="en-US" w:eastAsia="zh-CN"/>
        </w:rPr>
        <w:t xml:space="preserve">3</w:t>
      </w:r>
      <w:r>
        <w:rPr>
          <w:rFonts w:ascii="宋体" w:eastAsia="宋体" w:hAnsi="宋体" w:cs="宋体" w:hint="eastAsia"/>
          <w:b/>
          <w:bCs/>
          <w:color w:val="auto"/>
          <w:szCs w:val="22"/>
          <w:highlight w:val="none"/>
          <w:u w:val="single"/>
        </w:rPr>
        <w:t xml:space="preserve">年；</w:t>
      </w:r>
    </w:p>
    <w:p>
      <w:pPr>
        <w:spacing w:line="240" w:lineRule="auto"/>
        <w:ind w:firstLine="409"/>
        <w:jc w:val="left"/>
        <w:rPr>
          <w:rFonts w:ascii="宋体" w:eastAsia="宋体" w:hAnsi="宋体" w:cs="宋体" w:hint="eastAsia"/>
          <w:color w:val="auto"/>
          <w:szCs w:val="22"/>
          <w:highlight w:val="none"/>
          <w:u w:val="single"/>
          <w:lang w:val="en-US" w:eastAsia="zh-CN"/>
        </w:rPr>
      </w:pPr>
      <w:r>
        <w:rPr>
          <w:rFonts w:ascii="宋体" w:eastAsia="宋体" w:hAnsi="宋体" w:cs="宋体" w:hint="eastAsia"/>
          <w:color w:val="auto"/>
          <w:szCs w:val="22"/>
          <w:highlight w:val="none"/>
          <w:u w:val="single"/>
        </w:rPr>
        <w:t xml:space="preserve">6）其他项目保修期约定为2年</w:t>
      </w:r>
      <w:r>
        <w:rPr>
          <w:rFonts w:ascii="宋体" w:eastAsia="宋体" w:hAnsi="宋体" w:cs="宋体" w:hint="eastAsia"/>
          <w:color w:val="auto"/>
          <w:szCs w:val="22"/>
          <w:highlight w:val="none"/>
          <w:u w:val="single"/>
          <w:lang w:val="en-US" w:eastAsia="zh-CN"/>
        </w:rPr>
        <w:t xml:space="preserve">；</w:t>
      </w:r>
    </w:p>
    <w:p>
      <w:pPr>
        <w:spacing w:line="240" w:lineRule="auto"/>
        <w:ind w:firstLine="409"/>
        <w:jc w:val="left"/>
        <w:rPr>
          <w:rFonts w:ascii="宋体" w:eastAsia="宋体" w:hAnsi="宋体" w:cs="宋体"/>
          <w:color w:val="auto"/>
          <w:szCs w:val="22"/>
          <w:highlight w:val="none"/>
          <w:u w:val="single"/>
          <w:lang w:val="en-US" w:eastAsia="zh-CN"/>
        </w:rPr>
      </w:pPr>
      <w:r>
        <w:rPr>
          <w:rFonts w:ascii="宋体" w:eastAsia="宋体" w:hAnsi="宋体" w:cs="宋体" w:hint="eastAsia"/>
          <w:color w:val="auto"/>
          <w:szCs w:val="22"/>
          <w:highlight w:val="none"/>
          <w:u w:val="single"/>
          <w:lang w:val="en-US" w:eastAsia="zh-CN"/>
        </w:rPr>
        <w:t xml:space="preserve">7）包含非人为损坏电力设备（电器元件）、电缆等为2年。</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15.4.3 修复通知</w:t>
      </w:r>
    </w:p>
    <w:p>
      <w:pPr>
        <w:spacing w:line="240" w:lineRule="auto"/>
        <w:ind w:firstLine="409"/>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承包人收到保修通知并到达工程现场的合理时间：</w:t>
      </w:r>
      <w:r>
        <w:rPr>
          <w:rFonts w:ascii="宋体" w:eastAsia="宋体" w:hAnsi="宋体" w:cs="宋体" w:hint="eastAsia"/>
          <w:color w:val="auto"/>
          <w:szCs w:val="22"/>
          <w:highlight w:val="none"/>
          <w:u w:val="single"/>
          <w:lang w:val="en-US" w:eastAsia="zh-CN"/>
        </w:rPr>
        <w:t xml:space="preserve">5小时</w:t>
      </w:r>
      <w:r>
        <w:rPr>
          <w:rFonts w:ascii="宋体" w:eastAsia="宋体" w:hAnsi="宋体" w:cs="宋体" w:hint="eastAsia"/>
          <w:color w:val="auto"/>
          <w:szCs w:val="22"/>
          <w:highlight w:val="none"/>
          <w:u w:val="single"/>
        </w:rPr>
        <w:t xml:space="preserve">内</w:t>
      </w:r>
      <w:r>
        <w:rPr>
          <w:rFonts w:ascii="宋体" w:eastAsia="宋体" w:hAnsi="宋体" w:cs="宋体" w:hint="eastAsia"/>
          <w:color w:val="auto"/>
          <w:szCs w:val="22"/>
          <w:highlight w:val="none"/>
        </w:rPr>
        <w:t xml:space="preserve">。</w:t>
      </w:r>
      <w:bookmarkEnd w:id="511"/>
      <w:bookmarkEnd w:id="512"/>
      <w:bookmarkEnd w:id="513"/>
      <w:bookmarkEnd w:id="514"/>
    </w:p>
    <w:p>
      <w:pPr>
        <w:spacing w:line="240" w:lineRule="auto"/>
        <w:rPr>
          <w:rFonts w:ascii="宋体" w:eastAsia="宋体" w:hAnsi="宋体" w:cs="宋体"/>
          <w:color w:val="auto"/>
          <w:szCs w:val="22"/>
          <w:highlight w:val="none"/>
        </w:rPr>
      </w:pPr>
      <w:bookmarkStart w:id="515" w:name="_Toc351203648"/>
      <w:r>
        <w:rPr>
          <w:rFonts w:ascii="宋体" w:eastAsia="宋体" w:hAnsi="宋体" w:cs="宋体" w:hint="eastAsia"/>
          <w:color w:val="auto"/>
          <w:szCs w:val="22"/>
          <w:highlight w:val="none"/>
        </w:rPr>
        <w:t xml:space="preserve">16. 违约</w:t>
      </w:r>
      <w:bookmarkEnd w:id="515"/>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16.1 发包人违约</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16.1.1发包人违约的情形</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发包人违约的其他情形：</w:t>
      </w:r>
      <w:r>
        <w:rPr>
          <w:rFonts w:ascii="宋体" w:eastAsia="宋体" w:hAnsi="宋体" w:cs="宋体" w:hint="eastAsia"/>
          <w:color w:val="auto"/>
          <w:szCs w:val="22"/>
          <w:highlight w:val="none"/>
          <w:u w:val="single"/>
        </w:rPr>
        <w:t xml:space="preserve">发包人无正当理由拖延、拒绝对工程进行验收或拖延、拒绝接收已竣工验收合格的工程</w:t>
      </w:r>
      <w:r>
        <w:rPr>
          <w:rFonts w:ascii="宋体" w:eastAsia="宋体" w:hAnsi="宋体" w:cs="宋体" w:hint="eastAsia"/>
          <w:color w:val="auto"/>
          <w:szCs w:val="22"/>
          <w:highlight w:val="none"/>
        </w:rPr>
        <w:t xml:space="preserve">。</w:t>
      </w:r>
    </w:p>
    <w:p>
      <w:pPr>
        <w:spacing w:after="120" w:line="240" w:lineRule="auto"/>
        <w:ind w:firstLine="420"/>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16.1.2 发包人违约的责任</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发包人违约责任的承担方式和计算方法：</w:t>
      </w:r>
    </w:p>
    <w:p>
      <w:pPr>
        <w:spacing w:line="240" w:lineRule="auto"/>
        <w:ind w:firstLine="420"/>
        <w:jc w:val="left"/>
        <w:rPr>
          <w:rFonts w:ascii="宋体" w:eastAsia="宋体" w:hAnsi="宋体" w:cs="宋体"/>
          <w:color w:val="auto"/>
          <w:szCs w:val="22"/>
          <w:highlight w:val="none"/>
          <w:u w:val="single"/>
        </w:rPr>
      </w:pPr>
      <w:r>
        <w:rPr>
          <w:rFonts w:ascii="宋体" w:eastAsia="宋体" w:hAnsi="宋体" w:cs="宋体" w:hint="eastAsia"/>
          <w:color w:val="auto"/>
          <w:szCs w:val="22"/>
          <w:highlight w:val="none"/>
        </w:rPr>
        <w:t xml:space="preserve">（1）因发包人原因未能在计划开工日期前</w:t>
      </w:r>
      <w:r>
        <w:rPr>
          <w:rFonts w:ascii="宋体" w:eastAsia="宋体" w:hAnsi="宋体" w:cs="宋体" w:hint="eastAsia"/>
          <w:color w:val="auto"/>
          <w:szCs w:val="22"/>
          <w:highlight w:val="none"/>
          <w:lang w:val="en-US" w:eastAsia="zh-CN"/>
        </w:rPr>
        <w:t xml:space="preserve">7</w:t>
      </w:r>
      <w:r>
        <w:rPr>
          <w:rFonts w:ascii="宋体" w:eastAsia="宋体" w:hAnsi="宋体" w:cs="宋体" w:hint="eastAsia"/>
          <w:color w:val="auto"/>
          <w:szCs w:val="22"/>
          <w:highlight w:val="none"/>
        </w:rPr>
        <w:t xml:space="preserve">天内下达开工通知的违约责任：</w:t>
      </w:r>
      <w:r>
        <w:rPr>
          <w:rFonts w:ascii="宋体" w:eastAsia="宋体" w:hAnsi="宋体" w:cs="宋体" w:hint="eastAsia"/>
          <w:color w:val="auto"/>
          <w:szCs w:val="22"/>
          <w:highlight w:val="none"/>
          <w:u w:val="single"/>
        </w:rPr>
        <w:t xml:space="preserve">按《通用条款》执行</w:t>
      </w:r>
      <w:r>
        <w:rPr>
          <w:rFonts w:ascii="宋体" w:eastAsia="宋体" w:hAnsi="宋体" w:cs="宋体" w:hint="eastAsia"/>
          <w:color w:val="auto"/>
          <w:szCs w:val="22"/>
          <w:highlight w:val="none"/>
        </w:rPr>
        <w:t xml:space="preserve">。</w:t>
      </w:r>
    </w:p>
    <w:p>
      <w:pPr>
        <w:spacing w:line="240" w:lineRule="auto"/>
        <w:ind w:firstLine="420"/>
        <w:jc w:val="left"/>
        <w:rPr>
          <w:rFonts w:ascii="宋体" w:eastAsia="宋体" w:hAnsi="宋体" w:cs="宋体"/>
          <w:color w:val="auto"/>
          <w:szCs w:val="22"/>
          <w:highlight w:val="none"/>
        </w:rPr>
      </w:pPr>
      <w:r>
        <w:rPr>
          <w:rFonts w:ascii="宋体" w:eastAsia="宋体" w:hAnsi="宋体" w:cs="宋体" w:hint="eastAsia"/>
          <w:color w:val="auto"/>
          <w:szCs w:val="22"/>
          <w:highlight w:val="none"/>
        </w:rPr>
        <w:t xml:space="preserve">（2）因发包人原因未能按合同约定支付合同价款的违约责任：</w:t>
      </w:r>
      <w:r>
        <w:rPr>
          <w:rFonts w:ascii="宋体" w:eastAsia="宋体" w:hAnsi="宋体" w:cs="宋体" w:hint="eastAsia"/>
          <w:color w:val="auto"/>
          <w:szCs w:val="22"/>
          <w:highlight w:val="none"/>
          <w:u w:val="single"/>
        </w:rPr>
        <w:t xml:space="preserve">按《通用条款》执行</w:t>
      </w:r>
      <w:r>
        <w:rPr>
          <w:rFonts w:ascii="宋体" w:eastAsia="宋体" w:hAnsi="宋体" w:cs="宋体" w:hint="eastAsia"/>
          <w:color w:val="auto"/>
          <w:szCs w:val="22"/>
          <w:highlight w:val="none"/>
        </w:rPr>
        <w:t xml:space="preserve">。</w:t>
      </w:r>
    </w:p>
    <w:sectPr>
      <w:pgSz w:w="11905" w:h="16838" w:orient="portrait"/>
      <w:pgMar w:top="1440" w:right="1304" w:bottom="1440" w:left="1304"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SimSun">
    <w:panose1 w:val="02010600030101010101"/>
    <w:charset w:val="00"/>
    <w:family w:val="auto"/>
    <w:pitch w:val="default"/>
    <w:sig w:usb0="00000000" w:usb1="00000000" w:usb2="00000000" w:usb3="00000000" w:csb0="00000000" w:csb1="00000000"/>
  </w:font>
  <w:font w:name="华文行楷">
    <w:panose1 w:val="02010800040101010101"/>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00000000" w:usb1="00000000" w:usb2="00000000" w:usb3="00000000" w:csb0="00000000" w:csb1="00000000"/>
  </w:font>
  <w:font w:name="华文细黑">
    <w:panose1 w:val="02010600040101010101"/>
    <w:charset w:val="00"/>
    <w:family w:val="auto"/>
    <w:pitch w:val="default"/>
    <w:sig w:usb0="00000000" w:usb1="00000000" w:usb2="00000000" w:usb3="00000000" w:csb0="00000000" w:csb1="00000000"/>
  </w:font>
  <w:font w:name="楷体_GB2312">
    <w:panose1 w:val="02010609060101010101"/>
    <w:charset w:val="00"/>
    <w:family w:val="auto"/>
    <w:pitch w:val="default"/>
    <w:sig w:usb0="00000000" w:usb1="00000000" w:usb2="00000000" w:usb3="00000000" w:csb0="00000000" w:csb1="00000000"/>
  </w:font>
  <w:font w:name="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 w:name="Calibri">
    <w:panose1 w:val="020F0502020204030204"/>
    <w:charset w:val="00"/>
    <w:family w:val="auto"/>
    <w:pitch w:val="default"/>
    <w:sig w:usb0="00000000" w:usb1="00000000" w:usb2="00000000" w:usb3="00000000" w:csb0="00000000" w:csb1="00000000"/>
  </w:font>
  <w:font w:name="Cambria">
    <w:panose1 w:val="02040503050406030204"/>
    <w:charset w:val="00"/>
    <w:family w:val="auto"/>
    <w:pitch w:val="default"/>
    <w:sig w:usb0="00000000" w:usb1="00000000" w:usb2="00000000" w:usb3="00000000" w:csb0="00000000" w:csb1="00000000"/>
  </w:font>
  <w:font w:name="仿宋_GB2312">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00000000" w:usb1="00000000" w:usb2="00000000" w:usb3="00000000" w:csb0="00000000" w:csb1="00000000"/>
  </w:font>
  <w:font w:name="Helv">
    <w:panose1 w:val="020B0503020202020204"/>
    <w:charset w:val="00"/>
    <w:family w:val="auto"/>
    <w:pitch w:val="default"/>
    <w:sig w:usb0="00000000" w:usb1="00000000" w:usb2="00000000" w:usb3="00000000" w:csb0="00000000" w:csb1="00000000"/>
  </w:font>
  <w:font w:name="黑体">
    <w:panose1 w:val="02010609060101010101"/>
    <w:charset w:val="00"/>
    <w:family w:val="auto"/>
    <w:pitch w:val="default"/>
    <w:sig w:usb0="00000000" w:usb1="00000000" w:usb2="00000000" w:usb3="00000000" w:csb0="00000000" w:csb1="00000000"/>
  </w:font>
  <w:font w:name="Arial Unicode MS">
    <w:panose1 w:val="020B0604020202020204"/>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宋体">
    <w:panose1 w:val="02010600030101010101"/>
    <w:charset w:val="00"/>
    <w:family w:val="auto"/>
    <w:pitch w:val="default"/>
    <w:sig w:usb0="00000000" w:usb1="00000000" w:usb2="00000000" w:usb3="00000000" w:csb0="00000000" w:csb1="00000000"/>
  </w:font>
  <w:font w:name="Times New Roman">
    <w:panose1 w:val="02020603050405020304"/>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页脚1"/>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页脚1"/>
    </w:pPr>
    <w:r>
      <w:rPr/>
      <mc:AlternateContent xmlns:mc="http://schemas.openxmlformats.org/markup-compatibility/2006">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bwMode="auto">
                      <a:xfrm>
                        <a:off x="0" y="0"/>
                        <a:ext cx="57785" cy="131445"/>
                      </a:xfrm>
                      <a:prstGeom prst="rect">
                        <a:avLst/>
                      </a:prstGeom>
                      <a:noFill/>
                      <a:ln>
                        <a:noFill/>
                      </a:ln>
                    </wps:spPr>
                    <wps:txbx>
                      <w:txbxContent>
                        <w:p>
                          <w:pPr>
                            <w:pStyle w:val="页脚1"/>
                            <w:tabs>
                              <w:tab w:val="clear" w:pos="4153"/>
                              <w:tab w:val="clear" w:pos="8306"/>
                            </w:tabs>
                          </w:pPr>
                          <w:r>
                            <w:fldChar w:fldCharType="begin"/>
                          </w:r>
                          <w:r>
                            <w:instrText xml:space="preserve"> PAGE  \* MERGEFORMAT </w:instrText>
                          </w:r>
                          <w:r>
                            <w:fldChar w:fldCharType="separate"/>
                          </w:r>
                          <w:r>
                            <w:t xml:space="preserve">1</w:t>
                          </w:r>
                          <w:r>
                            <w:fldChar w:fldCharType="end"/>
                          </w:r>
                        </w:p>
                        <w:p>
                          <w:pP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4.55pt;height:10.35pt;margin-top:0;margin-left:0;mso-position-horizontal:center;mso-position-horizontal-relative:margin;mso-wrap-distance-bottom:0;mso-wrap-distance-left:9pt;mso-wrap-distance-right:9pt;mso-wrap-distance-top:0;mso-wrap-style:none;position:absolute;v-text-anchor:top;z-index:251658240" filled="f" fillcolor="this" stroked="f">
              <v:textbox style="mso-fit-shape-to-text:t" inset="0,0,0,0">
                <w:txbxContent>
                  <w:p>
                    <w:pPr>
                      <w:pStyle w:val="页脚1"/>
                      <w:tabs>
                        <w:tab w:val="clear" w:pos="4153"/>
                        <w:tab w:val="clear" w:pos="8306"/>
                      </w:tabs>
                    </w:pPr>
                    <w:r>
                      <w:fldChar w:fldCharType="begin"/>
                    </w:r>
                    <w:r>
                      <w:instrText xml:space="preserve"> PAGE  \* MERGEFORMAT </w:instrText>
                    </w:r>
                    <w:r>
                      <w:fldChar w:fldCharType="separate"/>
                    </w:r>
                    <w:r>
                      <w:t xml:space="preserve">1</w:t>
                    </w:r>
                    <w:r>
                      <w:fldChar w:fldCharType="end"/>
                    </w:r>
                  </w:p>
                  <w:p>
                    <w:pPr/>
                  </w:p>
                </w:txbxContent>
              </v:textbox>
              <w10:wrap anchorx="margin"/>
            </v:shape>
          </w:pict>
        </mc:Fallback>
      </mc:AlternateContent>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页眉1"/>
      <w:rPr>
        <w:rFonts w:ascii="华文行楷" w:eastAsia="华文行楷" w:hAnsi="黑体"/>
        <w:sz w:val="28"/>
        <w:szCs w:val="28"/>
      </w:rPr>
    </w:pPr>
    <w:r>
      <w:rPr>
        <w:rFonts w:ascii="华文行楷" w:eastAsia="华文行楷" w:hAnsi="黑体" w:hint="eastAsia"/>
        <w:color w:val="000000"/>
        <w:sz w:val="28"/>
        <w:szCs w:val="28"/>
      </w:rPr>
      <w:t xml:space="preserve">淮安市淮阴区政府采购</w:t>
    </w:r>
    <w:r>
      <w:rPr>
        <w:rFonts w:ascii="华文行楷" w:eastAsia="华文行楷" w:hAnsi="黑体" w:hint="eastAsia"/>
        <w:sz w:val="28"/>
        <w:szCs w:val="28"/>
      </w:rPr>
      <w:t xml:space="preserve">“全流程不见面”竞争性磋商文件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mc:Ignorable="w14">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4"/>
  </w:compat>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hint="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link w:val="明显参考5"/>
    <w:qFormat/>
    <w:pPr>
      <w:widowControl w:val="0"/>
      <w:jc w:val="both"/>
    </w:pPr>
    <w:rPr>
      <w:rFonts w:ascii="Times New Roman" w:eastAsia="宋体" w:hAnsi="Times New Roman" w:cs="Times New Roman" w:hint="default"/>
      <w:sz w:val="21"/>
      <w:szCs w:val="24"/>
      <w:lang w:val="en-US" w:eastAsia="zh-CN" w:bidi="ar-SA"/>
    </w:rPr>
  </w:style>
  <w:style w:type="paragraph" w:styleId="Heading1">
    <w:name w:val="Heading 1"/>
    <w:basedOn w:val="Normal"/>
    <w:next w:val="Normal"/>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qFormat/>
    <w:rPr/>
  </w:style>
  <w:style w:type="table" w:default="1" w:styleId="NormalTable">
    <w:name w:val="Normal Table"/>
    <w:uiPriority w:val="99"/>
    <w:semiHidden/>
    <w:unhideWhenUsed/>
    <w:qFormat/>
    <w:rPr/>
    <w:tblPr>
      <w:tblCellMar>
        <w:top w:w="0" w:type="dxa"/>
        <w:left w:w="108" w:type="dxa"/>
        <w:bottom w:w="0" w:type="dxa"/>
        <w:right w:w="108" w:type="dxa"/>
      </w:tblCellMar>
    </w:tblPr>
  </w:style>
  <w:style w:type="paragraph" w:styleId="TOC7">
    <w:name w:val="TOC 7"/>
    <w:basedOn w:val="Normal"/>
    <w:next w:val="Normal"/>
    <w:uiPriority w:val="39"/>
    <w:unhideWhenUsed/>
    <w:qFormat/>
    <w:pPr>
      <w:spacing w:after="57"/>
      <w:ind w:left="1701" w:right="0" w:firstLine="0"/>
    </w:pPr>
    <w:rPr/>
  </w:style>
  <w:style w:type="paragraph" w:styleId="Caption">
    <w:name w:val="Caption"/>
    <w:basedOn w:val="Normal"/>
    <w:next w:val="Normal"/>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TOC5">
    <w:name w:val="TOC 5"/>
    <w:basedOn w:val="Normal"/>
    <w:next w:val="Normal"/>
    <w:uiPriority w:val="39"/>
    <w:unhideWhenUsed/>
    <w:qFormat/>
    <w:pPr>
      <w:spacing w:after="57"/>
      <w:ind w:left="1134" w:right="0" w:firstLine="0"/>
    </w:pPr>
    <w:rPr/>
  </w:style>
  <w:style w:type="paragraph" w:styleId="TOC3">
    <w:name w:val="TOC 3"/>
    <w:basedOn w:val="Normal"/>
    <w:next w:val="Normal"/>
    <w:uiPriority w:val="39"/>
    <w:unhideWhenUsed/>
    <w:qFormat/>
    <w:pPr>
      <w:spacing w:after="57"/>
      <w:ind w:left="567" w:right="0" w:firstLine="0"/>
    </w:pPr>
    <w:rPr/>
  </w:style>
  <w:style w:type="paragraph" w:styleId="TOC8">
    <w:name w:val="TOC 8"/>
    <w:basedOn w:val="Normal"/>
    <w:next w:val="Normal"/>
    <w:uiPriority w:val="39"/>
    <w:unhideWhenUsed/>
    <w:qFormat/>
    <w:pPr>
      <w:spacing w:after="57"/>
      <w:ind w:left="1984" w:right="0" w:firstLine="0"/>
    </w:pPr>
    <w:rPr/>
  </w:style>
  <w:style w:type="paragraph" w:styleId="EndnoteText">
    <w:name w:val="Endnote Text"/>
    <w:basedOn w:val="Normal"/>
    <w:link w:val="EndnoteTextChar"/>
    <w:uiPriority w:val="99"/>
    <w:semiHidden/>
    <w:unhideWhenUsed/>
    <w:qFormat/>
    <w:pPr>
      <w:spacing w:after="0" w:line="240" w:lineRule="auto"/>
    </w:pPr>
    <w:rPr>
      <w:sz w:val="20"/>
    </w:rPr>
  </w:style>
  <w:style w:type="paragraph" w:styleId="Footer">
    <w:name w:val="Footer"/>
    <w:basedOn w:val="Normal"/>
    <w:link w:val="CaptionChar"/>
    <w:uiPriority w:val="99"/>
    <w:unhideWhenUsed/>
    <w:qFormat/>
    <w:pPr>
      <w:tabs>
        <w:tab w:val="center" w:pos="7143"/>
        <w:tab w:val="right" w:pos="14287"/>
      </w:tabs>
      <w:spacing w:after="0" w:line="240" w:lineRule="auto"/>
    </w:pPr>
    <w:rPr/>
  </w:style>
  <w:style w:type="paragraph" w:styleId="Header">
    <w:name w:val="Header"/>
    <w:basedOn w:val="Normal"/>
    <w:uiPriority w:val="99"/>
    <w:unhideWhenUsed/>
    <w:qFormat/>
    <w:pPr>
      <w:tabs>
        <w:tab w:val="center" w:pos="7143"/>
        <w:tab w:val="right" w:pos="14287"/>
      </w:tabs>
      <w:spacing w:after="0" w:line="240" w:lineRule="auto"/>
    </w:pPr>
    <w:rPr/>
  </w:style>
  <w:style w:type="paragraph" w:styleId="TOC1">
    <w:name w:val="TOC 1"/>
    <w:basedOn w:val="Normal"/>
    <w:next w:val="Normal"/>
    <w:uiPriority w:val="39"/>
    <w:unhideWhenUsed/>
    <w:qFormat/>
    <w:pPr>
      <w:spacing w:after="57"/>
      <w:ind w:left="0" w:right="0" w:firstLine="0"/>
    </w:pPr>
    <w:rPr/>
  </w:style>
  <w:style w:type="paragraph" w:styleId="TOC4">
    <w:name w:val="TOC 4"/>
    <w:basedOn w:val="Normal"/>
    <w:next w:val="Normal"/>
    <w:uiPriority w:val="39"/>
    <w:unhideWhenUsed/>
    <w:qFormat/>
    <w:pPr>
      <w:spacing w:after="57"/>
      <w:ind w:left="850" w:right="0" w:firstLine="0"/>
    </w:pPr>
    <w:rPr/>
  </w:style>
  <w:style w:type="paragraph" w:styleId="Subtitle">
    <w:name w:val="Subtitle"/>
    <w:basedOn w:val="Normal"/>
    <w:next w:val="Normal"/>
    <w:link w:val="SubtitleChar"/>
    <w:uiPriority w:val="11"/>
    <w:qFormat/>
    <w:pPr>
      <w:spacing w:before="200" w:after="200"/>
    </w:pPr>
    <w:rPr>
      <w:sz w:val="24"/>
      <w:szCs w:val="24"/>
    </w:rPr>
  </w:style>
  <w:style w:type="paragraph" w:styleId="FootnoteText">
    <w:name w:val="Footnote Text"/>
    <w:basedOn w:val="Normal"/>
    <w:uiPriority w:val="99"/>
    <w:semiHidden/>
    <w:unhideWhenUsed/>
    <w:qFormat/>
    <w:pPr>
      <w:spacing w:after="40" w:line="240" w:lineRule="auto"/>
    </w:pPr>
    <w:rPr>
      <w:sz w:val="18"/>
    </w:rPr>
  </w:style>
  <w:style w:type="paragraph" w:styleId="TOC6">
    <w:name w:val="TOC 6"/>
    <w:basedOn w:val="Normal"/>
    <w:next w:val="Normal"/>
    <w:uiPriority w:val="39"/>
    <w:unhideWhenUsed/>
    <w:qFormat/>
    <w:pPr>
      <w:spacing w:after="57"/>
      <w:ind w:left="1417" w:right="0" w:firstLine="0"/>
    </w:pPr>
    <w:rPr/>
  </w:style>
  <w:style w:type="paragraph" w:styleId="TableofFigures">
    <w:name w:val="Table of Figures"/>
    <w:basedOn w:val="Normal"/>
    <w:next w:val="Normal"/>
    <w:uiPriority w:val="99"/>
    <w:unhideWhenUsed/>
    <w:qFormat/>
    <w:pPr>
      <w:spacing w:after="0" w:afterAutospacing="0"/>
    </w:pPr>
    <w:rPr/>
  </w:style>
  <w:style w:type="paragraph" w:styleId="TOC2">
    <w:name w:val="TOC 2"/>
    <w:basedOn w:val="Normal"/>
    <w:next w:val="Normal"/>
    <w:uiPriority w:val="39"/>
    <w:unhideWhenUsed/>
    <w:qFormat/>
    <w:pPr>
      <w:spacing w:after="57"/>
      <w:ind w:left="283" w:right="0" w:firstLine="0"/>
    </w:pPr>
    <w:rPr/>
  </w:style>
  <w:style w:type="paragraph" w:styleId="TOC9">
    <w:name w:val="TOC 9"/>
    <w:basedOn w:val="Normal"/>
    <w:next w:val="Normal"/>
    <w:uiPriority w:val="39"/>
    <w:unhideWhenUsed/>
    <w:qFormat/>
    <w:pPr>
      <w:spacing w:after="57"/>
      <w:ind w:left="2268" w:right="0" w:firstLine="0"/>
    </w:pPr>
    <w:rPr/>
  </w:style>
  <w:style w:type="paragraph" w:styleId="Title">
    <w:name w:val="Title"/>
    <w:basedOn w:val="Normal"/>
    <w:next w:val="Normal"/>
    <w:uiPriority w:val="10"/>
    <w:qFormat/>
    <w:pPr>
      <w:spacing w:before="300" w:after="200"/>
      <w:contextualSpacing/>
    </w:pPr>
    <w:rPr>
      <w:sz w:val="48"/>
      <w:szCs w:val="48"/>
    </w:rPr>
  </w:style>
  <w:style w:type="table" w:styleId="TableGrid">
    <w:name w:val="Table Grid"/>
    <w:uiPriority w:val="59"/>
    <w:qFormat/>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uiPriority w:val="99"/>
    <w:semiHidden/>
    <w:unhideWhenUsed/>
    <w:qFormat/>
    <w:rPr>
      <w:vertAlign w:val="superscript"/>
    </w:rPr>
  </w:style>
  <w:style w:type="character" w:styleId="Hyperlink">
    <w:name w:val="Hyperlink"/>
    <w:uiPriority w:val="99"/>
    <w:unhideWhenUsed/>
    <w:qFormat/>
    <w:rPr>
      <w:color w:val="0000FF" w:themeColor="hyperlink"/>
      <w:u w:val="single"/>
      <w14:textFill>
        <w14:solidFill>
          <w14:schemeClr w14:val="hlink"/>
        </w14:solidFill>
      </w14:textFill>
    </w:rPr>
  </w:style>
  <w:style w:type="character" w:styleId="FootnoteReference">
    <w:name w:val="Footnote Reference"/>
    <w:uiPriority w:val="99"/>
    <w:unhideWhenUsed/>
    <w:qFormat/>
    <w:rPr>
      <w:vertAlign w:val="superscript"/>
    </w:rPr>
  </w:style>
  <w:style w:type="paragraph" w:customStyle="1" w:styleId="目录11">
    <w:name w:val="目录 11"/>
    <w:basedOn w:val="Normal"/>
    <w:next w:val="Normal"/>
    <w:uiPriority w:val="39"/>
    <w:qFormat/>
    <w:pPr>
      <w:spacing w:before="60" w:line="400" w:lineRule="exact"/>
    </w:pPr>
    <w:rPr>
      <w:rFonts w:eastAsia="黑体"/>
    </w:rPr>
  </w:style>
  <w:style w:type="character" w:customStyle="1" w:styleId="Heading6Char">
    <w:name w:val="Heading 6 Char"/>
    <w:link w:val="Heading6"/>
    <w:uiPriority w:val="9"/>
    <w:qFormat/>
    <w:rPr>
      <w:rFonts w:ascii="Arial" w:eastAsia="Arial" w:hAnsi="Arial" w:cs="Arial"/>
      <w:b/>
      <w:bCs/>
      <w:sz w:val="22"/>
      <w:szCs w:val="22"/>
    </w:rPr>
  </w:style>
  <w:style w:type="character" w:customStyle="1" w:styleId="Heading7Char">
    <w:name w:val="Heading 7 Char"/>
    <w:link w:val="Heading7"/>
    <w:uiPriority w:val="9"/>
    <w:qFormat/>
    <w:rPr>
      <w:rFonts w:ascii="Arial" w:eastAsia="Arial" w:hAnsi="Arial" w:cs="Arial"/>
      <w:b/>
      <w:bCs/>
      <w:i/>
      <w:iCs/>
      <w:sz w:val="22"/>
      <w:szCs w:val="22"/>
    </w:rPr>
  </w:style>
  <w:style w:type="character" w:customStyle="1" w:styleId="Heading8Char">
    <w:name w:val="Heading 8 Char"/>
    <w:link w:val="Heading8"/>
    <w:uiPriority w:val="9"/>
    <w:qFormat/>
    <w:rPr>
      <w:rFonts w:ascii="Arial" w:eastAsia="Arial" w:hAnsi="Arial" w:cs="Arial"/>
      <w:i/>
      <w:iCs/>
      <w:sz w:val="22"/>
      <w:szCs w:val="22"/>
    </w:rPr>
  </w:style>
  <w:style w:type="character" w:customStyle="1" w:styleId="Heading9Char">
    <w:name w:val="Heading 9 Char"/>
    <w:link w:val="Heading9"/>
    <w:uiPriority w:val="9"/>
    <w:qFormat/>
    <w:rPr>
      <w:rFonts w:ascii="Arial" w:eastAsia="Arial" w:hAnsi="Arial" w:cs="Arial"/>
      <w:i/>
      <w:iCs/>
      <w:sz w:val="21"/>
      <w:szCs w:val="21"/>
    </w:rPr>
  </w:style>
  <w:style w:type="paragraph" w:styleId="ListParagraph">
    <w:name w:val="List Paragraph"/>
    <w:basedOn w:val="Normal"/>
    <w:uiPriority w:val="34"/>
    <w:qFormat/>
    <w:pPr>
      <w:ind w:left="720"/>
      <w:contextualSpacing/>
    </w:pPr>
    <w:rPr/>
  </w:style>
  <w:style w:type="paragraph" w:styleId="NoSpacing">
    <w:name w:val="No Spacing"/>
    <w:uiPriority w:val="1"/>
    <w:qFormat/>
    <w:pPr>
      <w:spacing w:before="0" w:after="0" w:line="240" w:lineRule="auto"/>
    </w:pPr>
    <w:rPr>
      <w:rFonts w:ascii="Times New Roman" w:eastAsia="宋体" w:hAnsi="Times New Roman" w:cs="Times New Roman" w:hint="default"/>
    </w:rPr>
  </w:style>
  <w:style w:type="character" w:customStyle="1" w:styleId="SubtitleChar">
    <w:name w:val="Subtitle Char"/>
    <w:link w:val="Subtitle"/>
    <w:uiPriority w:val="11"/>
    <w:qFormat/>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qFormat/>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contextualSpacing w:val="0"/>
    </w:pPr>
    <w:rPr>
      <w:i/>
    </w:rPr>
  </w:style>
  <w:style w:type="character" w:customStyle="1" w:styleId="IntenseQuoteChar">
    <w:name w:val="Intense Quote Char"/>
    <w:link w:val="IntenseQuote"/>
    <w:uiPriority w:val="30"/>
    <w:qFormat/>
    <w:rPr>
      <w:i/>
    </w:rPr>
  </w:style>
  <w:style w:type="character" w:customStyle="1" w:styleId="CaptionChar">
    <w:name w:val="Caption Char"/>
    <w:link w:val="Footer"/>
    <w:uiPriority w:val="99"/>
    <w:qFormat/>
    <w:rPr/>
  </w:style>
  <w:style w:type="table" w:customStyle="1" w:styleId="TableGridLight">
    <w:name w:val="Table Grid Light"/>
    <w:uiPriority w:val="59"/>
    <w:qFormat/>
    <w:pPr>
      <w:spacing w:after="0" w:line="240" w:lineRule="auto"/>
    </w:pPr>
    <w:rPr/>
    <w:tblPr>
      <w:tblBorders>
        <w:top w:val="single" w:sz="4" w:space="0" w:color="AEAEAE" w:themeColor="text1" w:themeTint="50"/>
        <w:left w:val="single" w:sz="4" w:space="0" w:color="AEAEAE" w:themeColor="text1" w:themeTint="50"/>
        <w:bottom w:val="single" w:sz="4" w:space="0" w:color="AEAEAE" w:themeColor="text1" w:themeTint="50"/>
        <w:right w:val="single" w:sz="4" w:space="0" w:color="AEAEAE" w:themeColor="text1" w:themeTint="50"/>
        <w:insideH w:val="single" w:sz="4" w:space="0" w:color="AEAEAE" w:themeColor="text1" w:themeTint="50"/>
        <w:insideV w:val="single" w:sz="4" w:space="0" w:color="AEAEAE" w:themeColor="text1" w:themeTint="50"/>
      </w:tblBorders>
      <w:tblCellMar>
        <w:top w:w="0" w:type="dxa"/>
        <w:left w:w="108" w:type="dxa"/>
        <w:bottom w:w="0" w:type="dxa"/>
        <w:right w:w="108" w:type="dxa"/>
      </w:tblCellMar>
    </w:tblPr>
  </w:style>
  <w:style w:type="table" w:customStyle="1" w:styleId="PlainTable1">
    <w:name w:val="Plain Table 1"/>
    <w:uiPriority w:val="59"/>
    <w:qFormat/>
    <w:pPr>
      <w:spacing w:after="0" w:line="240" w:lineRule="auto"/>
    </w:pPr>
    <w:rPr/>
    <w:tblPr>
      <w:tblBorders>
        <w:top w:val="single" w:sz="4" w:space="0" w:color="AEAEAE" w:themeColor="text1" w:themeTint="50"/>
        <w:left w:val="single" w:sz="4" w:space="0" w:color="AEAEAE" w:themeColor="text1" w:themeTint="50"/>
        <w:bottom w:val="single" w:sz="4" w:space="0" w:color="AEAEAE" w:themeColor="text1" w:themeTint="50"/>
        <w:right w:val="single" w:sz="4" w:space="0" w:color="AEAEAE" w:themeColor="text1" w:themeTint="50"/>
        <w:insideH w:val="single" w:sz="4" w:space="0" w:color="AEAEAE" w:themeColor="text1" w:themeTint="50"/>
        <w:insideV w:val="single" w:sz="4" w:space="0" w:color="AEAEAE" w:themeColor="text1" w:themeTint="50"/>
      </w:tblBorders>
      <w:tblCellMar>
        <w:top w:w="0" w:type="dxa"/>
        <w:left w:w="108" w:type="dxa"/>
        <w:bottom w:w="0" w:type="dxa"/>
        <w:right w:w="108" w:type="dxa"/>
      </w:tblCellMar>
    </w:tblPr>
    <w:tblStylePr w:type="band1Horz">
      <w:rPr/>
      <w:tcPr>
        <w:shd w:val="clear" w:color="F1F1F1" w:fill="F1F1F1"/>
      </w:tcPr>
    </w:tblStylePr>
    <w:tblStylePr w:type="band1Vert">
      <w:rPr/>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2">
    <w:name w:val="Plain Table 2"/>
    <w:uiPriority w:val="59"/>
    <w:qFormat/>
    <w:pPr>
      <w:spacing w:after="0" w:line="240" w:lineRule="auto"/>
    </w:pPr>
    <w:rPr/>
    <w:tblPr>
      <w:tblBorders>
        <w:top w:val="single" w:sz="4" w:space="0" w:color="auto" w:themeColor="text1"/>
        <w:left w:val="none" w:sz="0" w:space="0" w:color="auto" w:themeColor="text1"/>
        <w:bottom w:val="single" w:sz="4" w:space="0" w:color="auto" w:themeColor="text1"/>
        <w:right w:val="none" w:sz="0" w:space="0" w:color="auto" w:themeColor="text1"/>
      </w:tblBorders>
      <w:tblCellMar>
        <w:top w:w="0" w:type="dxa"/>
        <w:left w:w="108" w:type="dxa"/>
        <w:bottom w:w="0" w:type="dxa"/>
        <w:right w:w="108" w:type="dxa"/>
      </w:tblCellMar>
    </w:tblPr>
    <w:tblStylePr w:type="band1Horz">
      <w:rPr/>
      <w:tcPr>
        <w:tcBorders>
          <w:top w:val="single" w:sz="4" w:space="0" w:color="auto" w:themeColor="text1"/>
          <w:bottom w:val="single" w:sz="4" w:space="0" w:color="auto" w:themeColor="text1"/>
        </w:tcBorders>
      </w:tcPr>
    </w:tblStylePr>
    <w:tblStylePr w:type="band1Vert">
      <w:rPr/>
      <w:tcPr>
        <w:tcBorders>
          <w:left w:val="single" w:sz="4" w:space="0" w:color="auto" w:themeColor="text1"/>
          <w:right w:val="single" w:sz="4" w:space="0" w:color="auto" w:themeColor="text1"/>
        </w:tcBorders>
      </w:tcPr>
    </w:tblStylePr>
    <w:tblStylePr w:type="band2Vert">
      <w:rPr/>
      <w:tcPr>
        <w:tcBorders>
          <w:left w:val="single" w:sz="4" w:space="0" w:color="auto" w:themeColor="text1"/>
          <w:right w:val="single" w:sz="4" w:space="0" w:color="auto"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text1"/>
          <w:bottom w:val="single" w:sz="4" w:space="0" w:color="auto"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3">
    <w:name w:val="Plain Table 3"/>
    <w:uiPriority w:val="99"/>
    <w:qFormat/>
    <w:pPr>
      <w:spacing w:after="0" w:line="240" w:lineRule="auto"/>
    </w:pPr>
    <w:r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customStyle="1" w:styleId="PlainTable4">
    <w:name w:val="Plain Table 4"/>
    <w:uiPriority w:val="99"/>
    <w:qFormat/>
    <w:pPr>
      <w:spacing w:after="0" w:line="240" w:lineRule="auto"/>
    </w:pPr>
    <w:r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customStyle="1" w:styleId="PlainTable5">
    <w:name w:val="Plain Table 5"/>
    <w:uiPriority w:val="99"/>
    <w:qFormat/>
    <w:pPr>
      <w:spacing w:after="0" w:line="240" w:lineRule="auto"/>
    </w:pPr>
    <w:r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customStyle="1" w:styleId="GridTable1Light">
    <w:name w:val="Grid Table 1 Light"/>
    <w:uiPriority w:val="99"/>
    <w:qFormat/>
    <w:pPr>
      <w:spacing w:after="0" w:line="240" w:lineRule="auto"/>
    </w:pPr>
    <w:rPr/>
    <w:tblPr>
      <w:tbl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insideH w:val="single" w:sz="4" w:space="0" w:color="979797" w:themeColor="text1" w:themeTint="67"/>
        <w:insideV w:val="single" w:sz="4" w:space="0" w:color="979797" w:themeColor="text1" w:themeTint="67"/>
      </w:tblBorders>
    </w:tblPr>
    <w:tblStylePr w:type="band1Horz">
      <w:rPr>
        <w:rFonts w:ascii="Arial" w:hAnsi="Arial"/>
        <w:color w:val="404040"/>
        <w:sz w:val="22"/>
      </w:rPr>
      <w:tcPr>
        <w:tc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tcBorders>
      </w:tcPr>
    </w:tblStylePr>
    <w:tblStylePr w:type="firstCol">
      <w:rPr>
        <w:b/>
        <w:color w:val="404040"/>
      </w:rPr>
    </w:tblStylePr>
    <w:tblStylePr w:type="firstRow">
      <w:rPr>
        <w:b/>
        <w:color w:val="404040"/>
      </w:rPr>
      <w:tcPr>
        <w:tcBorders>
          <w:bottom w:val="single" w:sz="12" w:space="0" w:color="696969" w:themeColor="text1" w:themeTint="95"/>
        </w:tcBorders>
      </w:tcPr>
    </w:tblStylePr>
    <w:tblStylePr w:type="lastCol">
      <w:rPr>
        <w:b/>
        <w:color w:val="404040"/>
      </w:rPr>
    </w:tblStylePr>
    <w:tblStylePr w:type="lastRow">
      <w:rPr>
        <w:b/>
        <w:color w:val="404040"/>
      </w:rPr>
    </w:tblStylePr>
  </w:style>
  <w:style w:type="table" w:customStyle="1" w:styleId="GridTable1Light-Accent1">
    <w:name w:val="Grid Table 1 Light - Accent 1"/>
    <w:uiPriority w:val="99"/>
    <w:qFormat/>
    <w:pPr>
      <w:spacing w:after="0" w:line="240" w:lineRule="auto"/>
    </w:pPr>
    <w:rPr/>
    <w:tblPr>
      <w:tbl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insideH w:val="single" w:sz="4" w:space="0" w:color="B7CCE4" w:themeColor="accent1" w:themeTint="67"/>
        <w:insideV w:val="single" w:sz="4" w:space="0" w:color="B7CCE4" w:themeColor="accent1" w:themeTint="67"/>
      </w:tblBorders>
    </w:tblPr>
    <w:tblStylePr w:type="band1Horz">
      <w:rPr>
        <w:rFonts w:ascii="Arial" w:hAnsi="Arial"/>
        <w:color w:val="404040"/>
        <w:sz w:val="22"/>
      </w:rPr>
      <w:tcPr>
        <w:tc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tcBorders>
      </w:tcPr>
    </w:tblStylePr>
    <w:tblStylePr w:type="firstCol">
      <w:rPr>
        <w:b/>
        <w:color w:val="404040"/>
      </w:rPr>
    </w:tblStylePr>
    <w:tblStylePr w:type="firstRow">
      <w:rPr>
        <w:b/>
        <w:color w:val="404040"/>
      </w:rPr>
      <w:tcPr>
        <w:tcBorders>
          <w:bottom w:val="single" w:sz="12" w:space="0" w:color="98B5D8" w:themeColor="accent1" w:themeTint="95"/>
        </w:tcBorders>
      </w:tcPr>
    </w:tblStylePr>
    <w:tblStylePr w:type="lastCol">
      <w:rPr>
        <w:b/>
        <w:color w:val="404040"/>
      </w:rPr>
    </w:tblStylePr>
    <w:tblStylePr w:type="lastRow">
      <w:rPr>
        <w:b/>
        <w:color w:val="404040"/>
      </w:rPr>
    </w:tblStylePr>
  </w:style>
  <w:style w:type="table" w:customStyle="1" w:styleId="GridTable1Light-Accent2">
    <w:name w:val="Grid Table 1 Light - Accent 2"/>
    <w:uiPriority w:val="99"/>
    <w:qFormat/>
    <w:pPr>
      <w:spacing w:after="0" w:line="240" w:lineRule="auto"/>
    </w:pPr>
    <w:rPr/>
    <w:tblPr>
      <w:tbl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insideH w:val="single" w:sz="4" w:space="0" w:color="E5B8B7" w:themeColor="accent2" w:themeTint="67"/>
        <w:insideV w:val="single" w:sz="4" w:space="0" w:color="E5B8B7" w:themeColor="accent2" w:themeTint="67"/>
      </w:tblBorders>
    </w:tblPr>
    <w:tblStylePr w:type="band1Horz">
      <w:rPr>
        <w:rFonts w:ascii="Arial" w:hAnsi="Arial"/>
        <w:color w:val="404040"/>
        <w:sz w:val="22"/>
      </w:rPr>
      <w:tcPr>
        <w:tc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tcBorders>
      </w:tcPr>
    </w:tblStylePr>
    <w:tblStylePr w:type="firstCol">
      <w:rPr>
        <w:b/>
        <w:color w:val="404040"/>
      </w:rPr>
    </w:tblStylePr>
    <w:tblStylePr w:type="firstRow">
      <w:rPr>
        <w:b/>
        <w:color w:val="404040"/>
      </w:rPr>
      <w:tcPr>
        <w:tcBorders>
          <w:bottom w:val="single" w:sz="12" w:space="0" w:color="DA9896" w:themeColor="accent2" w:themeTint="95"/>
        </w:tcBorders>
      </w:tcPr>
    </w:tblStylePr>
    <w:tblStylePr w:type="lastCol">
      <w:rPr>
        <w:b/>
        <w:color w:val="404040"/>
      </w:rPr>
    </w:tblStylePr>
    <w:tblStylePr w:type="lastRow">
      <w:rPr>
        <w:b/>
        <w:color w:val="404040"/>
      </w:rPr>
    </w:tblStylePr>
  </w:style>
  <w:style w:type="table" w:customStyle="1" w:styleId="GridTable1Light-Accent3">
    <w:name w:val="Grid Table 1 Light - Accent 3"/>
    <w:uiPriority w:val="99"/>
    <w:qFormat/>
    <w:pPr>
      <w:spacing w:after="0" w:line="240" w:lineRule="auto"/>
    </w:pPr>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band1Horz">
      <w:rPr>
        <w:rFonts w:ascii="Arial" w:hAnsi="Arial"/>
        <w:color w:val="404040"/>
        <w:sz w:val="22"/>
      </w: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tblStylePr w:type="firstCol">
      <w:rPr>
        <w:b/>
        <w:color w:val="404040"/>
      </w:rPr>
    </w:tblStylePr>
    <w:tblStylePr w:type="firstRow">
      <w:rPr>
        <w:b/>
        <w:color w:val="404040"/>
      </w:rPr>
      <w:tcPr>
        <w:tcBorders>
          <w:bottom w:val="single" w:sz="12" w:space="0" w:color="C4D79E" w:themeColor="accent3" w:themeTint="95"/>
        </w:tcBorders>
      </w:tcPr>
    </w:tblStylePr>
    <w:tblStylePr w:type="lastCol">
      <w:rPr>
        <w:b/>
        <w:color w:val="404040"/>
      </w:rPr>
    </w:tblStylePr>
    <w:tblStylePr w:type="lastRow">
      <w:rPr>
        <w:b/>
        <w:color w:val="404040"/>
      </w:rPr>
    </w:tblStylePr>
  </w:style>
  <w:style w:type="table" w:customStyle="1" w:styleId="GridTable1Light-Accent4">
    <w:name w:val="Grid Table 1 Light - Accent 4"/>
    <w:uiPriority w:val="99"/>
    <w:qFormat/>
    <w:pPr>
      <w:spacing w:after="0" w:line="240" w:lineRule="auto"/>
    </w:pPr>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band1Horz">
      <w:rPr>
        <w:rFonts w:ascii="Arial" w:hAnsi="Arial"/>
        <w:color w:val="404040"/>
        <w:sz w:val="22"/>
      </w: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tblStylePr w:type="firstCol">
      <w:rPr>
        <w:b/>
        <w:color w:val="404040"/>
      </w:rPr>
    </w:tblStylePr>
    <w:tblStylePr w:type="firstRow">
      <w:rPr>
        <w:b/>
        <w:color w:val="404040"/>
      </w:rPr>
      <w:tcPr>
        <w:tcBorders>
          <w:bottom w:val="single" w:sz="12" w:space="0" w:color="B4A4C8" w:themeColor="accent4" w:themeTint="95"/>
        </w:tcBorders>
      </w:tcPr>
    </w:tblStylePr>
    <w:tblStylePr w:type="lastCol">
      <w:rPr>
        <w:b/>
        <w:color w:val="404040"/>
      </w:rPr>
    </w:tblStylePr>
    <w:tblStylePr w:type="lastRow">
      <w:rPr>
        <w:b/>
        <w:color w:val="404040"/>
      </w:rPr>
    </w:tblStylePr>
  </w:style>
  <w:style w:type="table" w:customStyle="1" w:styleId="GridTable1Light-Accent5">
    <w:name w:val="Grid Table 1 Light - Accent 5"/>
    <w:uiPriority w:val="99"/>
    <w:qFormat/>
    <w:pPr>
      <w:spacing w:after="0" w:line="240" w:lineRule="auto"/>
    </w:pPr>
    <w:rPr/>
    <w:tblPr>
      <w:tbl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insideH w:val="single" w:sz="4" w:space="0" w:color="B6DDE7" w:themeColor="accent5" w:themeTint="67"/>
        <w:insideV w:val="single" w:sz="4" w:space="0" w:color="B6DDE7" w:themeColor="accent5" w:themeTint="67"/>
      </w:tblBorders>
    </w:tblPr>
    <w:tblStylePr w:type="band1Horz">
      <w:rPr>
        <w:rFonts w:ascii="Arial" w:hAnsi="Arial"/>
        <w:color w:val="404040"/>
        <w:sz w:val="22"/>
      </w:rPr>
      <w:tcPr>
        <w:tc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tcBorders>
      </w:tcPr>
    </w:tblStylePr>
    <w:tblStylePr w:type="firstCol">
      <w:rPr>
        <w:b/>
        <w:color w:val="404040"/>
      </w:rPr>
    </w:tblStylePr>
    <w:tblStylePr w:type="firstRow">
      <w:rPr>
        <w:b/>
        <w:color w:val="404040"/>
      </w:rPr>
      <w:tcPr>
        <w:tcBorders>
          <w:bottom w:val="single" w:sz="12" w:space="0" w:color="95CEDD" w:themeColor="accent5" w:themeTint="95"/>
        </w:tcBorders>
      </w:tcPr>
    </w:tblStylePr>
    <w:tblStylePr w:type="lastCol">
      <w:rPr>
        <w:b/>
        <w:color w:val="404040"/>
      </w:rPr>
    </w:tblStylePr>
    <w:tblStylePr w:type="lastRow">
      <w:rPr>
        <w:b/>
        <w:color w:val="404040"/>
      </w:rPr>
    </w:tblStylePr>
  </w:style>
  <w:style w:type="table" w:customStyle="1" w:styleId="GridTable1Light-Accent6">
    <w:name w:val="Grid Table 1 Light - Accent 6"/>
    <w:uiPriority w:val="99"/>
    <w:qFormat/>
    <w:pPr>
      <w:spacing w:after="0" w:line="240" w:lineRule="auto"/>
    </w:pPr>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band1Horz">
      <w:rPr>
        <w:rFonts w:ascii="Arial" w:hAnsi="Arial"/>
        <w:color w:val="404040"/>
        <w:sz w:val="22"/>
      </w: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tblStylePr w:type="firstCol">
      <w:rPr>
        <w:b/>
        <w:color w:val="404040"/>
      </w:rPr>
    </w:tblStylePr>
    <w:tblStylePr w:type="firstRow">
      <w:rPr>
        <w:b/>
        <w:color w:val="404040"/>
      </w:rPr>
      <w:tcPr>
        <w:tcBorders>
          <w:bottom w:val="single" w:sz="12" w:space="0" w:color="FAC192" w:themeColor="accent6" w:themeTint="95"/>
        </w:tcBorders>
      </w:tcPr>
    </w:tblStylePr>
    <w:tblStylePr w:type="lastCol">
      <w:rPr>
        <w:b/>
        <w:color w:val="404040"/>
      </w:rPr>
    </w:tblStylePr>
    <w:tblStylePr w:type="lastRow">
      <w:rPr>
        <w:b/>
        <w:color w:val="404040"/>
      </w:rPr>
    </w:tblStylePr>
  </w:style>
  <w:style w:type="table" w:customStyle="1" w:styleId="GridTable2">
    <w:name w:val="Grid Table 2"/>
    <w:uiPriority w:val="99"/>
    <w:qFormat/>
    <w:pPr>
      <w:spacing w:after="0" w:line="240" w:lineRule="auto"/>
    </w:pPr>
    <w:rPr/>
    <w:tblPr>
      <w:tblBorders>
        <w:bottom w:val="single" w:sz="4" w:space="0" w:color="696969" w:themeColor="text1" w:themeTint="95"/>
        <w:insideH w:val="single" w:sz="4" w:space="0" w:color="696969" w:themeColor="text1" w:themeTint="95"/>
        <w:insideV w:val="single" w:sz="4" w:space="0" w:color="696969" w:themeColor="text1" w:themeTint="95"/>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tcBorders>
          <w:top w:val="none" w:sz="0" w:space="0" w:color="auto"/>
          <w:left w:val="none" w:sz="0" w:space="0" w:color="auto"/>
          <w:bottom w:val="single" w:sz="12" w:space="0" w:color="696969" w:themeColor="text1" w:themeTint="9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696969" w:themeColor="text1" w:themeTint="95"/>
          <w:left w:val="none" w:sz="0" w:space="0" w:color="auto"/>
          <w:bottom w:val="none" w:sz="0" w:space="0" w:color="auto"/>
          <w:right w:val="none" w:sz="0" w:space="0" w:color="auto"/>
        </w:tcBorders>
        <w:shd w:val="clear" w:color="FFFFFF" w:fill="auto"/>
      </w:tcPr>
    </w:tblStylePr>
  </w:style>
  <w:style w:type="table" w:customStyle="1" w:styleId="GridTable2-Accent1">
    <w:name w:val="Grid Table 2 - Accent 1"/>
    <w:uiPriority w:val="99"/>
    <w:qFormat/>
    <w:pPr>
      <w:spacing w:after="0" w:line="240" w:lineRule="auto"/>
    </w:pPr>
    <w:rPr/>
    <w:tblPr>
      <w:tblBorders>
        <w:bottom w:val="single" w:sz="4" w:space="0" w:color="5D8BC2" w:themeColor="accent1" w:themeTint="EA"/>
        <w:insideH w:val="single" w:sz="4" w:space="0" w:color="5D8BC2" w:themeColor="accent1" w:themeTint="EA"/>
        <w:insideV w:val="single" w:sz="4" w:space="0" w:color="5D8BC2" w:themeColor="accent1" w:themeTint="EA"/>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tcBorders>
          <w:top w:val="none" w:sz="0" w:space="0" w:color="auto"/>
          <w:left w:val="none" w:sz="0" w:space="0" w:color="auto"/>
          <w:bottom w:val="single" w:sz="12" w:space="0" w:color="5D8BC2" w:themeColor="accent1" w:themeTint="E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5D8BC2" w:themeColor="accent1" w:themeTint="EA"/>
          <w:left w:val="none" w:sz="0" w:space="0" w:color="auto"/>
          <w:bottom w:val="none" w:sz="0" w:space="0" w:color="auto"/>
          <w:right w:val="none" w:sz="0" w:space="0" w:color="auto"/>
        </w:tcBorders>
        <w:shd w:val="clear" w:color="FFFFFF" w:fill="auto"/>
      </w:tcPr>
    </w:tblStylePr>
  </w:style>
  <w:style w:type="table" w:customStyle="1" w:styleId="GridTable2-Accent2">
    <w:name w:val="Grid Table 2 - Accent 2"/>
    <w:uiPriority w:val="99"/>
    <w:qFormat/>
    <w:pPr>
      <w:spacing w:after="0" w:line="240" w:lineRule="auto"/>
    </w:pPr>
    <w:rPr/>
    <w:tblPr>
      <w:tblBorders>
        <w:bottom w:val="single" w:sz="4" w:space="0" w:color="D99795" w:themeColor="accent2" w:themeTint="97"/>
        <w:insideH w:val="single" w:sz="4" w:space="0" w:color="D99795" w:themeColor="accent2" w:themeTint="97"/>
        <w:insideV w:val="single" w:sz="4" w:space="0" w:color="D99795" w:themeColor="accent2" w:themeTint="97"/>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tcBorders>
          <w:top w:val="none" w:sz="0" w:space="0" w:color="auto"/>
          <w:left w:val="none" w:sz="0" w:space="0" w:color="auto"/>
          <w:bottom w:val="single" w:sz="12" w:space="0" w:color="D99795" w:themeColor="accent2" w:themeTint="97"/>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D99795" w:themeColor="accent2" w:themeTint="97"/>
          <w:left w:val="none" w:sz="0" w:space="0" w:color="auto"/>
          <w:bottom w:val="none" w:sz="0" w:space="0" w:color="auto"/>
          <w:right w:val="none" w:sz="0" w:space="0" w:color="auto"/>
        </w:tcBorders>
        <w:shd w:val="clear" w:color="FFFFFF" w:fill="auto"/>
      </w:tcPr>
    </w:tblStylePr>
  </w:style>
  <w:style w:type="table" w:customStyle="1" w:styleId="GridTable2-Accent3">
    <w:name w:val="Grid Table 2 - Accent 3"/>
    <w:uiPriority w:val="99"/>
    <w:qFormat/>
    <w:pPr>
      <w:spacing w:after="0" w:line="240" w:lineRule="auto"/>
    </w:pPr>
    <w:rPr/>
    <w:tblPr>
      <w:tblBorders>
        <w:bottom w:val="single" w:sz="4" w:space="0" w:color="9BBB59" w:themeColor="accent3" w:themeTint="FE"/>
        <w:insideH w:val="single" w:sz="4" w:space="0" w:color="9BBB59" w:themeColor="accent3" w:themeTint="FE"/>
        <w:insideV w:val="single" w:sz="4" w:space="0" w:color="9BBB59" w:themeColor="accent3" w:themeTint="FE"/>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tcBorders>
          <w:top w:val="none" w:sz="0" w:space="0" w:color="auto"/>
          <w:left w:val="none" w:sz="0" w:space="0" w:color="auto"/>
          <w:bottom w:val="single" w:sz="12" w:space="0" w:color="9BBB59" w:themeColor="accent3" w:themeTint="FE"/>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9BBB59" w:themeColor="accent3" w:themeTint="FE"/>
          <w:left w:val="none" w:sz="0" w:space="0" w:color="auto"/>
          <w:bottom w:val="none" w:sz="0" w:space="0" w:color="auto"/>
          <w:right w:val="none" w:sz="0" w:space="0" w:color="auto"/>
        </w:tcBorders>
        <w:shd w:val="clear" w:color="FFFFFF" w:fill="auto"/>
      </w:tcPr>
    </w:tblStylePr>
  </w:style>
  <w:style w:type="table" w:customStyle="1" w:styleId="GridTable2-Accent4">
    <w:name w:val="Grid Table 2 - Accent 4"/>
    <w:uiPriority w:val="99"/>
    <w:qFormat/>
    <w:pPr>
      <w:spacing w:after="0" w:line="240" w:lineRule="auto"/>
    </w:pPr>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tcBorders>
          <w:top w:val="none" w:sz="0" w:space="0" w:color="auto"/>
          <w:left w:val="none" w:sz="0" w:space="0" w:color="auto"/>
          <w:bottom w:val="single" w:sz="12" w:space="0" w:color="B2A1C6" w:themeColor="accent4" w:themeTint="9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B2A1C6" w:themeColor="accent4" w:themeTint="9A"/>
          <w:left w:val="none" w:sz="0" w:space="0" w:color="auto"/>
          <w:bottom w:val="none" w:sz="0" w:space="0" w:color="auto"/>
          <w:right w:val="none" w:sz="0" w:space="0" w:color="auto"/>
        </w:tcBorders>
        <w:shd w:val="clear" w:color="FFFFFF" w:fill="auto"/>
      </w:tcPr>
    </w:tblStylePr>
  </w:style>
  <w:style w:type="table" w:customStyle="1" w:styleId="GridTable2-Accent5">
    <w:name w:val="Grid Table 2 - Accent 5"/>
    <w:uiPriority w:val="99"/>
    <w:qFormat/>
    <w:pPr>
      <w:spacing w:after="0" w:line="240" w:lineRule="auto"/>
    </w:pPr>
    <w:rPr/>
    <w:tblPr>
      <w:tblBorders>
        <w:bottom w:val="single" w:sz="4" w:space="0" w:color="4BACC6" w:themeColor="accent5"/>
        <w:insideH w:val="single" w:sz="4" w:space="0" w:color="4BACC6" w:themeColor="accent5"/>
        <w:insideV w:val="single" w:sz="4" w:space="0" w:color="4BACC6" w:themeColor="accent5"/>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tcBorders>
          <w:top w:val="none" w:sz="0" w:space="0" w:color="auto"/>
          <w:left w:val="none" w:sz="0" w:space="0" w:color="auto"/>
          <w:bottom w:val="single" w:sz="12" w:space="0" w:color="4BACC6" w:themeColor="accent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4BACC6" w:themeColor="accent5"/>
          <w:left w:val="none" w:sz="0" w:space="0" w:color="auto"/>
          <w:bottom w:val="none" w:sz="0" w:space="0" w:color="auto"/>
          <w:right w:val="none" w:sz="0" w:space="0" w:color="auto"/>
        </w:tcBorders>
        <w:shd w:val="clear" w:color="FFFFFF" w:fill="auto"/>
      </w:tcPr>
    </w:tblStylePr>
  </w:style>
  <w:style w:type="table" w:customStyle="1" w:styleId="GridTable2-Accent6">
    <w:name w:val="Grid Table 2 - Accent 6"/>
    <w:uiPriority w:val="99"/>
    <w:qFormat/>
    <w:pPr>
      <w:spacing w:after="0" w:line="240" w:lineRule="auto"/>
    </w:pPr>
    <w:rPr/>
    <w:tblPr>
      <w:tblBorders>
        <w:bottom w:val="single" w:sz="4" w:space="0" w:color="F79646" w:themeColor="accent6"/>
        <w:insideH w:val="single" w:sz="4" w:space="0" w:color="F79646" w:themeColor="accent6"/>
        <w:insideV w:val="single" w:sz="4" w:space="0" w:color="F79646" w:themeColor="accent6"/>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tcBorders>
          <w:top w:val="none" w:sz="0" w:space="0" w:color="auto"/>
          <w:left w:val="none" w:sz="0" w:space="0" w:color="auto"/>
          <w:bottom w:val="single" w:sz="12" w:space="0" w:color="F79646" w:themeColor="accent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F79646" w:themeColor="accent6"/>
          <w:left w:val="none" w:sz="0" w:space="0" w:color="auto"/>
          <w:bottom w:val="none" w:sz="0" w:space="0" w:color="auto"/>
          <w:right w:val="none" w:sz="0" w:space="0" w:color="auto"/>
        </w:tcBorders>
        <w:shd w:val="clear" w:color="FFFFFF" w:fill="auto"/>
      </w:tcPr>
    </w:tblStylePr>
  </w:style>
  <w:style w:type="table" w:customStyle="1" w:styleId="GridTable3">
    <w:name w:val="Grid Table 3"/>
    <w:uiPriority w:val="99"/>
    <w:qFormat/>
    <w:pPr>
      <w:spacing w:after="0" w:line="240" w:lineRule="auto"/>
    </w:pPr>
    <w:rPr/>
    <w:tblPr>
      <w:tblBorders>
        <w:bottom w:val="single" w:sz="4" w:space="0" w:color="696969" w:themeColor="text1" w:themeTint="95"/>
        <w:insideH w:val="single" w:sz="4" w:space="0" w:color="696969" w:themeColor="text1" w:themeTint="95"/>
        <w:insideV w:val="single" w:sz="4" w:space="0" w:color="696969" w:themeColor="text1" w:themeTint="95"/>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1">
    <w:name w:val="Grid Table 3 - Accent 1"/>
    <w:uiPriority w:val="99"/>
    <w:qFormat/>
    <w:pPr>
      <w:spacing w:after="0" w:line="240" w:lineRule="auto"/>
    </w:pPr>
    <w:rPr/>
    <w:tblPr>
      <w:tblBorders>
        <w:bottom w:val="single" w:sz="4" w:space="0" w:color="5D8BC2" w:themeColor="accent1" w:themeTint="EA"/>
        <w:insideH w:val="single" w:sz="4" w:space="0" w:color="5D8BC2" w:themeColor="accent1" w:themeTint="EA"/>
        <w:insideV w:val="single" w:sz="4" w:space="0" w:color="5D8BC2" w:themeColor="accent1" w:themeTint="EA"/>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2">
    <w:name w:val="Grid Table 3 - Accent 2"/>
    <w:uiPriority w:val="99"/>
    <w:qFormat/>
    <w:pPr>
      <w:spacing w:after="0" w:line="240" w:lineRule="auto"/>
    </w:pPr>
    <w:rPr/>
    <w:tblPr>
      <w:tblBorders>
        <w:bottom w:val="single" w:sz="4" w:space="0" w:color="D99795" w:themeColor="accent2" w:themeTint="97"/>
        <w:insideH w:val="single" w:sz="4" w:space="0" w:color="D99795" w:themeColor="accent2" w:themeTint="97"/>
        <w:insideV w:val="single" w:sz="4" w:space="0" w:color="D99795" w:themeColor="accent2" w:themeTint="97"/>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3">
    <w:name w:val="Grid Table 3 - Accent 3"/>
    <w:uiPriority w:val="99"/>
    <w:qFormat/>
    <w:pPr>
      <w:spacing w:after="0" w:line="240" w:lineRule="auto"/>
    </w:pPr>
    <w:rPr/>
    <w:tblPr>
      <w:tblBorders>
        <w:bottom w:val="single" w:sz="4" w:space="0" w:color="9BBB59" w:themeColor="accent3" w:themeTint="FE"/>
        <w:insideH w:val="single" w:sz="4" w:space="0" w:color="9BBB59" w:themeColor="accent3" w:themeTint="FE"/>
        <w:insideV w:val="single" w:sz="4" w:space="0" w:color="9BBB59" w:themeColor="accent3" w:themeTint="FE"/>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4">
    <w:name w:val="Grid Table 3 - Accent 4"/>
    <w:uiPriority w:val="99"/>
    <w:qFormat/>
    <w:pPr>
      <w:spacing w:after="0" w:line="240" w:lineRule="auto"/>
    </w:pPr>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5">
    <w:name w:val="Grid Table 3 - Accent 5"/>
    <w:uiPriority w:val="99"/>
    <w:qFormat/>
    <w:pPr>
      <w:spacing w:after="0" w:line="240" w:lineRule="auto"/>
    </w:pPr>
    <w:rPr/>
    <w:tblPr>
      <w:tblBorders>
        <w:bottom w:val="single" w:sz="4" w:space="0" w:color="4BACC6" w:themeColor="accent5"/>
        <w:insideH w:val="single" w:sz="4" w:space="0" w:color="4BACC6" w:themeColor="accent5"/>
        <w:insideV w:val="single" w:sz="4" w:space="0" w:color="4BACC6" w:themeColor="accent5"/>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6">
    <w:name w:val="Grid Table 3 - Accent 6"/>
    <w:uiPriority w:val="99"/>
    <w:qFormat/>
    <w:pPr>
      <w:spacing w:after="0" w:line="240" w:lineRule="auto"/>
    </w:pPr>
    <w:rPr/>
    <w:tblPr>
      <w:tblBorders>
        <w:bottom w:val="single" w:sz="4" w:space="0" w:color="F79646" w:themeColor="accent6"/>
        <w:insideH w:val="single" w:sz="4" w:space="0" w:color="F79646" w:themeColor="accent6"/>
        <w:insideV w:val="single" w:sz="4" w:space="0" w:color="F79646" w:themeColor="accent6"/>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4">
    <w:name w:val="Grid Table 4"/>
    <w:uiPriority w:val="59"/>
    <w:qFormat/>
    <w:pPr>
      <w:spacing w:after="0" w:line="240" w:lineRule="auto"/>
    </w:pPr>
    <w:rPr/>
    <w:tblPr>
      <w:tblBorders>
        <w:top w:val="single" w:sz="4" w:space="0" w:color="6E6E6E" w:themeColor="text1" w:themeTint="90"/>
        <w:left w:val="single" w:sz="4" w:space="0" w:color="6E6E6E" w:themeColor="text1" w:themeTint="90"/>
        <w:bottom w:val="single" w:sz="4" w:space="0" w:color="6E6E6E" w:themeColor="text1" w:themeTint="90"/>
        <w:right w:val="single" w:sz="4" w:space="0" w:color="6E6E6E" w:themeColor="text1" w:themeTint="90"/>
        <w:insideH w:val="single" w:sz="4" w:space="0" w:color="6E6E6E" w:themeColor="text1" w:themeTint="90"/>
        <w:insideV w:val="single" w:sz="4" w:space="0" w:color="6E6E6E" w:themeColor="text1" w:themeTint="9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tcBorders>
          <w:top w:val="single" w:sz="4" w:space="0" w:color="auto" w:themeColor="text1"/>
          <w:left w:val="single" w:sz="4" w:space="0" w:color="auto" w:themeColor="text1"/>
          <w:bottom w:val="single" w:sz="4" w:space="0" w:color="auto" w:themeColor="text1"/>
          <w:right w:val="single" w:sz="4" w:space="0" w:color="auto" w:themeColor="text1"/>
        </w:tcBorders>
        <w:shd w:val="clear" w:color="000000" w:fill="000000"/>
      </w:tcPr>
    </w:tblStylePr>
    <w:tblStylePr w:type="lastCol">
      <w:rPr>
        <w:b/>
        <w:color w:val="404040"/>
      </w:rPr>
    </w:tblStylePr>
    <w:tblStylePr w:type="lastRow">
      <w:rPr>
        <w:b/>
        <w:color w:val="404040"/>
      </w:rPr>
      <w:tcPr>
        <w:tcBorders>
          <w:top w:val="single" w:sz="4" w:space="0" w:color="auto" w:themeColor="text1"/>
        </w:tcBorders>
      </w:tcPr>
    </w:tblStylePr>
  </w:style>
  <w:style w:type="table" w:customStyle="1" w:styleId="GridTable4-Accent1">
    <w:name w:val="Grid Table 4 - Accent 1"/>
    <w:uiPriority w:val="59"/>
    <w:qFormat/>
    <w:pPr>
      <w:spacing w:after="0" w:line="240" w:lineRule="auto"/>
    </w:pPr>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tcBorders>
          <w:top w:val="single" w:sz="4" w:space="0" w:color="5D8BC2" w:themeColor="accent1" w:themeTint="EA"/>
          <w:left w:val="single" w:sz="4" w:space="0" w:color="5D8BC2" w:themeColor="accent1" w:themeTint="EA"/>
          <w:bottom w:val="single" w:sz="4" w:space="0" w:color="5D8BC2" w:themeColor="accent1" w:themeTint="EA"/>
          <w:right w:val="single" w:sz="4" w:space="0" w:color="5D8BC2" w:themeColor="accent1" w:themeTint="EA"/>
        </w:tcBorders>
        <w:shd w:val="clear" w:color="5D8BC2" w:fill="5D8BC2"/>
      </w:tcPr>
    </w:tblStylePr>
    <w:tblStylePr w:type="lastCol">
      <w:rPr>
        <w:b/>
        <w:color w:val="404040"/>
      </w:rPr>
    </w:tblStylePr>
    <w:tblStylePr w:type="lastRow">
      <w:rPr>
        <w:b/>
        <w:color w:val="404040"/>
      </w:rPr>
      <w:tcPr>
        <w:tcBorders>
          <w:top w:val="single" w:sz="4" w:space="0" w:color="5D8BC2" w:themeColor="accent1" w:themeTint="EA"/>
        </w:tcBorders>
      </w:tcPr>
    </w:tblStylePr>
  </w:style>
  <w:style w:type="table" w:customStyle="1" w:styleId="GridTable4-Accent2">
    <w:name w:val="Grid Table 4 - Accent 2"/>
    <w:uiPriority w:val="59"/>
    <w:qFormat/>
    <w:pPr>
      <w:spacing w:after="0" w:line="240" w:lineRule="auto"/>
    </w:pPr>
    <w:rPr/>
    <w:tblPr>
      <w:tblBorders>
        <w:top w:val="single" w:sz="4" w:space="0" w:color="DB9C9A" w:themeColor="accent2" w:themeTint="90"/>
        <w:left w:val="single" w:sz="4" w:space="0" w:color="DB9C9A" w:themeColor="accent2" w:themeTint="90"/>
        <w:bottom w:val="single" w:sz="4" w:space="0" w:color="DB9C9A" w:themeColor="accent2" w:themeTint="90"/>
        <w:right w:val="single" w:sz="4" w:space="0" w:color="DB9C9A" w:themeColor="accent2" w:themeTint="90"/>
        <w:insideH w:val="single" w:sz="4" w:space="0" w:color="DB9C9A" w:themeColor="accent2" w:themeTint="90"/>
        <w:insideV w:val="single" w:sz="4" w:space="0" w:color="DB9C9A" w:themeColor="accent2" w:themeTint="9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tc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tcBorders>
        <w:shd w:val="clear" w:color="D99795" w:fill="D99795"/>
      </w:tcPr>
    </w:tblStylePr>
    <w:tblStylePr w:type="lastCol">
      <w:rPr>
        <w:b/>
        <w:color w:val="404040"/>
      </w:rPr>
    </w:tblStylePr>
    <w:tblStylePr w:type="lastRow">
      <w:rPr>
        <w:b/>
        <w:color w:val="404040"/>
      </w:rPr>
      <w:tcPr>
        <w:tcBorders>
          <w:top w:val="single" w:sz="4" w:space="0" w:color="D99795" w:themeColor="accent2" w:themeTint="97"/>
        </w:tcBorders>
      </w:tcPr>
    </w:tblStylePr>
  </w:style>
  <w:style w:type="table" w:customStyle="1" w:styleId="GridTable4-Accent3">
    <w:name w:val="Grid Table 4 - Accent 3"/>
    <w:uiPriority w:val="59"/>
    <w:qFormat/>
    <w:pPr>
      <w:spacing w:after="0" w:line="240" w:lineRule="auto"/>
    </w:pPr>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tcBorders>
          <w:top w:val="single" w:sz="4" w:space="0" w:color="9BBB59" w:themeColor="accent3" w:themeTint="FE"/>
          <w:left w:val="single" w:sz="4" w:space="0" w:color="9BBB59" w:themeColor="accent3" w:themeTint="FE"/>
          <w:bottom w:val="single" w:sz="4" w:space="0" w:color="9BBB59" w:themeColor="accent3" w:themeTint="FE"/>
          <w:right w:val="single" w:sz="4" w:space="0" w:color="9BBB59" w:themeColor="accent3" w:themeTint="FE"/>
        </w:tcBorders>
        <w:shd w:val="clear" w:color="9BBB59" w:fill="9BBB59"/>
      </w:tcPr>
    </w:tblStylePr>
    <w:tblStylePr w:type="lastCol">
      <w:rPr>
        <w:b/>
        <w:color w:val="404040"/>
      </w:rPr>
    </w:tblStylePr>
    <w:tblStylePr w:type="lastRow">
      <w:rPr>
        <w:b/>
        <w:color w:val="404040"/>
      </w:rPr>
      <w:tcPr>
        <w:tcBorders>
          <w:top w:val="single" w:sz="4" w:space="0" w:color="9BBB59" w:themeColor="accent3" w:themeTint="FE"/>
        </w:tcBorders>
      </w:tcPr>
    </w:tblStylePr>
  </w:style>
  <w:style w:type="table" w:customStyle="1" w:styleId="GridTable4-Accent4">
    <w:name w:val="Grid Table 4 - Accent 4"/>
    <w:uiPriority w:val="59"/>
    <w:qFormat/>
    <w:pPr>
      <w:spacing w:after="0" w:line="240" w:lineRule="auto"/>
    </w:pPr>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fill="B2A1C6"/>
      </w:tcPr>
    </w:tblStylePr>
    <w:tblStylePr w:type="lastCol">
      <w:rPr>
        <w:b/>
        <w:color w:val="404040"/>
      </w:rPr>
    </w:tblStylePr>
    <w:tblStylePr w:type="lastRow">
      <w:rPr>
        <w:b/>
        <w:color w:val="404040"/>
      </w:rPr>
      <w:tcPr>
        <w:tcBorders>
          <w:top w:val="single" w:sz="4" w:space="0" w:color="B2A1C6" w:themeColor="accent4" w:themeTint="9A"/>
        </w:tcBorders>
      </w:tcPr>
    </w:tblStylePr>
  </w:style>
  <w:style w:type="table" w:customStyle="1" w:styleId="GridTable4-Accent5">
    <w:name w:val="Grid Table 4 - Accent 5"/>
    <w:uiPriority w:val="59"/>
    <w:qFormat/>
    <w:pPr>
      <w:spacing w:after="0" w:line="240" w:lineRule="auto"/>
    </w:pPr>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cPr>
    </w:tblStylePr>
    <w:tblStylePr w:type="lastCol">
      <w:rPr>
        <w:b/>
        <w:color w:val="404040"/>
      </w:rPr>
    </w:tblStylePr>
    <w:tblStylePr w:type="lastRow">
      <w:rPr>
        <w:b/>
        <w:color w:val="404040"/>
      </w:rPr>
      <w:tcPr>
        <w:tcBorders>
          <w:top w:val="single" w:sz="4" w:space="0" w:color="4BACC6" w:themeColor="accent5"/>
        </w:tcBorders>
      </w:tcPr>
    </w:tblStylePr>
  </w:style>
  <w:style w:type="table" w:customStyle="1" w:styleId="GridTable4-Accent6">
    <w:name w:val="Grid Table 4 - Accent 6"/>
    <w:uiPriority w:val="59"/>
    <w:qFormat/>
    <w:pPr>
      <w:spacing w:after="0" w:line="240" w:lineRule="auto"/>
    </w:pPr>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cPr>
    </w:tblStylePr>
    <w:tblStylePr w:type="lastCol">
      <w:rPr>
        <w:b/>
        <w:color w:val="404040"/>
      </w:rPr>
    </w:tblStylePr>
    <w:tblStylePr w:type="lastRow">
      <w:rPr>
        <w:b/>
        <w:color w:val="404040"/>
      </w:rPr>
      <w:tcPr>
        <w:tcBorders>
          <w:top w:val="single" w:sz="4" w:space="0" w:color="F79646" w:themeColor="accent6"/>
        </w:tcBorders>
      </w:tcPr>
    </w:tblStylePr>
  </w:style>
  <w:style w:type="table" w:customStyle="1" w:styleId="GridTable5Dark">
    <w:name w:val="Grid Table 5 Dark"/>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898989" w:fill="898989"/>
      </w:tcPr>
    </w:tblStylePr>
    <w:tblStylePr w:type="band1Vert">
      <w:rPr/>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tcBorders>
          <w:top w:val="single" w:sz="4" w:space="0" w:color="FFFFFF" w:themeColor="light1"/>
        </w:tcBorders>
        <w:shd w:val="clear" w:color="000000" w:fill="000000"/>
      </w:tcPr>
    </w:tblStylePr>
  </w:style>
  <w:style w:type="table" w:customStyle="1" w:styleId="GridTable5Dark-Accent1">
    <w:name w:val="Grid Table 5 Dark- Accent 1"/>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AEC5E0" w:fill="AEC5E0"/>
      </w:tcPr>
    </w:tblStylePr>
    <w:tblStylePr w:type="band1Vert">
      <w:rPr/>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tcBorders>
          <w:top w:val="single" w:sz="4" w:space="0" w:color="FFFFFF" w:themeColor="light1"/>
        </w:tcBorders>
        <w:shd w:val="clear" w:color="4F81BD" w:fill="4F81BD"/>
      </w:tcPr>
    </w:tblStylePr>
  </w:style>
  <w:style w:type="table" w:customStyle="1" w:styleId="GridTable5Dark-Accent2">
    <w:name w:val="Grid Table 5 Dark - Accent 2"/>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E2AEAD" w:fill="E2AEAD"/>
      </w:tcPr>
    </w:tblStylePr>
    <w:tblStylePr w:type="band1Vert">
      <w:rPr/>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tcBorders>
          <w:top w:val="single" w:sz="4" w:space="0" w:color="FFFFFF" w:themeColor="light1"/>
        </w:tcBorders>
        <w:shd w:val="clear" w:color="C0504D" w:fill="C0504D"/>
      </w:tcPr>
    </w:tblStylePr>
  </w:style>
  <w:style w:type="table" w:customStyle="1" w:styleId="GridTable5Dark-Accent3">
    <w:name w:val="Grid Table 5 Dark - Accent 3"/>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D1DFB2" w:fill="D1DFB2"/>
      </w:tcPr>
    </w:tblStylePr>
    <w:tblStylePr w:type="band1Vert">
      <w:rPr/>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tcBorders>
          <w:top w:val="single" w:sz="4" w:space="0" w:color="FFFFFF" w:themeColor="light1"/>
        </w:tcBorders>
        <w:shd w:val="clear" w:color="9BBB59" w:fill="9BBB59"/>
      </w:tcPr>
    </w:tblStylePr>
  </w:style>
  <w:style w:type="table" w:customStyle="1" w:styleId="GridTable5Dark-Accent4">
    <w:name w:val="Grid Table 5 Dark- Accent 4"/>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C4B7D4" w:fill="C4B7D4"/>
      </w:tcPr>
    </w:tblStylePr>
    <w:tblStylePr w:type="band1Vert">
      <w:rPr/>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tcBorders>
          <w:top w:val="single" w:sz="4" w:space="0" w:color="FFFFFF" w:themeColor="light1"/>
        </w:tcBorders>
        <w:shd w:val="clear" w:color="8064A2" w:fill="8064A2"/>
      </w:tcPr>
    </w:tblStylePr>
  </w:style>
  <w:style w:type="table" w:customStyle="1" w:styleId="GridTable5Dark-Accent5">
    <w:name w:val="Grid Table 5 Dark - Accent 5"/>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ACD8E4" w:fill="ACD8E4"/>
      </w:tcPr>
    </w:tblStylePr>
    <w:tblStylePr w:type="band1Vert">
      <w:rPr/>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tcBorders>
          <w:top w:val="single" w:sz="4" w:space="0" w:color="FFFFFF" w:themeColor="light1"/>
        </w:tcBorders>
        <w:shd w:val="clear" w:color="4BACC6" w:fill="4BACC6"/>
      </w:tcPr>
    </w:tblStylePr>
  </w:style>
  <w:style w:type="table" w:customStyle="1" w:styleId="GridTable5Dark-Accent6">
    <w:name w:val="Grid Table 5 Dark - Accent 6"/>
    <w:uiPriority w:val="99"/>
    <w:qFormat/>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band1Horz">
      <w:rPr/>
      <w:tcPr>
        <w:shd w:val="clear" w:color="FBCEAA" w:fill="FBCEAA"/>
      </w:tcPr>
    </w:tblStylePr>
    <w:tblStylePr w:type="band1Vert">
      <w:rPr/>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tcBorders>
          <w:top w:val="single" w:sz="4" w:space="0" w:color="FFFFFF" w:themeColor="light1"/>
        </w:tcBorders>
        <w:shd w:val="clear" w:color="F79646" w:fill="F79646"/>
      </w:tcPr>
    </w:tblStylePr>
  </w:style>
  <w:style w:type="table" w:customStyle="1" w:styleId="GridTable6Colorful">
    <w:name w:val="Grid Table 6 Colorful"/>
    <w:uiPriority w:val="99"/>
    <w:qFormat/>
    <w:pPr>
      <w:spacing w:after="0" w:line="240" w:lineRule="auto"/>
    </w:pPr>
    <w:rPr/>
    <w:tblPr>
      <w:tblBorders>
        <w:top w:val="single" w:sz="4" w:space="0" w:color="7E7E7E" w:themeColor="text1" w:themeTint="80"/>
        <w:left w:val="single" w:sz="4" w:space="0" w:color="7E7E7E" w:themeColor="text1" w:themeTint="80"/>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rPr/>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sz="12" w:space="0" w:color="7E7E7E" w:themeColor="text1" w:themeTint="8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customStyle="1" w:styleId="GridTable6Colorful-Accent1">
    <w:name w:val="Grid Table 6 Colorful - Accent 1"/>
    <w:uiPriority w:val="99"/>
    <w:qFormat/>
    <w:pPr>
      <w:spacing w:after="0" w:line="240" w:lineRule="auto"/>
    </w:pPr>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rPr/>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sz="12" w:space="0" w:color="A6BFDD" w:themeColor="accent1" w:themeTint="8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customStyle="1" w:styleId="GridTable6Colorful-Accent2">
    <w:name w:val="Grid Table 6 Colorful - Accent 2"/>
    <w:uiPriority w:val="99"/>
    <w:qFormat/>
    <w:pPr>
      <w:spacing w:after="0" w:line="240" w:lineRule="auto"/>
    </w:pPr>
    <w:rPr/>
    <w:tblPr>
      <w:tbl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insideH w:val="single" w:sz="4" w:space="0" w:color="D99795" w:themeColor="accent2" w:themeTint="97"/>
        <w:insideV w:val="single" w:sz="4" w:space="0" w:color="D99795"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rPr/>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sz="12" w:space="0" w:color="D99795" w:themeColor="accent2" w:themeTint="97"/>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customStyle="1" w:styleId="GridTable6Colorful-Accent3">
    <w:name w:val="Grid Table 6 Colorful - Accent 3"/>
    <w:uiPriority w:val="99"/>
    <w:qFormat/>
    <w:pPr>
      <w:spacing w:after="0" w:line="240" w:lineRule="auto"/>
    </w:pPr>
    <w:rPr/>
    <w:tblPr>
      <w:tblBorders>
        <w:top w:val="single" w:sz="4" w:space="0" w:color="9BBB59" w:themeColor="accent3" w:themeTint="FE"/>
        <w:left w:val="single" w:sz="4" w:space="0" w:color="9BBB59" w:themeColor="accent3" w:themeTint="FE"/>
        <w:bottom w:val="single" w:sz="4" w:space="0" w:color="9BBB59" w:themeColor="accent3" w:themeTint="FE"/>
        <w:right w:val="single" w:sz="4" w:space="0" w:color="9BBB59" w:themeColor="accent3" w:themeTint="FE"/>
        <w:insideH w:val="single" w:sz="4" w:space="0" w:color="9BBB59" w:themeColor="accent3" w:themeTint="FE"/>
        <w:insideV w:val="single" w:sz="4" w:space="0" w:color="9BBB59" w:themeColor="accent3" w:themeTint="FE"/>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rPr/>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sz="12" w:space="0" w:color="9BBB59" w:themeColor="accent3" w:themeTint="FE"/>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customStyle="1" w:styleId="GridTable6Colorful-Accent4">
    <w:name w:val="Grid Table 6 Colorful - Accent 4"/>
    <w:uiPriority w:val="99"/>
    <w:qFormat/>
    <w:pPr>
      <w:spacing w:after="0" w:line="240" w:lineRule="auto"/>
    </w:pPr>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rPr/>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sz="12" w:space="0" w:color="B2A1C6" w:themeColor="accent4" w:themeTint="9A"/>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customStyle="1" w:styleId="GridTable6Colorful-Accent5">
    <w:name w:val="Grid Table 6 Colorful - Accent 5"/>
    <w:uiPriority w:val="99"/>
    <w:qFormat/>
    <w:pPr>
      <w:spacing w:after="0" w:line="240" w:lineRule="auto"/>
    </w:pPr>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band1Horz">
      <w:rPr>
        <w:rFonts w:ascii="Arial" w:hAnsi="Arial"/>
        <w:color w:val="266778" w:themeColor="accent5" w:themeShade="94"/>
        <w:sz w:val="22"/>
      </w:rPr>
      <w:tcPr>
        <w:shd w:val="clear" w:color="DAEEF3" w:fill="DAEEF3"/>
      </w:tcPr>
    </w:tblStylePr>
    <w:tblStylePr w:type="band1Vert">
      <w:rPr/>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sz="12" w:space="0" w:color="4BACC6" w:themeColor="accent5"/>
        </w:tcBorders>
      </w:tcPr>
    </w:tblStylePr>
    <w:tblStylePr w:type="lastCol">
      <w:rPr>
        <w:b/>
        <w:color w:val="266778" w:themeColor="accent5" w:themeShade="94"/>
      </w:rPr>
    </w:tblStylePr>
    <w:tblStylePr w:type="lastRow">
      <w:rPr>
        <w:b/>
        <w:color w:val="266778" w:themeColor="accent5" w:themeShade="94"/>
      </w:rPr>
    </w:tblStylePr>
  </w:style>
  <w:style w:type="table" w:customStyle="1" w:styleId="GridTable6Colorful-Accent6">
    <w:name w:val="Grid Table 6 Colorful - Accent 6"/>
    <w:uiPriority w:val="99"/>
    <w:qFormat/>
    <w:pPr>
      <w:spacing w:after="0" w:line="240" w:lineRule="auto"/>
    </w:pPr>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band1Horz">
      <w:rPr>
        <w:rFonts w:ascii="Arial" w:hAnsi="Arial"/>
        <w:color w:val="266778" w:themeColor="accent5" w:themeShade="94"/>
        <w:sz w:val="22"/>
      </w:rPr>
      <w:tcPr>
        <w:shd w:val="clear" w:color="FDE9D9" w:fill="FDE9D9"/>
      </w:tcPr>
    </w:tblStylePr>
    <w:tblStylePr w:type="band1Vert">
      <w:rPr/>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sz="12" w:space="0" w:color="F79646" w:themeColor="accent6"/>
        </w:tcBorders>
      </w:tcPr>
    </w:tblStylePr>
    <w:tblStylePr w:type="lastCol">
      <w:rPr>
        <w:b/>
        <w:color w:val="266778" w:themeColor="accent5" w:themeShade="94"/>
      </w:rPr>
    </w:tblStylePr>
    <w:tblStylePr w:type="lastRow">
      <w:rPr>
        <w:b/>
        <w:color w:val="266778" w:themeColor="accent5" w:themeShade="94"/>
      </w:rPr>
    </w:tblStylePr>
  </w:style>
  <w:style w:type="table" w:customStyle="1" w:styleId="GridTable7Colorful">
    <w:name w:val="Grid Table 7 Colorful"/>
    <w:uiPriority w:val="99"/>
    <w:qFormat/>
    <w:pPr>
      <w:spacing w:after="0" w:line="240" w:lineRule="auto"/>
    </w:pPr>
    <w:rPr/>
    <w:tblPr>
      <w:tblBorders>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rPr/>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one" w:sz="0" w:space="0" w:color="auto"/>
          <w:left w:val="none" w:sz="0" w:space="0" w:color="auto"/>
          <w:bottom w:val="none" w:sz="0" w:space="0" w:color="auto"/>
          <w:right w:val="single" w:sz="4" w:space="0" w:color="7E7E7E" w:themeColor="text1" w:themeTint="80"/>
        </w:tcBorders>
        <w:shd w:val="clear" w:color="FFFFFF" w:fill="auto"/>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one" w:sz="0" w:space="0" w:color="auto"/>
          <w:left w:val="none" w:sz="0" w:space="0" w:color="auto"/>
          <w:bottom w:val="single" w:sz="4" w:space="0" w:color="7E7E7E" w:themeColor="text1" w:themeTint="80"/>
          <w:right w:val="none" w:sz="0" w:space="0" w:color="auto"/>
        </w:tcBorders>
        <w:shd w:val="clear" w:color="FFFFFF" w:fill="FFFFFF"/>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one" w:sz="0" w:space="0" w:color="auto"/>
          <w:left w:val="single" w:sz="4" w:space="0" w:color="7E7E7E" w:themeColor="text1" w:themeTint="80"/>
          <w:bottom w:val="none" w:sz="0" w:space="0" w:color="auto"/>
          <w:right w:val="none" w:sz="0" w:space="0" w:color="auto"/>
        </w:tcBorders>
        <w:shd w:val="clear" w:color="FFFFFF"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sz="4" w:space="0" w:color="7E7E7E" w:themeColor="text1" w:themeTint="80"/>
          <w:left w:val="none" w:sz="0" w:space="0" w:color="auto"/>
          <w:bottom w:val="none" w:sz="0" w:space="0" w:color="auto"/>
          <w:right w:val="none" w:sz="0" w:space="0" w:color="auto"/>
        </w:tcBorders>
        <w:shd w:val="clear" w:color="FFFFFF" w:fill="FFFFFF"/>
      </w:tcPr>
    </w:tblStylePr>
  </w:style>
  <w:style w:type="table" w:customStyle="1" w:styleId="GridTable7Colorful-Accent1">
    <w:name w:val="Grid Table 7 Colorful - Accent 1"/>
    <w:uiPriority w:val="99"/>
    <w:qFormat/>
    <w:pPr>
      <w:spacing w:after="0" w:line="240" w:lineRule="auto"/>
    </w:pPr>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rPr/>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one" w:sz="0" w:space="0" w:color="auto"/>
          <w:left w:val="none" w:sz="0" w:space="0" w:color="auto"/>
          <w:bottom w:val="single" w:sz="4" w:space="0" w:color="A6BFDD" w:themeColor="accent1" w:themeTint="80"/>
          <w:right w:val="none" w:sz="0" w:space="0" w:color="auto"/>
        </w:tcBorders>
        <w:shd w:val="clear" w:color="FFFFFF" w:fill="FFFFFF"/>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sz="4" w:space="0" w:color="A6BFDD" w:themeColor="accent1" w:themeTint="80"/>
          <w:left w:val="none" w:sz="0" w:space="0" w:color="auto"/>
          <w:bottom w:val="none" w:sz="0" w:space="0" w:color="auto"/>
          <w:right w:val="none" w:sz="0" w:space="0" w:color="auto"/>
        </w:tcBorders>
        <w:shd w:val="clear" w:color="FFFFFF" w:fill="FFFFFF"/>
      </w:tcPr>
    </w:tblStylePr>
  </w:style>
  <w:style w:type="table" w:customStyle="1" w:styleId="GridTable7Colorful-Accent2">
    <w:name w:val="Grid Table 7 Colorful - Accent 2"/>
    <w:uiPriority w:val="99"/>
    <w:qFormat/>
    <w:pPr>
      <w:spacing w:after="0" w:line="240" w:lineRule="auto"/>
    </w:pPr>
    <w:rPr/>
    <w:tblPr>
      <w:tblBorders>
        <w:bottom w:val="single" w:sz="4" w:space="0" w:color="D99795" w:themeColor="accent2" w:themeTint="97"/>
        <w:right w:val="single" w:sz="4" w:space="0" w:color="D99795" w:themeColor="accent2" w:themeTint="97"/>
        <w:insideH w:val="single" w:sz="4" w:space="0" w:color="D99795" w:themeColor="accent2" w:themeTint="97"/>
        <w:insideV w:val="single" w:sz="4" w:space="0" w:color="D99795"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rPr/>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one" w:sz="0" w:space="0" w:color="auto"/>
          <w:left w:val="none" w:sz="0" w:space="0" w:color="auto"/>
          <w:bottom w:val="none" w:sz="0" w:space="0" w:color="auto"/>
          <w:right w:val="single" w:sz="4" w:space="0" w:color="D99795" w:themeColor="accent2" w:themeTint="97"/>
        </w:tcBorders>
        <w:shd w:val="clear" w:color="FFFFFF" w:fill="auto"/>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one" w:sz="0" w:space="0" w:color="auto"/>
          <w:left w:val="none" w:sz="0" w:space="0" w:color="auto"/>
          <w:bottom w:val="single" w:sz="4" w:space="0" w:color="D99795" w:themeColor="accent2" w:themeTint="97"/>
          <w:right w:val="none" w:sz="0" w:space="0" w:color="auto"/>
        </w:tcBorders>
        <w:shd w:val="clear" w:color="FFFFFF" w:fill="FFFFFF"/>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one" w:sz="0" w:space="0" w:color="auto"/>
          <w:left w:val="single" w:sz="4" w:space="0" w:color="D99795" w:themeColor="accent2" w:themeTint="97"/>
          <w:bottom w:val="none" w:sz="0" w:space="0" w:color="auto"/>
          <w:right w:val="none" w:sz="0" w:space="0" w:color="auto"/>
        </w:tcBorders>
        <w:shd w:val="clear" w:color="FFFFFF" w:fill="auto"/>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sz="4" w:space="0" w:color="D99795" w:themeColor="accent2" w:themeTint="97"/>
          <w:left w:val="none" w:sz="0" w:space="0" w:color="auto"/>
          <w:bottom w:val="none" w:sz="0" w:space="0" w:color="auto"/>
          <w:right w:val="none" w:sz="0" w:space="0" w:color="auto"/>
        </w:tcBorders>
        <w:shd w:val="clear" w:color="FFFFFF" w:fill="FFFFFF"/>
      </w:tcPr>
    </w:tblStylePr>
  </w:style>
  <w:style w:type="table" w:customStyle="1" w:styleId="GridTable7Colorful-Accent3">
    <w:name w:val="Grid Table 7 Colorful - Accent 3"/>
    <w:uiPriority w:val="99"/>
    <w:qFormat/>
    <w:pPr>
      <w:spacing w:after="0" w:line="240" w:lineRule="auto"/>
    </w:pPr>
    <w:rPr/>
    <w:tblPr>
      <w:tblBorders>
        <w:bottom w:val="single" w:sz="4" w:space="0" w:color="9BBB59" w:themeColor="accent3" w:themeTint="FE"/>
        <w:right w:val="single" w:sz="4" w:space="0" w:color="9BBB59" w:themeColor="accent3" w:themeTint="FE"/>
        <w:insideH w:val="single" w:sz="4" w:space="0" w:color="9BBB59" w:themeColor="accent3" w:themeTint="FE"/>
        <w:insideV w:val="single" w:sz="4" w:space="0" w:color="9BBB59" w:themeColor="accent3" w:themeTint="FE"/>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rPr/>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one" w:sz="0" w:space="0" w:color="auto"/>
          <w:left w:val="none" w:sz="0" w:space="0" w:color="auto"/>
          <w:bottom w:val="none" w:sz="0" w:space="0" w:color="auto"/>
          <w:right w:val="single" w:sz="4" w:space="0" w:color="9BBB59" w:themeColor="accent3" w:themeTint="FE"/>
        </w:tcBorders>
        <w:shd w:val="clear" w:color="FFFFFF" w:fill="auto"/>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one" w:sz="0" w:space="0" w:color="auto"/>
          <w:left w:val="none" w:sz="0" w:space="0" w:color="auto"/>
          <w:bottom w:val="single" w:sz="4" w:space="0" w:color="9BBB59" w:themeColor="accent3" w:themeTint="FE"/>
          <w:right w:val="none" w:sz="0" w:space="0" w:color="auto"/>
        </w:tcBorders>
        <w:shd w:val="clear" w:color="FFFFFF" w:fill="FFFFFF"/>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one" w:sz="0" w:space="0" w:color="auto"/>
          <w:left w:val="single" w:sz="4" w:space="0" w:color="9BBB59" w:themeColor="accent3" w:themeTint="FE"/>
          <w:bottom w:val="none" w:sz="0" w:space="0" w:color="auto"/>
          <w:right w:val="none" w:sz="0" w:space="0" w:color="auto"/>
        </w:tcBorders>
        <w:shd w:val="clear" w:color="FFFFFF" w:fill="auto"/>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sz="4" w:space="0" w:color="9BBB59" w:themeColor="accent3" w:themeTint="FE"/>
          <w:left w:val="none" w:sz="0" w:space="0" w:color="auto"/>
          <w:bottom w:val="none" w:sz="0" w:space="0" w:color="auto"/>
          <w:right w:val="none" w:sz="0" w:space="0" w:color="auto"/>
        </w:tcBorders>
        <w:shd w:val="clear" w:color="FFFFFF" w:fill="FFFFFF"/>
      </w:tcPr>
    </w:tblStylePr>
  </w:style>
  <w:style w:type="table" w:customStyle="1" w:styleId="GridTable7Colorful-Accent4">
    <w:name w:val="Grid Table 7 Colorful - Accent 4"/>
    <w:uiPriority w:val="99"/>
    <w:qFormat/>
    <w:pPr>
      <w:spacing w:after="0" w:line="240" w:lineRule="auto"/>
    </w:pPr>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rPr/>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one" w:sz="0" w:space="0" w:color="auto"/>
          <w:left w:val="none" w:sz="0" w:space="0" w:color="auto"/>
          <w:bottom w:val="single" w:sz="4" w:space="0" w:color="B2A1C6" w:themeColor="accent4" w:themeTint="9A"/>
          <w:right w:val="none" w:sz="0" w:space="0" w:color="auto"/>
        </w:tcBorders>
        <w:shd w:val="clear" w:color="FFFFFF" w:fill="FFFFFF"/>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sz="4" w:space="0" w:color="B2A1C6" w:themeColor="accent4" w:themeTint="9A"/>
          <w:left w:val="none" w:sz="0" w:space="0" w:color="auto"/>
          <w:bottom w:val="none" w:sz="0" w:space="0" w:color="auto"/>
          <w:right w:val="none" w:sz="0" w:space="0" w:color="auto"/>
        </w:tcBorders>
        <w:shd w:val="clear" w:color="FFFFFF" w:fill="FFFFFF"/>
      </w:tcPr>
    </w:tblStylePr>
  </w:style>
  <w:style w:type="table" w:customStyle="1" w:styleId="GridTable7Colorful-Accent5">
    <w:name w:val="Grid Table 7 Colorful - Accent 5"/>
    <w:uiPriority w:val="99"/>
    <w:qFormat/>
    <w:pPr>
      <w:spacing w:after="0" w:line="240" w:lineRule="auto"/>
    </w:pPr>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band1Horz">
      <w:rPr>
        <w:rFonts w:ascii="Arial" w:hAnsi="Arial"/>
        <w:color w:val="266778" w:themeColor="accent5" w:themeShade="94"/>
        <w:sz w:val="22"/>
      </w:rPr>
      <w:tcPr>
        <w:shd w:val="clear" w:color="DAEEF3" w:fill="DAEEF3"/>
      </w:tcPr>
    </w:tblStylePr>
    <w:tblStylePr w:type="band1Vert">
      <w:rPr/>
      <w:tcPr>
        <w:shd w:val="clear" w:color="DAEEF3" w:fill="DAEEF3"/>
      </w:tcPr>
    </w:tblStylePr>
    <w:tblStylePr w:type="band2Horz">
      <w:rPr>
        <w:rFonts w:ascii="Arial" w:hAnsi="Arial"/>
        <w:color w:val="266778" w:themeColor="accent5" w:themeShade="94"/>
        <w:sz w:val="22"/>
      </w:rPr>
    </w:tblStylePr>
    <w:tblStylePr w:type="firstCol">
      <w:pPr>
        <w:jc w:val="right"/>
      </w:pPr>
      <w:rPr>
        <w:rFonts w:ascii="Arial" w:hAnsi="Arial"/>
        <w:i/>
        <w:color w:val="266778" w:themeColor="accent5" w:themeShade="94"/>
        <w:sz w:val="22"/>
      </w:r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firstRow">
      <w:rPr>
        <w:rFonts w:ascii="Arial" w:hAnsi="Arial"/>
        <w:b/>
        <w:color w:val="266778" w:themeColor="accent5" w:themeShade="94"/>
        <w:sz w:val="22"/>
      </w:rPr>
      <w:tcPr>
        <w:tcBorders>
          <w:top w:val="none" w:sz="0" w:space="0" w:color="auto"/>
          <w:left w:val="none" w:sz="0" w:space="0" w:color="auto"/>
          <w:bottom w:val="single" w:sz="4" w:space="0" w:color="99D0DE" w:themeColor="accent5" w:themeTint="90"/>
          <w:right w:val="none" w:sz="0" w:space="0" w:color="auto"/>
        </w:tcBorders>
        <w:shd w:val="clear" w:color="FFFFFF" w:fill="FFFFFF"/>
      </w:tcPr>
    </w:tblStylePr>
    <w:tblStylePr w:type="lastCol">
      <w:rPr>
        <w:rFonts w:ascii="Arial" w:hAnsi="Arial"/>
        <w:i/>
        <w:color w:val="266778" w:themeColor="accent5" w:themeShade="94"/>
        <w:sz w:val="22"/>
      </w:r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lastRow">
      <w:rPr>
        <w:rFonts w:ascii="Arial" w:hAnsi="Arial"/>
        <w:b/>
        <w:color w:val="266778" w:themeColor="accent5" w:themeShade="94"/>
        <w:sz w:val="22"/>
      </w:rPr>
      <w:tcPr>
        <w:tcBorders>
          <w:top w:val="single" w:sz="4" w:space="0" w:color="99D0DE" w:themeColor="accent5" w:themeTint="90"/>
          <w:left w:val="none" w:sz="0" w:space="0" w:color="auto"/>
          <w:bottom w:val="none" w:sz="0" w:space="0" w:color="auto"/>
          <w:right w:val="none" w:sz="0" w:space="0" w:color="auto"/>
        </w:tcBorders>
        <w:shd w:val="clear" w:color="FFFFFF" w:fill="FFFFFF"/>
      </w:tcPr>
    </w:tblStylePr>
  </w:style>
  <w:style w:type="table" w:customStyle="1" w:styleId="GridTable7Colorful-Accent6">
    <w:name w:val="Grid Table 7 Colorful - Accent 6"/>
    <w:uiPriority w:val="99"/>
    <w:qFormat/>
    <w:pPr>
      <w:spacing w:after="0" w:line="240" w:lineRule="auto"/>
    </w:pPr>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band1Horz">
      <w:rPr>
        <w:rFonts w:ascii="Arial" w:hAnsi="Arial"/>
        <w:color w:val="B05408" w:themeColor="accent6" w:themeShade="94"/>
        <w:sz w:val="22"/>
      </w:rPr>
      <w:tcPr>
        <w:shd w:val="clear" w:color="FDE9D9" w:fill="FDE9D9"/>
      </w:tcPr>
    </w:tblStylePr>
    <w:tblStylePr w:type="band1Vert">
      <w:rPr/>
      <w:tcPr>
        <w:shd w:val="clear" w:color="FDE9D9" w:fill="FDE9D9"/>
      </w:tcPr>
    </w:tblStylePr>
    <w:tblStylePr w:type="band2Horz">
      <w:rPr>
        <w:rFonts w:ascii="Arial" w:hAnsi="Arial"/>
        <w:color w:val="B05408" w:themeColor="accent6" w:themeShade="94"/>
        <w:sz w:val="22"/>
      </w:rPr>
    </w:tblStylePr>
    <w:tblStylePr w:type="firstCol">
      <w:pPr>
        <w:jc w:val="right"/>
      </w:pPr>
      <w:rPr>
        <w:rFonts w:ascii="Arial" w:hAnsi="Arial"/>
        <w:i/>
        <w:color w:val="B05408" w:themeColor="accent6" w:themeShade="94"/>
        <w:sz w:val="22"/>
      </w:r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firstRow">
      <w:rPr>
        <w:rFonts w:ascii="Arial" w:hAnsi="Arial"/>
        <w:b/>
        <w:color w:val="B05408" w:themeColor="accent6" w:themeShade="94"/>
        <w:sz w:val="22"/>
      </w:rPr>
      <w:tcPr>
        <w:tcBorders>
          <w:top w:val="none" w:sz="0" w:space="0" w:color="auto"/>
          <w:left w:val="none" w:sz="0" w:space="0" w:color="auto"/>
          <w:bottom w:val="single" w:sz="4" w:space="0" w:color="FAC396" w:themeColor="accent6" w:themeTint="90"/>
          <w:right w:val="none" w:sz="0" w:space="0" w:color="auto"/>
        </w:tcBorders>
        <w:shd w:val="clear" w:color="FFFFFF" w:fill="FFFFFF"/>
      </w:tcPr>
    </w:tblStylePr>
    <w:tblStylePr w:type="lastCol">
      <w:rPr>
        <w:rFonts w:ascii="Arial" w:hAnsi="Arial"/>
        <w:i/>
        <w:color w:val="B05408" w:themeColor="accent6" w:themeShade="94"/>
        <w:sz w:val="22"/>
      </w:r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lastRow">
      <w:rPr>
        <w:rFonts w:ascii="Arial" w:hAnsi="Arial"/>
        <w:b/>
        <w:color w:val="B05408" w:themeColor="accent6" w:themeShade="94"/>
        <w:sz w:val="22"/>
      </w:rPr>
      <w:tcPr>
        <w:tcBorders>
          <w:top w:val="single" w:sz="4" w:space="0" w:color="FAC396" w:themeColor="accent6" w:themeTint="90"/>
          <w:left w:val="none" w:sz="0" w:space="0" w:color="auto"/>
          <w:bottom w:val="none" w:sz="0" w:space="0" w:color="auto"/>
          <w:right w:val="none" w:sz="0" w:space="0" w:color="auto"/>
        </w:tcBorders>
        <w:shd w:val="clear" w:color="FFFFFF" w:fill="FFFFFF"/>
      </w:tcPr>
    </w:tblStylePr>
  </w:style>
  <w:style w:type="table" w:customStyle="1" w:styleId="ListTable1Light">
    <w:name w:val="List Table 1 Light"/>
    <w:uiPriority w:val="99"/>
    <w:qFormat/>
    <w:pPr>
      <w:spacing w:after="0" w:line="240" w:lineRule="auto"/>
    </w:pPr>
    <w:rPr/>
    <w:tblStylePr w:type="band1Horz">
      <w:rPr/>
      <w:tcPr>
        <w:shd w:val="clear" w:color="BEBEBE" w:fill="BEBEBE"/>
      </w:tcPr>
    </w:tblStylePr>
    <w:tblStylePr w:type="band1Vert">
      <w:rPr/>
      <w:tcPr>
        <w:shd w:val="clear" w:color="BEBEBE" w:fill="BEBEBE"/>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text1"/>
          <w:right w:val="none" w:sz="0" w:space="0" w:color="auto"/>
        </w:tcBorders>
      </w:tcPr>
    </w:tblStylePr>
    <w:tblStylePr w:type="lastCol">
      <w:rPr>
        <w:b/>
        <w:color w:val="404040"/>
      </w:rPr>
    </w:tblStylePr>
    <w:tblStylePr w:type="lastRow">
      <w:rPr>
        <w:b/>
        <w:color w:val="404040"/>
      </w:rPr>
      <w:tcPr>
        <w:tcBorders>
          <w:top w:val="single" w:sz="4" w:space="0" w:color="auto" w:themeColor="text1"/>
          <w:left w:val="none" w:sz="0" w:space="0" w:color="auto"/>
          <w:bottom w:val="none" w:sz="0" w:space="0" w:color="auto"/>
          <w:right w:val="none" w:sz="0" w:space="0" w:color="auto"/>
        </w:tcBorders>
      </w:tcPr>
    </w:tblStylePr>
  </w:style>
  <w:style w:type="table" w:customStyle="1" w:styleId="ListTable1Light-Accent1">
    <w:name w:val="List Table 1 Light - Accent 1"/>
    <w:uiPriority w:val="99"/>
    <w:qFormat/>
    <w:pPr>
      <w:spacing w:after="0" w:line="240" w:lineRule="auto"/>
    </w:pPr>
    <w:rPr/>
    <w:tblStylePr w:type="band1Horz">
      <w:rPr/>
      <w:tcPr>
        <w:shd w:val="clear" w:color="D2DFEE" w:fill="D2DFEE"/>
      </w:tcPr>
    </w:tblStylePr>
    <w:tblStylePr w:type="band1Vert">
      <w:rPr/>
      <w:tcPr>
        <w:shd w:val="clear" w:color="D2DFEE" w:fill="D2DFEE"/>
      </w:tcPr>
    </w:tblStylePr>
    <w:tblStylePr w:type="firstCol">
      <w:rPr>
        <w:b/>
        <w:color w:val="404040"/>
      </w:rPr>
    </w:tblStylePr>
    <w:tblStylePr w:type="firstRow">
      <w:rPr>
        <w:b/>
        <w:color w:val="404040"/>
      </w:rPr>
      <w:tcPr>
        <w:tcBorders>
          <w:top w:val="none" w:sz="0" w:space="0" w:color="auto"/>
          <w:left w:val="none" w:sz="0" w:space="0" w:color="auto"/>
          <w:bottom w:val="single" w:sz="4" w:space="0" w:color="4F81BD" w:themeColor="accent1"/>
          <w:right w:val="none" w:sz="0" w:space="0" w:color="auto"/>
        </w:tcBorders>
      </w:tcPr>
    </w:tblStylePr>
    <w:tblStylePr w:type="lastCol">
      <w:rPr>
        <w:b/>
        <w:color w:val="404040"/>
      </w:rPr>
    </w:tblStylePr>
    <w:tblStylePr w:type="lastRow">
      <w:rPr>
        <w:b/>
        <w:color w:val="404040"/>
      </w:rPr>
      <w:tcPr>
        <w:tcBorders>
          <w:top w:val="single" w:sz="4" w:space="0" w:color="4F81BD" w:themeColor="accent1"/>
          <w:left w:val="none" w:sz="0" w:space="0" w:color="auto"/>
          <w:bottom w:val="none" w:sz="0" w:space="0" w:color="auto"/>
          <w:right w:val="none" w:sz="0" w:space="0" w:color="auto"/>
        </w:tcBorders>
      </w:tcPr>
    </w:tblStylePr>
  </w:style>
  <w:style w:type="table" w:customStyle="1" w:styleId="ListTable1Light-Accent2">
    <w:name w:val="List Table 1 Light - Accent 2"/>
    <w:uiPriority w:val="99"/>
    <w:qFormat/>
    <w:pPr>
      <w:spacing w:after="0" w:line="240" w:lineRule="auto"/>
    </w:pPr>
    <w:rPr/>
    <w:tblStylePr w:type="band1Horz">
      <w:rPr/>
      <w:tcPr>
        <w:shd w:val="clear" w:color="EFD3D2" w:fill="EFD3D2"/>
      </w:tcPr>
    </w:tblStylePr>
    <w:tblStylePr w:type="band1Vert">
      <w:rPr/>
      <w:tcPr>
        <w:shd w:val="clear" w:color="EFD3D2" w:fill="EFD3D2"/>
      </w:tcPr>
    </w:tblStylePr>
    <w:tblStylePr w:type="firstCol">
      <w:rPr>
        <w:b/>
        <w:color w:val="404040"/>
      </w:rPr>
    </w:tblStylePr>
    <w:tblStylePr w:type="firstRow">
      <w:rPr>
        <w:b/>
        <w:color w:val="404040"/>
      </w:rPr>
      <w:tcPr>
        <w:tcBorders>
          <w:top w:val="none" w:sz="0" w:space="0" w:color="auto"/>
          <w:left w:val="none" w:sz="0" w:space="0" w:color="auto"/>
          <w:bottom w:val="single" w:sz="4" w:space="0" w:color="C0504D" w:themeColor="accent2"/>
          <w:right w:val="none" w:sz="0" w:space="0" w:color="auto"/>
        </w:tcBorders>
      </w:tcPr>
    </w:tblStylePr>
    <w:tblStylePr w:type="lastCol">
      <w:rPr>
        <w:b/>
        <w:color w:val="404040"/>
      </w:rPr>
    </w:tblStylePr>
    <w:tblStylePr w:type="lastRow">
      <w:rPr>
        <w:b/>
        <w:color w:val="404040"/>
      </w:rPr>
      <w:tcPr>
        <w:tcBorders>
          <w:top w:val="single" w:sz="4" w:space="0" w:color="C0504D" w:themeColor="accent2"/>
          <w:left w:val="none" w:sz="0" w:space="0" w:color="auto"/>
          <w:bottom w:val="none" w:sz="0" w:space="0" w:color="auto"/>
          <w:right w:val="none" w:sz="0" w:space="0" w:color="auto"/>
        </w:tcBorders>
      </w:tcPr>
    </w:tblStylePr>
  </w:style>
  <w:style w:type="table" w:customStyle="1" w:styleId="ListTable1Light-Accent3">
    <w:name w:val="List Table 1 Light - Accent 3"/>
    <w:uiPriority w:val="99"/>
    <w:qFormat/>
    <w:pPr>
      <w:spacing w:after="0" w:line="240" w:lineRule="auto"/>
    </w:pPr>
    <w:rPr/>
    <w:tblStylePr w:type="band1Horz">
      <w:rPr/>
      <w:tcPr>
        <w:shd w:val="clear" w:color="E5EDD5" w:fill="E5EDD5"/>
      </w:tcPr>
    </w:tblStylePr>
    <w:tblStylePr w:type="band1Vert">
      <w:rPr/>
      <w:tcPr>
        <w:shd w:val="clear" w:color="E5EDD5" w:fill="E5EDD5"/>
      </w:tcPr>
    </w:tblStylePr>
    <w:tblStylePr w:type="firstCol">
      <w:rPr>
        <w:b/>
        <w:color w:val="404040"/>
      </w:rPr>
    </w:tblStylePr>
    <w:tblStylePr w:type="firstRow">
      <w:rPr>
        <w:b/>
        <w:color w:val="404040"/>
      </w:rPr>
      <w:tcPr>
        <w:tcBorders>
          <w:top w:val="none" w:sz="0" w:space="0" w:color="auto"/>
          <w:left w:val="none" w:sz="0" w:space="0" w:color="auto"/>
          <w:bottom w:val="single" w:sz="4" w:space="0" w:color="9BBB59" w:themeColor="accent3"/>
          <w:right w:val="none" w:sz="0" w:space="0" w:color="auto"/>
        </w:tcBorders>
      </w:tcPr>
    </w:tblStylePr>
    <w:tblStylePr w:type="lastCol">
      <w:rPr>
        <w:b/>
        <w:color w:val="404040"/>
      </w:rPr>
    </w:tblStylePr>
    <w:tblStylePr w:type="lastRow">
      <w:rPr>
        <w:b/>
        <w:color w:val="404040"/>
      </w:rPr>
      <w:tcPr>
        <w:tcBorders>
          <w:top w:val="single" w:sz="4" w:space="0" w:color="9BBB59" w:themeColor="accent3"/>
          <w:left w:val="none" w:sz="0" w:space="0" w:color="auto"/>
          <w:bottom w:val="none" w:sz="0" w:space="0" w:color="auto"/>
          <w:right w:val="none" w:sz="0" w:space="0" w:color="auto"/>
        </w:tcBorders>
      </w:tcPr>
    </w:tblStylePr>
  </w:style>
  <w:style w:type="table" w:customStyle="1" w:styleId="ListTable1Light-Accent4">
    <w:name w:val="List Table 1 Light - Accent 4"/>
    <w:uiPriority w:val="99"/>
    <w:qFormat/>
    <w:pPr>
      <w:spacing w:after="0" w:line="240" w:lineRule="auto"/>
    </w:pPr>
    <w:rPr/>
    <w:tblStylePr w:type="band1Horz">
      <w:rPr/>
      <w:tcPr>
        <w:shd w:val="clear" w:color="DFD8E7" w:fill="DFD8E7"/>
      </w:tcPr>
    </w:tblStylePr>
    <w:tblStylePr w:type="band1Vert">
      <w:rPr/>
      <w:tcPr>
        <w:shd w:val="clear" w:color="DFD8E7" w:fill="DFD8E7"/>
      </w:tcPr>
    </w:tblStylePr>
    <w:tblStylePr w:type="firstCol">
      <w:rPr>
        <w:b/>
        <w:color w:val="404040"/>
      </w:rPr>
    </w:tblStylePr>
    <w:tblStylePr w:type="firstRow">
      <w:rPr>
        <w:b/>
        <w:color w:val="404040"/>
      </w:rPr>
      <w:tcPr>
        <w:tcBorders>
          <w:top w:val="none" w:sz="0" w:space="0" w:color="auto"/>
          <w:left w:val="none" w:sz="0" w:space="0" w:color="auto"/>
          <w:bottom w:val="single" w:sz="4" w:space="0" w:color="8064A2" w:themeColor="accent4"/>
          <w:right w:val="none" w:sz="0" w:space="0" w:color="auto"/>
        </w:tcBorders>
      </w:tcPr>
    </w:tblStylePr>
    <w:tblStylePr w:type="lastCol">
      <w:rPr>
        <w:b/>
        <w:color w:val="404040"/>
      </w:rPr>
    </w:tblStylePr>
    <w:tblStylePr w:type="lastRow">
      <w:rPr>
        <w:b/>
        <w:color w:val="404040"/>
      </w:rPr>
      <w:tcPr>
        <w:tcBorders>
          <w:top w:val="single" w:sz="4" w:space="0" w:color="8064A2" w:themeColor="accent4"/>
          <w:left w:val="none" w:sz="0" w:space="0" w:color="auto"/>
          <w:bottom w:val="none" w:sz="0" w:space="0" w:color="auto"/>
          <w:right w:val="none" w:sz="0" w:space="0" w:color="auto"/>
        </w:tcBorders>
      </w:tcPr>
    </w:tblStylePr>
  </w:style>
  <w:style w:type="table" w:customStyle="1" w:styleId="ListTable1Light-Accent5">
    <w:name w:val="List Table 1 Light - Accent 5"/>
    <w:uiPriority w:val="99"/>
    <w:qFormat/>
    <w:pPr>
      <w:spacing w:after="0" w:line="240" w:lineRule="auto"/>
    </w:pPr>
    <w:rPr/>
    <w:tblStylePr w:type="band1Horz">
      <w:rPr/>
      <w:tcPr>
        <w:shd w:val="clear" w:color="D1EAF0" w:fill="D1EAF0"/>
      </w:tcPr>
    </w:tblStylePr>
    <w:tblStylePr w:type="band1Vert">
      <w:rPr/>
      <w:tcPr>
        <w:shd w:val="clear" w:color="D1EAF0" w:fill="D1EAF0"/>
      </w:tcPr>
    </w:tblStylePr>
    <w:tblStylePr w:type="firstCol">
      <w:rPr>
        <w:b/>
        <w:color w:val="404040"/>
      </w:rPr>
    </w:tblStylePr>
    <w:tblStylePr w:type="firstRow">
      <w:rPr>
        <w:b/>
        <w:color w:val="404040"/>
      </w:rPr>
      <w:tcPr>
        <w:tcBorders>
          <w:top w:val="none" w:sz="0" w:space="0" w:color="auto"/>
          <w:left w:val="none" w:sz="0" w:space="0" w:color="auto"/>
          <w:bottom w:val="single" w:sz="4" w:space="0" w:color="4BACC6" w:themeColor="accent5"/>
          <w:right w:val="none" w:sz="0" w:space="0" w:color="auto"/>
        </w:tcBorders>
      </w:tcPr>
    </w:tblStylePr>
    <w:tblStylePr w:type="lastCol">
      <w:rPr>
        <w:b/>
        <w:color w:val="404040"/>
      </w:rPr>
    </w:tblStylePr>
    <w:tblStylePr w:type="lastRow">
      <w:rPr>
        <w:b/>
        <w:color w:val="404040"/>
      </w:rPr>
      <w:tcPr>
        <w:tcBorders>
          <w:top w:val="single" w:sz="4" w:space="0" w:color="4BACC6" w:themeColor="accent5"/>
          <w:left w:val="none" w:sz="0" w:space="0" w:color="auto"/>
          <w:bottom w:val="none" w:sz="0" w:space="0" w:color="auto"/>
          <w:right w:val="none" w:sz="0" w:space="0" w:color="auto"/>
        </w:tcBorders>
      </w:tcPr>
    </w:tblStylePr>
  </w:style>
  <w:style w:type="table" w:customStyle="1" w:styleId="ListTable1Light-Accent6">
    <w:name w:val="List Table 1 Light - Accent 6"/>
    <w:uiPriority w:val="99"/>
    <w:qFormat/>
    <w:pPr>
      <w:spacing w:after="0" w:line="240" w:lineRule="auto"/>
    </w:pPr>
    <w:rPr/>
    <w:tblStylePr w:type="band1Horz">
      <w:rPr/>
      <w:tcPr>
        <w:shd w:val="clear" w:color="FCE4D0" w:fill="FCE4D0"/>
      </w:tcPr>
    </w:tblStylePr>
    <w:tblStylePr w:type="band1Vert">
      <w:rPr/>
      <w:tcPr>
        <w:shd w:val="clear" w:color="FCE4D0" w:fill="FCE4D0"/>
      </w:tcPr>
    </w:tblStylePr>
    <w:tblStylePr w:type="firstCol">
      <w:rPr>
        <w:b/>
        <w:color w:val="404040"/>
      </w:rPr>
    </w:tblStylePr>
    <w:tblStylePr w:type="firstRow">
      <w:rPr>
        <w:b/>
        <w:color w:val="404040"/>
      </w:rPr>
      <w:tcPr>
        <w:tcBorders>
          <w:top w:val="none" w:sz="0" w:space="0" w:color="auto"/>
          <w:left w:val="none" w:sz="0" w:space="0" w:color="auto"/>
          <w:bottom w:val="single" w:sz="4" w:space="0" w:color="F79646" w:themeColor="accent6"/>
          <w:right w:val="none" w:sz="0" w:space="0" w:color="auto"/>
        </w:tcBorders>
      </w:tcPr>
    </w:tblStylePr>
    <w:tblStylePr w:type="lastCol">
      <w:rPr>
        <w:b/>
        <w:color w:val="404040"/>
      </w:rPr>
    </w:tblStylePr>
    <w:tblStylePr w:type="lastRow">
      <w:rPr>
        <w:b/>
        <w:color w:val="404040"/>
      </w:rPr>
      <w:tcPr>
        <w:tcBorders>
          <w:top w:val="single" w:sz="4" w:space="0" w:color="F79646" w:themeColor="accent6"/>
          <w:left w:val="none" w:sz="0" w:space="0" w:color="auto"/>
          <w:bottom w:val="none" w:sz="0" w:space="0" w:color="auto"/>
          <w:right w:val="none" w:sz="0" w:space="0" w:color="auto"/>
        </w:tcBorders>
      </w:tcPr>
    </w:tblStylePr>
  </w:style>
  <w:style w:type="table" w:customStyle="1" w:styleId="ListTable2">
    <w:name w:val="List Table 2"/>
    <w:uiPriority w:val="99"/>
    <w:qFormat/>
    <w:pPr>
      <w:spacing w:after="0" w:line="240" w:lineRule="auto"/>
    </w:pPr>
    <w:rPr/>
    <w:tblPr>
      <w:tblBorders>
        <w:top w:val="single" w:sz="4" w:space="0" w:color="6E6E6E" w:themeColor="text1" w:themeTint="90"/>
        <w:bottom w:val="single" w:sz="4" w:space="0" w:color="6E6E6E" w:themeColor="text1" w:themeTint="90"/>
        <w:insideH w:val="single" w:sz="4" w:space="0" w:color="6E6E6E" w:themeColor="text1" w:themeTint="9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6E6E6E" w:themeColor="text1" w:themeTint="90"/>
          <w:left w:val="none" w:sz="0" w:space="0" w:color="auto"/>
          <w:bottom w:val="single" w:sz="4" w:space="0" w:color="6E6E6E" w:themeColor="tex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6E6E6E" w:themeColor="text1" w:themeTint="90"/>
          <w:left w:val="none" w:sz="0" w:space="0" w:color="auto"/>
          <w:bottom w:val="single" w:sz="4" w:space="0" w:color="6E6E6E" w:themeColor="text1" w:themeTint="90"/>
          <w:right w:val="none" w:sz="0" w:space="0" w:color="auto"/>
        </w:tcBorders>
      </w:tcPr>
    </w:tblStylePr>
  </w:style>
  <w:style w:type="table" w:customStyle="1" w:styleId="ListTable2-Accent1">
    <w:name w:val="List Table 2 - Accent 1"/>
    <w:uiPriority w:val="99"/>
    <w:qFormat/>
    <w:pPr>
      <w:spacing w:after="0" w:line="240" w:lineRule="auto"/>
    </w:pPr>
    <w:rPr/>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style>
  <w:style w:type="table" w:customStyle="1" w:styleId="ListTable2-Accent2">
    <w:name w:val="List Table 2 - Accent 2"/>
    <w:uiPriority w:val="99"/>
    <w:qFormat/>
    <w:pPr>
      <w:spacing w:after="0" w:line="240" w:lineRule="auto"/>
    </w:pPr>
    <w:rPr/>
    <w:tblPr>
      <w:tblBorders>
        <w:top w:val="single" w:sz="4" w:space="0" w:color="DB9C9A" w:themeColor="accent2" w:themeTint="90"/>
        <w:bottom w:val="single" w:sz="4" w:space="0" w:color="DB9C9A" w:themeColor="accent2" w:themeTint="90"/>
        <w:insideH w:val="single" w:sz="4" w:space="0" w:color="DB9C9A" w:themeColor="accent2" w:themeTint="9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DB9C9A" w:themeColor="accent2" w:themeTint="90"/>
          <w:left w:val="none" w:sz="0" w:space="0" w:color="auto"/>
          <w:bottom w:val="single" w:sz="4" w:space="0" w:color="DB9C9A" w:themeColor="accent2"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DB9C9A" w:themeColor="accent2" w:themeTint="90"/>
          <w:left w:val="none" w:sz="0" w:space="0" w:color="auto"/>
          <w:bottom w:val="single" w:sz="4" w:space="0" w:color="DB9C9A" w:themeColor="accent2" w:themeTint="90"/>
          <w:right w:val="none" w:sz="0" w:space="0" w:color="auto"/>
        </w:tcBorders>
      </w:tcPr>
    </w:tblStylePr>
  </w:style>
  <w:style w:type="table" w:customStyle="1" w:styleId="ListTable2-Accent3">
    <w:name w:val="List Table 2 - Accent 3"/>
    <w:uiPriority w:val="99"/>
    <w:qFormat/>
    <w:pPr>
      <w:spacing w:after="0" w:line="240" w:lineRule="auto"/>
    </w:pPr>
    <w:rPr/>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style>
  <w:style w:type="table" w:customStyle="1" w:styleId="ListTable2-Accent4">
    <w:name w:val="List Table 2 - Accent 4"/>
    <w:uiPriority w:val="99"/>
    <w:qFormat/>
    <w:pPr>
      <w:spacing w:after="0" w:line="240" w:lineRule="auto"/>
    </w:pPr>
    <w:rPr/>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style>
  <w:style w:type="table" w:customStyle="1" w:styleId="ListTable2-Accent5">
    <w:name w:val="List Table 2 - Accent 5"/>
    <w:uiPriority w:val="99"/>
    <w:qFormat/>
    <w:pPr>
      <w:spacing w:after="0" w:line="240" w:lineRule="auto"/>
    </w:pPr>
    <w:rPr/>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style>
  <w:style w:type="table" w:customStyle="1" w:styleId="ListTable2-Accent6">
    <w:name w:val="List Table 2 - Accent 6"/>
    <w:uiPriority w:val="99"/>
    <w:qFormat/>
    <w:pPr>
      <w:spacing w:after="0" w:line="240" w:lineRule="auto"/>
    </w:pPr>
    <w:rPr/>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style>
  <w:style w:type="table" w:customStyle="1" w:styleId="ListTable3">
    <w:name w:val="List Table 3"/>
    <w:uiPriority w:val="99"/>
    <w:qFormat/>
    <w:pPr>
      <w:spacing w:after="0" w:line="240" w:lineRule="auto"/>
    </w:pPr>
    <w:rPr/>
    <w:tblPr>
      <w:tblBorders>
        <w:top w:val="single" w:sz="4" w:space="0" w:color="auto" w:themeColor="text1"/>
        <w:left w:val="single" w:sz="4" w:space="0" w:color="auto" w:themeColor="text1"/>
        <w:bottom w:val="single" w:sz="4" w:space="0" w:color="auto" w:themeColor="text1"/>
        <w:right w:val="single" w:sz="4" w:space="0" w:color="auto" w:themeColor="text1"/>
      </w:tblBorders>
    </w:tblPr>
    <w:tblStylePr w:type="band1Horz">
      <w:rPr>
        <w:rFonts w:ascii="Arial" w:hAnsi="Arial"/>
        <w:color w:val="404040"/>
        <w:sz w:val="22"/>
      </w:rPr>
      <w:tcPr>
        <w:tcBorders>
          <w:top w:val="single" w:sz="4" w:space="0" w:color="auto" w:themeColor="text1"/>
          <w:bottom w:val="single" w:sz="4" w:space="0" w:color="auto" w:themeColor="text1"/>
        </w:tcBorders>
      </w:tcPr>
    </w:tblStylePr>
    <w:tblStylePr w:type="band1Vert">
      <w:rPr>
        <w:rFonts w:ascii="Arial" w:hAnsi="Arial"/>
        <w:color w:val="404040"/>
        <w:sz w:val="22"/>
      </w:rPr>
      <w:tcPr>
        <w:tcBorders>
          <w:left w:val="single" w:sz="4" w:space="0" w:color="auto" w:themeColor="text1"/>
          <w:right w:val="single" w:sz="4" w:space="0" w:color="auto" w:themeColor="text1"/>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ListTable3-Accent1">
    <w:name w:val="List Table 3 - Accent 1"/>
    <w:uiPriority w:val="99"/>
    <w:qFormat/>
    <w:pPr>
      <w:spacing w:after="0" w:line="240" w:lineRule="auto"/>
    </w:pPr>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band1Horz">
      <w:rPr>
        <w:rFonts w:ascii="Arial" w:hAnsi="Arial"/>
        <w:color w:val="404040"/>
        <w:sz w:val="22"/>
      </w:rPr>
      <w:tcPr>
        <w:tcBorders>
          <w:top w:val="single" w:sz="4" w:space="0" w:color="4F81BD" w:themeColor="accent1"/>
          <w:bottom w:val="single" w:sz="4" w:space="0" w:color="4F81BD" w:themeColor="accent1"/>
        </w:tcBorders>
      </w:tcPr>
    </w:tblStylePr>
    <w:tblStylePr w:type="band1Vert">
      <w:rPr>
        <w:rFonts w:ascii="Arial" w:hAnsi="Arial"/>
        <w:color w:val="404040"/>
        <w:sz w:val="22"/>
      </w:rPr>
      <w:tcPr>
        <w:tcBorders>
          <w:left w:val="single" w:sz="4" w:space="0" w:color="4F81BD" w:themeColor="accent1"/>
          <w:right w:val="single" w:sz="4" w:space="0" w:color="4F81BD" w:themeColor="accent1"/>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customStyle="1" w:styleId="ListTable3-Accent2">
    <w:name w:val="List Table 3 - Accent 2"/>
    <w:uiPriority w:val="99"/>
    <w:qFormat/>
    <w:pPr>
      <w:spacing w:after="0" w:line="240" w:lineRule="auto"/>
    </w:pPr>
    <w:rPr/>
    <w:tblPr>
      <w:tbl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tblBorders>
    </w:tblPr>
    <w:tblStylePr w:type="band1Horz">
      <w:rPr>
        <w:rFonts w:ascii="Arial" w:hAnsi="Arial"/>
        <w:color w:val="404040"/>
        <w:sz w:val="22"/>
      </w:rPr>
      <w:tcPr>
        <w:tcBorders>
          <w:top w:val="single" w:sz="4" w:space="0" w:color="D99795" w:themeColor="accent2" w:themeTint="97"/>
          <w:bottom w:val="single" w:sz="4" w:space="0" w:color="D99795" w:themeColor="accent2" w:themeTint="97"/>
        </w:tcBorders>
      </w:tcPr>
    </w:tblStylePr>
    <w:tblStylePr w:type="band1Vert">
      <w:rPr>
        <w:rFonts w:ascii="Arial" w:hAnsi="Arial"/>
        <w:color w:val="404040"/>
        <w:sz w:val="22"/>
      </w:rPr>
      <w:tcPr>
        <w:tcBorders>
          <w:left w:val="single" w:sz="4" w:space="0" w:color="D99795" w:themeColor="accent2" w:themeTint="97"/>
          <w:right w:val="single" w:sz="4" w:space="0" w:color="D99795" w:themeColor="accent2" w:themeTint="97"/>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customStyle="1" w:styleId="ListTable3-Accent3">
    <w:name w:val="List Table 3 - Accent 3"/>
    <w:uiPriority w:val="99"/>
    <w:qFormat/>
    <w:pPr>
      <w:spacing w:after="0" w:line="240" w:lineRule="auto"/>
    </w:pPr>
    <w:rPr/>
    <w:tblPr>
      <w:tblBorders>
        <w:top w:val="single" w:sz="4" w:space="0" w:color="C3D69C" w:themeColor="accent3" w:themeTint="98"/>
        <w:left w:val="single" w:sz="4" w:space="0" w:color="C3D69C" w:themeColor="accent3" w:themeTint="98"/>
        <w:bottom w:val="single" w:sz="4" w:space="0" w:color="C3D69C" w:themeColor="accent3" w:themeTint="98"/>
        <w:right w:val="single" w:sz="4" w:space="0" w:color="C3D69C" w:themeColor="accent3" w:themeTint="98"/>
      </w:tblBorders>
    </w:tblPr>
    <w:tblStylePr w:type="band1Horz">
      <w:rPr>
        <w:rFonts w:ascii="Arial" w:hAnsi="Arial"/>
        <w:color w:val="404040"/>
        <w:sz w:val="22"/>
      </w:rPr>
      <w:tcPr>
        <w:tcBorders>
          <w:top w:val="single" w:sz="4" w:space="0" w:color="C3D69C" w:themeColor="accent3" w:themeTint="98"/>
          <w:bottom w:val="single" w:sz="4" w:space="0" w:color="C3D69C" w:themeColor="accent3" w:themeTint="98"/>
        </w:tcBorders>
      </w:tcPr>
    </w:tblStylePr>
    <w:tblStylePr w:type="band1Vert">
      <w:rPr>
        <w:rFonts w:ascii="Arial" w:hAnsi="Arial"/>
        <w:color w:val="404040"/>
        <w:sz w:val="22"/>
      </w:rPr>
      <w:tcPr>
        <w:tcBorders>
          <w:left w:val="single" w:sz="4" w:space="0" w:color="C3D69C" w:themeColor="accent3" w:themeTint="98"/>
          <w:right w:val="single" w:sz="4" w:space="0" w:color="C3D69C" w:themeColor="accent3" w:themeTint="98"/>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customStyle="1" w:styleId="ListTable3-Accent4">
    <w:name w:val="List Table 3 - Accent 4"/>
    <w:uiPriority w:val="99"/>
    <w:qFormat/>
    <w:pPr>
      <w:spacing w:after="0" w:line="240" w:lineRule="auto"/>
    </w:pPr>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band1Horz">
      <w:rPr>
        <w:rFonts w:ascii="Arial" w:hAnsi="Arial"/>
        <w:color w:val="404040"/>
        <w:sz w:val="22"/>
      </w:rPr>
      <w:tcPr>
        <w:tcBorders>
          <w:top w:val="single" w:sz="4" w:space="0" w:color="B2A1C6" w:themeColor="accent4" w:themeTint="9A"/>
          <w:bottom w:val="single" w:sz="4" w:space="0" w:color="B2A1C6" w:themeColor="accent4" w:themeTint="9A"/>
        </w:tcBorders>
      </w:tcPr>
    </w:tblStylePr>
    <w:tblStylePr w:type="band1Vert">
      <w:rPr>
        <w:rFonts w:ascii="Arial" w:hAnsi="Arial"/>
        <w:color w:val="404040"/>
        <w:sz w:val="22"/>
      </w:rPr>
      <w:tcPr>
        <w:tcBorders>
          <w:left w:val="single" w:sz="4" w:space="0" w:color="B2A1C6" w:themeColor="accent4" w:themeTint="9A"/>
          <w:right w:val="single" w:sz="4" w:space="0" w:color="B2A1C6" w:themeColor="accent4" w:themeTint="9A"/>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customStyle="1" w:styleId="ListTable3-Accent5">
    <w:name w:val="List Table 3 - Accent 5"/>
    <w:uiPriority w:val="99"/>
    <w:qFormat/>
    <w:pPr>
      <w:spacing w:after="0" w:line="240" w:lineRule="auto"/>
    </w:pPr>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band1Horz">
      <w:rPr>
        <w:rFonts w:ascii="Arial" w:hAnsi="Arial"/>
        <w:color w:val="404040"/>
        <w:sz w:val="22"/>
      </w:rPr>
      <w:tcPr>
        <w:tcBorders>
          <w:top w:val="single" w:sz="4" w:space="0" w:color="92CCDC" w:themeColor="accent5" w:themeTint="9A"/>
          <w:bottom w:val="single" w:sz="4" w:space="0" w:color="92CCDC" w:themeColor="accent5" w:themeTint="9A"/>
        </w:tcBorders>
      </w:tcPr>
    </w:tblStylePr>
    <w:tblStylePr w:type="band1Vert">
      <w:rPr>
        <w:rFonts w:ascii="Arial" w:hAnsi="Arial"/>
        <w:color w:val="404040"/>
        <w:sz w:val="22"/>
      </w:rPr>
      <w:tcPr>
        <w:tcBorders>
          <w:left w:val="single" w:sz="4" w:space="0" w:color="92CCDC" w:themeColor="accent5" w:themeTint="9A"/>
          <w:right w:val="single" w:sz="4" w:space="0" w:color="92CCDC" w:themeColor="accent5" w:themeTint="9A"/>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customStyle="1" w:styleId="ListTable3-Accent6">
    <w:name w:val="List Table 3 - Accent 6"/>
    <w:uiPriority w:val="99"/>
    <w:qFormat/>
    <w:pPr>
      <w:spacing w:after="0" w:line="240" w:lineRule="auto"/>
    </w:pPr>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band1Horz">
      <w:rPr>
        <w:rFonts w:ascii="Arial" w:hAnsi="Arial"/>
        <w:color w:val="404040"/>
        <w:sz w:val="22"/>
      </w:rPr>
      <w:tcPr>
        <w:tcBorders>
          <w:top w:val="single" w:sz="4" w:space="0" w:color="FAC090" w:themeColor="accent6" w:themeTint="98"/>
          <w:bottom w:val="single" w:sz="4" w:space="0" w:color="FAC090" w:themeColor="accent6" w:themeTint="98"/>
        </w:tcBorders>
      </w:tcPr>
    </w:tblStylePr>
    <w:tblStylePr w:type="band1Vert">
      <w:rPr>
        <w:rFonts w:ascii="Arial" w:hAnsi="Arial"/>
        <w:color w:val="404040"/>
        <w:sz w:val="22"/>
      </w:rPr>
      <w:tcPr>
        <w:tcBorders>
          <w:left w:val="single" w:sz="4" w:space="0" w:color="FAC090" w:themeColor="accent6" w:themeTint="98"/>
          <w:right w:val="single" w:sz="4" w:space="0" w:color="FAC090" w:themeColor="accent6" w:themeTint="98"/>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customStyle="1" w:styleId="ListTable4">
    <w:name w:val="List Table 4"/>
    <w:uiPriority w:val="99"/>
    <w:qFormat/>
    <w:pPr>
      <w:spacing w:after="0" w:line="240" w:lineRule="auto"/>
    </w:pPr>
    <w:rPr/>
    <w:tblPr>
      <w:tblBorders>
        <w:top w:val="single" w:sz="4" w:space="0" w:color="auto" w:themeColor="text1"/>
        <w:left w:val="single" w:sz="4" w:space="0" w:color="auto" w:themeColor="text1"/>
        <w:bottom w:val="single" w:sz="4" w:space="0" w:color="auto" w:themeColor="text1"/>
        <w:right w:val="single" w:sz="4" w:space="0" w:color="auto" w:themeColor="text1"/>
        <w:insideH w:val="single" w:sz="4" w:space="0" w:color="auto" w:themeColor="text1"/>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ListTable4-Accent1">
    <w:name w:val="List Table 4 - Accent 1"/>
    <w:uiPriority w:val="99"/>
    <w:qFormat/>
    <w:pPr>
      <w:spacing w:after="0" w:line="240" w:lineRule="auto"/>
    </w:pPr>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customStyle="1" w:styleId="ListTable4-Accent2">
    <w:name w:val="List Table 4 - Accent 2"/>
    <w:uiPriority w:val="99"/>
    <w:qFormat/>
    <w:pPr>
      <w:spacing w:after="0" w:line="240" w:lineRule="auto"/>
    </w:pPr>
    <w:rPr/>
    <w:tblPr>
      <w:tblBorders>
        <w:top w:val="single" w:sz="4" w:space="0" w:color="DB9C9A" w:themeColor="accent2" w:themeTint="90"/>
        <w:left w:val="single" w:sz="4" w:space="0" w:color="DB9C9A" w:themeColor="accent2" w:themeTint="90"/>
        <w:bottom w:val="single" w:sz="4" w:space="0" w:color="DB9C9A" w:themeColor="accent2" w:themeTint="90"/>
        <w:right w:val="single" w:sz="4" w:space="0" w:color="DB9C9A" w:themeColor="accent2" w:themeTint="90"/>
        <w:insideH w:val="single" w:sz="4" w:space="0" w:color="DB9C9A" w:themeColor="accent2" w:themeTint="9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customStyle="1" w:styleId="ListTable4-Accent3">
    <w:name w:val="List Table 4 - Accent 3"/>
    <w:uiPriority w:val="99"/>
    <w:qFormat/>
    <w:pPr>
      <w:spacing w:after="0" w:line="240" w:lineRule="auto"/>
    </w:pPr>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customStyle="1" w:styleId="ListTable4-Accent4">
    <w:name w:val="List Table 4 - Accent 4"/>
    <w:uiPriority w:val="99"/>
    <w:qFormat/>
    <w:pPr>
      <w:spacing w:after="0" w:line="240" w:lineRule="auto"/>
    </w:pPr>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customStyle="1" w:styleId="ListTable4-Accent5">
    <w:name w:val="List Table 4 - Accent 5"/>
    <w:uiPriority w:val="99"/>
    <w:qFormat/>
    <w:pPr>
      <w:spacing w:after="0" w:line="240" w:lineRule="auto"/>
    </w:pPr>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customStyle="1" w:styleId="ListTable4-Accent6">
    <w:name w:val="List Table 4 - Accent 6"/>
    <w:uiPriority w:val="99"/>
    <w:qFormat/>
    <w:pPr>
      <w:spacing w:after="0" w:line="240" w:lineRule="auto"/>
    </w:pPr>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customStyle="1" w:styleId="ListTable5Dark">
    <w:name w:val="List Table 5 Dark"/>
    <w:uiPriority w:val="99"/>
    <w:qFormat/>
    <w:pPr>
      <w:spacing w:after="0" w:line="240" w:lineRule="auto"/>
    </w:pPr>
    <w:rPr/>
    <w:tblPr>
      <w:tblBorders>
        <w:top w:val="single" w:sz="32" w:space="0" w:color="7E7E7E" w:themeColor="text1" w:themeTint="80"/>
        <w:left w:val="single" w:sz="32" w:space="0" w:color="7E7E7E" w:themeColor="text1" w:themeTint="80"/>
        <w:bottom w:val="single" w:sz="32" w:space="0" w:color="7E7E7E" w:themeColor="text1" w:themeTint="80"/>
        <w:right w:val="single" w:sz="32" w:space="0" w:color="7E7E7E" w:themeColor="text1" w:themeTint="80"/>
      </w:tblBorders>
    </w:tblPr>
    <w:tblStylePr w:type="band1Horz">
      <w:rPr/>
      <w:tcPr>
        <w:tcBorders>
          <w:top w:val="single" w:sz="4" w:space="0" w:color="FFFFFF" w:themeColor="light1"/>
          <w:bottom w:val="single" w:sz="4" w:space="0" w:color="FFFFFF" w:themeColor="light1"/>
        </w:tcBorders>
        <w:shd w:val="clear" w:color="7E7E7E" w:fill="7E7E7E"/>
      </w:tcPr>
    </w:tblStylePr>
    <w:tblStylePr w:type="band1Vert">
      <w:rPr/>
      <w:tcPr>
        <w:tcBorders>
          <w:left w:val="single" w:sz="4" w:space="0" w:color="FFFFFF" w:themeColor="light1"/>
          <w:right w:val="single" w:sz="4" w:space="0" w:color="FFFFFF" w:themeColor="light1"/>
        </w:tcBorders>
        <w:shd w:val="clear" w:color="7E7E7E" w:fill="7E7E7E"/>
      </w:tcPr>
    </w:tblStylePr>
    <w:tblStylePr w:type="band2Horz">
      <w:rPr/>
      <w:tcPr>
        <w:tcBorders>
          <w:top w:val="single" w:sz="4" w:space="0" w:color="FFFFFF" w:themeColor="light1"/>
          <w:bottom w:val="single" w:sz="4" w:space="0" w:color="FFFFFF" w:themeColor="light1"/>
        </w:tcBorders>
        <w:shd w:val="clear" w:color="7E7E7E" w:fill="7E7E7E"/>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7E7E7E" w:themeColor="text1" w:themeTint="80"/>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7E7E7E" w:themeColor="text1" w:themeTint="80"/>
          <w:bottom w:val="single" w:sz="12" w:space="0" w:color="FFFFFF" w:themeColor="light1"/>
        </w:tcBorders>
        <w:shd w:val="clear" w:color="7E7E7E" w:fill="7E7E7E"/>
      </w:tcPr>
    </w:tblStylePr>
    <w:tblStylePr w:type="lastCol">
      <w:rPr/>
      <w:tcPr>
        <w:tcBorders>
          <w:left w:val="single" w:sz="4" w:space="0" w:color="FFFFFF" w:themeColor="light1"/>
          <w:right w:val="single" w:sz="32" w:space="0" w:color="7E7E7E" w:themeColor="text1" w:themeTint="80"/>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1">
    <w:name w:val="List Table 5 Dark - Accent 1"/>
    <w:uiPriority w:val="99"/>
    <w:qFormat/>
    <w:pPr>
      <w:spacing w:after="0" w:line="240" w:lineRule="auto"/>
    </w:pPr>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band1Horz">
      <w:rPr/>
      <w:tcPr>
        <w:tcBorders>
          <w:top w:val="single" w:sz="4" w:space="0" w:color="FFFFFF" w:themeColor="light1"/>
          <w:bottom w:val="single" w:sz="4" w:space="0" w:color="FFFFFF" w:themeColor="light1"/>
        </w:tcBorders>
        <w:shd w:val="clear" w:color="4F81BD" w:fill="4F81BD"/>
      </w:tcPr>
    </w:tblStylePr>
    <w:tblStylePr w:type="band1Vert">
      <w:rPr/>
      <w:tcPr>
        <w:tcBorders>
          <w:left w:val="single" w:sz="4" w:space="0" w:color="FFFFFF" w:themeColor="light1"/>
          <w:right w:val="single" w:sz="4" w:space="0" w:color="FFFFFF" w:themeColor="light1"/>
        </w:tcBorders>
        <w:shd w:val="clear" w:color="4F81BD" w:fill="4F81BD"/>
      </w:tcPr>
    </w:tblStylePr>
    <w:tblStylePr w:type="band2Horz">
      <w:rPr/>
      <w:tcPr>
        <w:tcBorders>
          <w:top w:val="single" w:sz="4" w:space="0" w:color="FFFFFF" w:themeColor="light1"/>
          <w:bottom w:val="single" w:sz="4" w:space="0" w:color="FFFFFF" w:themeColor="light1"/>
        </w:tcBorders>
        <w:shd w:val="clear" w:color="4F81BD" w:fill="4F81BD"/>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4F81BD" w:themeColor="accent1"/>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4F81BD" w:themeColor="accent1"/>
          <w:bottom w:val="single" w:sz="12" w:space="0" w:color="FFFFFF" w:themeColor="light1"/>
        </w:tcBorders>
        <w:shd w:val="clear" w:color="4F81BD" w:fill="4F81BD"/>
      </w:tcPr>
    </w:tblStylePr>
    <w:tblStylePr w:type="lastCol">
      <w:rPr/>
      <w:tcPr>
        <w:tcBorders>
          <w:left w:val="single" w:sz="4" w:space="0" w:color="FFFFFF" w:themeColor="light1"/>
          <w:right w:val="single" w:sz="32" w:space="0" w:color="4F81BD" w:themeColor="accent1"/>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2">
    <w:name w:val="List Table 5 Dark - Accent 2"/>
    <w:uiPriority w:val="99"/>
    <w:qFormat/>
    <w:pPr>
      <w:spacing w:after="0" w:line="240" w:lineRule="auto"/>
    </w:pPr>
    <w:rPr/>
    <w:tblPr>
      <w:tblBorders>
        <w:top w:val="single" w:sz="32" w:space="0" w:color="D99795" w:themeColor="accent2" w:themeTint="97"/>
        <w:left w:val="single" w:sz="32" w:space="0" w:color="D99795" w:themeColor="accent2" w:themeTint="97"/>
        <w:bottom w:val="single" w:sz="32" w:space="0" w:color="D99795" w:themeColor="accent2" w:themeTint="97"/>
        <w:right w:val="single" w:sz="32" w:space="0" w:color="D99795" w:themeColor="accent2" w:themeTint="97"/>
      </w:tblBorders>
    </w:tblPr>
    <w:tblStylePr w:type="band1Horz">
      <w:rPr/>
      <w:tcPr>
        <w:tcBorders>
          <w:top w:val="single" w:sz="4" w:space="0" w:color="FFFFFF" w:themeColor="light1"/>
          <w:bottom w:val="single" w:sz="4" w:space="0" w:color="FFFFFF" w:themeColor="light1"/>
        </w:tcBorders>
        <w:shd w:val="clear" w:color="D99795" w:fill="D99795"/>
      </w:tcPr>
    </w:tblStylePr>
    <w:tblStylePr w:type="band1Vert">
      <w:rPr/>
      <w:tcPr>
        <w:tcBorders>
          <w:left w:val="single" w:sz="4" w:space="0" w:color="FFFFFF" w:themeColor="light1"/>
          <w:right w:val="single" w:sz="4" w:space="0" w:color="FFFFFF" w:themeColor="light1"/>
        </w:tcBorders>
        <w:shd w:val="clear" w:color="D99795" w:fill="D99795"/>
      </w:tcPr>
    </w:tblStylePr>
    <w:tblStylePr w:type="band2Horz">
      <w:rPr/>
      <w:tcPr>
        <w:tcBorders>
          <w:top w:val="single" w:sz="4" w:space="0" w:color="FFFFFF" w:themeColor="light1"/>
          <w:bottom w:val="single" w:sz="4" w:space="0" w:color="FFFFFF" w:themeColor="light1"/>
        </w:tcBorders>
        <w:shd w:val="clear" w:color="D99795" w:fill="D99795"/>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D99795" w:themeColor="accent2" w:themeTint="97"/>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D99795" w:themeColor="accent2" w:themeTint="97"/>
          <w:bottom w:val="single" w:sz="12" w:space="0" w:color="FFFFFF" w:themeColor="light1"/>
        </w:tcBorders>
        <w:shd w:val="clear" w:color="D99795" w:fill="D99795"/>
      </w:tcPr>
    </w:tblStylePr>
    <w:tblStylePr w:type="lastCol">
      <w:rPr/>
      <w:tcPr>
        <w:tcBorders>
          <w:left w:val="single" w:sz="4" w:space="0" w:color="FFFFFF" w:themeColor="light1"/>
          <w:right w:val="single" w:sz="32" w:space="0" w:color="D99795" w:themeColor="accent2" w:themeTint="97"/>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3">
    <w:name w:val="List Table 5 Dark - Accent 3"/>
    <w:uiPriority w:val="99"/>
    <w:qFormat/>
    <w:pPr>
      <w:spacing w:after="0" w:line="240" w:lineRule="auto"/>
    </w:pPr>
    <w:rPr/>
    <w:tblPr>
      <w:tblBorders>
        <w:top w:val="single" w:sz="32" w:space="0" w:color="C3D69C" w:themeColor="accent3" w:themeTint="98"/>
        <w:left w:val="single" w:sz="32" w:space="0" w:color="C3D69C" w:themeColor="accent3" w:themeTint="98"/>
        <w:bottom w:val="single" w:sz="32" w:space="0" w:color="C3D69C" w:themeColor="accent3" w:themeTint="98"/>
        <w:right w:val="single" w:sz="32" w:space="0" w:color="C3D69C" w:themeColor="accent3" w:themeTint="98"/>
      </w:tblBorders>
    </w:tblPr>
    <w:tblStylePr w:type="band1Horz">
      <w:rPr/>
      <w:tcPr>
        <w:tcBorders>
          <w:top w:val="single" w:sz="4" w:space="0" w:color="FFFFFF" w:themeColor="light1"/>
          <w:bottom w:val="single" w:sz="4" w:space="0" w:color="FFFFFF" w:themeColor="light1"/>
        </w:tcBorders>
        <w:shd w:val="clear" w:color="C3D69C" w:fill="C3D69C"/>
      </w:tcPr>
    </w:tblStylePr>
    <w:tblStylePr w:type="band1Vert">
      <w:rPr/>
      <w:tcPr>
        <w:tcBorders>
          <w:left w:val="single" w:sz="4" w:space="0" w:color="FFFFFF" w:themeColor="light1"/>
          <w:right w:val="single" w:sz="4" w:space="0" w:color="FFFFFF" w:themeColor="light1"/>
        </w:tcBorders>
        <w:shd w:val="clear" w:color="C3D69C" w:fill="C3D69C"/>
      </w:tcPr>
    </w:tblStylePr>
    <w:tblStylePr w:type="band2Horz">
      <w:rPr/>
      <w:tcPr>
        <w:tcBorders>
          <w:top w:val="single" w:sz="4" w:space="0" w:color="FFFFFF" w:themeColor="light1"/>
          <w:bottom w:val="single" w:sz="4" w:space="0" w:color="FFFFFF" w:themeColor="light1"/>
        </w:tcBorders>
        <w:shd w:val="clear" w:color="C3D69C" w:fill="C3D69C"/>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C3D69C" w:themeColor="accent3" w:themeTint="98"/>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C3D69C" w:themeColor="accent3" w:themeTint="98"/>
          <w:bottom w:val="single" w:sz="12" w:space="0" w:color="FFFFFF" w:themeColor="light1"/>
        </w:tcBorders>
        <w:shd w:val="clear" w:color="C3D69C" w:fill="C3D69C"/>
      </w:tcPr>
    </w:tblStylePr>
    <w:tblStylePr w:type="lastCol">
      <w:rPr/>
      <w:tcPr>
        <w:tcBorders>
          <w:left w:val="single" w:sz="4" w:space="0" w:color="FFFFFF" w:themeColor="light1"/>
          <w:right w:val="single" w:sz="32" w:space="0" w:color="C3D69C" w:themeColor="accent3" w:themeTint="98"/>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4">
    <w:name w:val="List Table 5 Dark - Accent 4"/>
    <w:uiPriority w:val="99"/>
    <w:qFormat/>
    <w:pPr>
      <w:spacing w:after="0" w:line="240" w:lineRule="auto"/>
    </w:pPr>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band1Horz">
      <w:rPr/>
      <w:tcPr>
        <w:tcBorders>
          <w:top w:val="single" w:sz="4" w:space="0" w:color="FFFFFF" w:themeColor="light1"/>
          <w:bottom w:val="single" w:sz="4" w:space="0" w:color="FFFFFF" w:themeColor="light1"/>
        </w:tcBorders>
        <w:shd w:val="clear" w:color="B2A1C6" w:fill="B2A1C6"/>
      </w:tcPr>
    </w:tblStylePr>
    <w:tblStylePr w:type="band1Vert">
      <w:rPr/>
      <w:tcPr>
        <w:tcBorders>
          <w:left w:val="single" w:sz="4" w:space="0" w:color="FFFFFF" w:themeColor="light1"/>
          <w:right w:val="single" w:sz="4" w:space="0" w:color="FFFFFF" w:themeColor="light1"/>
        </w:tcBorders>
        <w:shd w:val="clear" w:color="B2A1C6" w:fill="B2A1C6"/>
      </w:tcPr>
    </w:tblStylePr>
    <w:tblStylePr w:type="band2Horz">
      <w:rPr/>
      <w:tcPr>
        <w:tcBorders>
          <w:top w:val="single" w:sz="4" w:space="0" w:color="FFFFFF" w:themeColor="light1"/>
          <w:bottom w:val="single" w:sz="4" w:space="0" w:color="FFFFFF" w:themeColor="light1"/>
        </w:tcBorders>
        <w:shd w:val="clear" w:color="B2A1C6" w:fill="B2A1C6"/>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B2A1C6" w:themeColor="accent4" w:themeTint="9A"/>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B2A1C6" w:themeColor="accent4" w:themeTint="9A"/>
          <w:bottom w:val="single" w:sz="12" w:space="0" w:color="FFFFFF" w:themeColor="light1"/>
        </w:tcBorders>
        <w:shd w:val="clear" w:color="B2A1C6" w:fill="B2A1C6"/>
      </w:tcPr>
    </w:tblStylePr>
    <w:tblStylePr w:type="lastCol">
      <w:rPr/>
      <w:tcPr>
        <w:tcBorders>
          <w:left w:val="single" w:sz="4" w:space="0" w:color="FFFFFF" w:themeColor="light1"/>
          <w:right w:val="single" w:sz="32" w:space="0" w:color="B2A1C6" w:themeColor="accent4" w:themeTint="9A"/>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5">
    <w:name w:val="List Table 5 Dark - Accent 5"/>
    <w:uiPriority w:val="99"/>
    <w:qFormat/>
    <w:pPr>
      <w:spacing w:after="0" w:line="240" w:lineRule="auto"/>
    </w:pPr>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band1Horz">
      <w:rPr/>
      <w:tcPr>
        <w:tcBorders>
          <w:top w:val="single" w:sz="4" w:space="0" w:color="FFFFFF" w:themeColor="light1"/>
          <w:bottom w:val="single" w:sz="4" w:space="0" w:color="FFFFFF" w:themeColor="light1"/>
        </w:tcBorders>
        <w:shd w:val="clear" w:color="92CCDC" w:fill="92CCDC"/>
      </w:tcPr>
    </w:tblStylePr>
    <w:tblStylePr w:type="band1Vert">
      <w:rPr/>
      <w:tcPr>
        <w:tcBorders>
          <w:left w:val="single" w:sz="4" w:space="0" w:color="FFFFFF" w:themeColor="light1"/>
          <w:right w:val="single" w:sz="4" w:space="0" w:color="FFFFFF" w:themeColor="light1"/>
        </w:tcBorders>
        <w:shd w:val="clear" w:color="92CCDC" w:fill="92CCDC"/>
      </w:tcPr>
    </w:tblStylePr>
    <w:tblStylePr w:type="band2Horz">
      <w:rPr/>
      <w:tcPr>
        <w:tcBorders>
          <w:top w:val="single" w:sz="4" w:space="0" w:color="FFFFFF" w:themeColor="light1"/>
          <w:bottom w:val="single" w:sz="4" w:space="0" w:color="FFFFFF" w:themeColor="light1"/>
        </w:tcBorders>
        <w:shd w:val="clear" w:color="92CCDC" w:fill="92CCDC"/>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92CCDC" w:themeColor="accent5" w:themeTint="9A"/>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92CCDC" w:themeColor="accent5" w:themeTint="9A"/>
          <w:bottom w:val="single" w:sz="12" w:space="0" w:color="FFFFFF" w:themeColor="light1"/>
        </w:tcBorders>
        <w:shd w:val="clear" w:color="92CCDC" w:fill="92CCDC"/>
      </w:tcPr>
    </w:tblStylePr>
    <w:tblStylePr w:type="lastCol">
      <w:rPr/>
      <w:tcPr>
        <w:tcBorders>
          <w:left w:val="single" w:sz="4" w:space="0" w:color="FFFFFF" w:themeColor="light1"/>
          <w:right w:val="single" w:sz="32" w:space="0" w:color="92CCDC" w:themeColor="accent5" w:themeTint="9A"/>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5Dark-Accent6">
    <w:name w:val="List Table 5 Dark - Accent 6"/>
    <w:uiPriority w:val="99"/>
    <w:qFormat/>
    <w:pPr>
      <w:spacing w:after="0" w:line="240" w:lineRule="auto"/>
    </w:pPr>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band1Horz">
      <w:rPr/>
      <w:tcPr>
        <w:tcBorders>
          <w:top w:val="single" w:sz="4" w:space="0" w:color="FFFFFF" w:themeColor="light1"/>
          <w:bottom w:val="single" w:sz="4" w:space="0" w:color="FFFFFF" w:themeColor="light1"/>
        </w:tcBorders>
        <w:shd w:val="clear" w:color="FAC090" w:fill="FAC090"/>
      </w:tcPr>
    </w:tblStylePr>
    <w:tblStylePr w:type="band1Vert">
      <w:rPr/>
      <w:tcPr>
        <w:tcBorders>
          <w:left w:val="single" w:sz="4" w:space="0" w:color="FFFFFF" w:themeColor="light1"/>
          <w:right w:val="single" w:sz="4" w:space="0" w:color="FFFFFF" w:themeColor="light1"/>
        </w:tcBorders>
        <w:shd w:val="clear" w:color="FAC090" w:fill="FAC090"/>
      </w:tcPr>
    </w:tblStylePr>
    <w:tblStylePr w:type="band2Horz">
      <w:rPr/>
      <w:tcPr>
        <w:tcBorders>
          <w:top w:val="single" w:sz="4" w:space="0" w:color="FFFFFF" w:themeColor="light1"/>
          <w:bottom w:val="single" w:sz="4" w:space="0" w:color="FFFFFF" w:themeColor="light1"/>
        </w:tcBorders>
        <w:shd w:val="clear" w:color="FAC090" w:fill="FAC090"/>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14:textFill>
          <w14:solidFill>
            <w14:schemeClr w14:val="lt1"/>
          </w14:solidFill>
        </w14:textFill>
      </w:rPr>
      <w:tcPr>
        <w:tcBorders>
          <w:left w:val="single" w:sz="32" w:space="0" w:color="FAC090" w:themeColor="accent6" w:themeTint="98"/>
          <w:right w:val="single" w:sz="4" w:space="0" w:color="FFFFFF" w:themeColor="light1"/>
        </w:tcBorders>
      </w:tcPr>
    </w:tblStylePr>
    <w:tblStylePr w:type="firstRow">
      <w:rPr>
        <w:rFonts w:ascii="Arial" w:hAnsi="Arial"/>
        <w:b/>
        <w:color w:val="FFFFFF" w:themeColor="light1"/>
        <w:sz w:val="22"/>
        <w14:textFill>
          <w14:solidFill>
            <w14:schemeClr w14:val="lt1"/>
          </w14:solidFill>
        </w14:textFill>
      </w:rPr>
      <w:tcPr>
        <w:tcBorders>
          <w:top w:val="single" w:sz="32" w:space="0" w:color="FAC090" w:themeColor="accent6" w:themeTint="98"/>
          <w:bottom w:val="single" w:sz="12" w:space="0" w:color="FFFFFF" w:themeColor="light1"/>
        </w:tcBorders>
        <w:shd w:val="clear" w:color="FAC090" w:fill="FAC090"/>
      </w:tcPr>
    </w:tblStylePr>
    <w:tblStylePr w:type="lastCol">
      <w:rPr/>
      <w:tcPr>
        <w:tcBorders>
          <w:left w:val="single" w:sz="4" w:space="0" w:color="FFFFFF" w:themeColor="light1"/>
          <w:right w:val="single" w:sz="32" w:space="0" w:color="FAC090" w:themeColor="accent6" w:themeTint="98"/>
        </w:tcBorders>
      </w:tcPr>
    </w:tblStylePr>
    <w:tblStylePr w:type="lastRow">
      <w:rPr>
        <w:rFonts w:ascii="Arial" w:hAnsi="Arial"/>
        <w:b/>
        <w:color w:val="FFFFFF" w:themeColor="light1"/>
        <w:sz w:val="22"/>
        <w14:textFill>
          <w14:solidFill>
            <w14:schemeClr w14:val="lt1"/>
          </w14:solidFill>
        </w14:textFill>
      </w:rPr>
    </w:tblStylePr>
  </w:style>
  <w:style w:type="table" w:customStyle="1" w:styleId="ListTable6Colorful">
    <w:name w:val="List Table 6 Colorful"/>
    <w:uiPriority w:val="99"/>
    <w:qFormat/>
    <w:pPr>
      <w:spacing w:after="0" w:line="240" w:lineRule="auto"/>
    </w:pPr>
    <w:rPr/>
    <w:tblPr>
      <w:tblBorders>
        <w:top w:val="single" w:sz="4" w:space="0" w:color="7E7E7E" w:themeColor="text1" w:themeTint="80"/>
        <w:bottom w:val="single" w:sz="4" w:space="0" w:color="7E7E7E" w:themeColor="text1" w:themeTint="8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rPr/>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sz="4" w:space="0" w:color="7E7E7E" w:themeColor="text1" w:themeTint="8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sz="4" w:space="0" w:color="7E7E7E" w:themeColor="text1" w:themeTint="80"/>
        </w:tcBorders>
      </w:tcPr>
    </w:tblStylePr>
  </w:style>
  <w:style w:type="table" w:customStyle="1" w:styleId="ListTable6Colorful-Accent1">
    <w:name w:val="List Table 6 Colorful - Accent 1"/>
    <w:uiPriority w:val="99"/>
    <w:qFormat/>
    <w:pPr>
      <w:spacing w:after="0" w:line="240" w:lineRule="auto"/>
    </w:pPr>
    <w:rPr/>
    <w:tblPr>
      <w:tblBorders>
        <w:top w:val="single" w:sz="4" w:space="0" w:color="4F81BD" w:themeColor="accent1"/>
        <w:bottom w:val="single" w:sz="4" w:space="0" w:color="4F81BD" w:themeColor="accent1"/>
      </w:tblBorders>
    </w:tblPr>
    <w:tblStylePr w:type="band1Horz">
      <w:rPr>
        <w:rFonts w:ascii="Arial" w:hAnsi="Arial"/>
        <w:color w:val="2A4B71" w:themeColor="accent1" w:themeShade="94"/>
        <w:sz w:val="22"/>
      </w:rPr>
      <w:tcPr>
        <w:shd w:val="clear" w:color="D2DFEE" w:fill="D2DFEE"/>
      </w:tcPr>
    </w:tblStylePr>
    <w:tblStylePr w:type="band1Vert">
      <w:rPr/>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sz="4" w:space="0" w:color="4F81BD" w:themeColor="accent1"/>
        </w:tcBorders>
      </w:tcPr>
    </w:tblStylePr>
    <w:tblStylePr w:type="lastCol">
      <w:rPr>
        <w:b/>
        <w:color w:val="2A4B71" w:themeColor="accent1" w:themeShade="94"/>
      </w:rPr>
    </w:tblStylePr>
    <w:tblStylePr w:type="lastRow">
      <w:rPr>
        <w:b/>
        <w:color w:val="2A4B71" w:themeColor="accent1" w:themeShade="94"/>
      </w:rPr>
      <w:tcPr>
        <w:tcBorders>
          <w:top w:val="single" w:sz="4" w:space="0" w:color="4F81BD" w:themeColor="accent1"/>
        </w:tcBorders>
      </w:tcPr>
    </w:tblStylePr>
  </w:style>
  <w:style w:type="table" w:customStyle="1" w:styleId="ListTable6Colorful-Accent2">
    <w:name w:val="List Table 6 Colorful - Accent 2"/>
    <w:uiPriority w:val="99"/>
    <w:qFormat/>
    <w:pPr>
      <w:spacing w:after="0" w:line="240" w:lineRule="auto"/>
    </w:pPr>
    <w:rPr/>
    <w:tblPr>
      <w:tblBorders>
        <w:top w:val="single" w:sz="4" w:space="0" w:color="D99795" w:themeColor="accent2" w:themeTint="97"/>
        <w:bottom w:val="single" w:sz="4" w:space="0" w:color="D99795"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rPr/>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sz="4" w:space="0" w:color="D99795" w:themeColor="accent2" w:themeTint="97"/>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sz="4" w:space="0" w:color="D99795" w:themeColor="accent2" w:themeTint="97"/>
        </w:tcBorders>
      </w:tcPr>
    </w:tblStylePr>
  </w:style>
  <w:style w:type="table" w:customStyle="1" w:styleId="ListTable6Colorful-Accent3">
    <w:name w:val="List Table 6 Colorful - Accent 3"/>
    <w:uiPriority w:val="99"/>
    <w:qFormat/>
    <w:pPr>
      <w:spacing w:after="0" w:line="240" w:lineRule="auto"/>
    </w:pPr>
    <w:rPr/>
    <w:tblPr>
      <w:tblBorders>
        <w:top w:val="single" w:sz="4" w:space="0" w:color="C3D69C" w:themeColor="accent3" w:themeTint="98"/>
        <w:bottom w:val="single" w:sz="4" w:space="0" w:color="C3D69C" w:themeColor="accent3" w:themeTint="98"/>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rPr/>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sz="4" w:space="0" w:color="C3D69C" w:themeColor="accent3" w:themeTint="98"/>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sz="4" w:space="0" w:color="C3D69C" w:themeColor="accent3" w:themeTint="98"/>
        </w:tcBorders>
      </w:tcPr>
    </w:tblStylePr>
  </w:style>
  <w:style w:type="table" w:customStyle="1" w:styleId="ListTable6Colorful-Accent4">
    <w:name w:val="List Table 6 Colorful - Accent 4"/>
    <w:uiPriority w:val="99"/>
    <w:qFormat/>
    <w:pPr>
      <w:spacing w:after="0" w:line="240" w:lineRule="auto"/>
    </w:pPr>
    <w:rPr/>
    <w:tblPr>
      <w:tblBorders>
        <w:top w:val="single" w:sz="4" w:space="0" w:color="B2A1C6" w:themeColor="accent4" w:themeTint="9A"/>
        <w:bottom w:val="single" w:sz="4" w:space="0" w:color="B2A1C6"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rPr/>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sz="4" w:space="0" w:color="B2A1C6" w:themeColor="accent4" w:themeTint="9A"/>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sz="4" w:space="0" w:color="B2A1C6" w:themeColor="accent4" w:themeTint="9A"/>
        </w:tcBorders>
      </w:tcPr>
    </w:tblStylePr>
  </w:style>
  <w:style w:type="table" w:customStyle="1" w:styleId="ListTable6Colorful-Accent5">
    <w:name w:val="List Table 6 Colorful - Accent 5"/>
    <w:uiPriority w:val="99"/>
    <w:qFormat/>
    <w:pPr>
      <w:spacing w:after="0" w:line="240" w:lineRule="auto"/>
    </w:pPr>
    <w:rPr/>
    <w:tblPr>
      <w:tblBorders>
        <w:top w:val="single" w:sz="4" w:space="0" w:color="92CCDC" w:themeColor="accent5" w:themeTint="9A"/>
        <w:bottom w:val="single" w:sz="4" w:space="0" w:color="92CCDC" w:themeColor="accent5" w:themeTint="9A"/>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rPr/>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sz="4" w:space="0" w:color="92CCDC" w:themeColor="accent5" w:themeTint="9A"/>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sz="4" w:space="0" w:color="92CCDC" w:themeColor="accent5" w:themeTint="9A"/>
        </w:tcBorders>
      </w:tcPr>
    </w:tblStylePr>
  </w:style>
  <w:style w:type="table" w:customStyle="1" w:styleId="ListTable6Colorful-Accent6">
    <w:name w:val="List Table 6 Colorful - Accent 6"/>
    <w:uiPriority w:val="99"/>
    <w:qFormat/>
    <w:pPr>
      <w:spacing w:after="0" w:line="240" w:lineRule="auto"/>
    </w:pPr>
    <w:rPr/>
    <w:tblPr>
      <w:tblBorders>
        <w:top w:val="single" w:sz="4" w:space="0" w:color="FAC090" w:themeColor="accent6" w:themeTint="98"/>
        <w:bottom w:val="single" w:sz="4" w:space="0" w:color="FAC090" w:themeColor="accent6" w:themeTint="98"/>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rPr/>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sz="4" w:space="0" w:color="FAC090" w:themeColor="accent6" w:themeTint="98"/>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sz="4" w:space="0" w:color="FAC090" w:themeColor="accent6" w:themeTint="98"/>
        </w:tcBorders>
      </w:tcPr>
    </w:tblStylePr>
  </w:style>
  <w:style w:type="table" w:customStyle="1" w:styleId="ListTable7Colorful">
    <w:name w:val="List Table 7 Colorful"/>
    <w:uiPriority w:val="99"/>
    <w:qFormat/>
    <w:pPr>
      <w:spacing w:after="0" w:line="240" w:lineRule="auto"/>
    </w:pPr>
    <w:rPr/>
    <w:tblPr>
      <w:tblBorders>
        <w:right w:val="single" w:sz="4" w:space="0" w:color="7E7E7E"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rPr/>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one" w:sz="0" w:space="0" w:color="auto"/>
          <w:left w:val="none" w:sz="0" w:space="0" w:color="auto"/>
          <w:bottom w:val="none" w:sz="0" w:space="0" w:color="auto"/>
          <w:right w:val="single" w:sz="4" w:space="0" w:color="7E7E7E" w:themeColor="text1" w:themeTint="80"/>
        </w:tcBorders>
        <w:shd w:val="clear" w:color="FFFFFF" w:fill="auto"/>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one" w:sz="0" w:space="0" w:color="auto"/>
          <w:left w:val="none" w:sz="0" w:space="0" w:color="auto"/>
          <w:bottom w:val="single" w:sz="4" w:space="0" w:color="7E7E7E" w:themeColor="text1" w:themeTint="80"/>
          <w:right w:val="none" w:sz="0" w:space="0" w:color="auto"/>
        </w:tcBorders>
        <w:shd w:val="clear" w:color="FFFFFF" w:fill="FFFFFF"/>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one" w:sz="0" w:space="0" w:color="auto"/>
          <w:left w:val="single" w:sz="4" w:space="0" w:color="7E7E7E" w:themeColor="text1" w:themeTint="80"/>
          <w:bottom w:val="none" w:sz="0" w:space="0" w:color="auto"/>
          <w:right w:val="none" w:sz="0" w:space="0" w:color="auto"/>
        </w:tcBorders>
        <w:shd w:val="clear" w:color="FFFFFF"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sz="4" w:space="0" w:color="7E7E7E" w:themeColor="text1" w:themeTint="80"/>
          <w:left w:val="none" w:sz="0" w:space="0" w:color="auto"/>
          <w:bottom w:val="none" w:sz="0" w:space="0" w:color="auto"/>
          <w:right w:val="none" w:sz="0" w:space="0" w:color="auto"/>
        </w:tcBorders>
        <w:shd w:val="clear" w:color="FFFFFF" w:fill="FFFFFF"/>
      </w:tcPr>
    </w:tblStylePr>
  </w:style>
  <w:style w:type="table" w:customStyle="1" w:styleId="ListTable7Colorful-Accent1">
    <w:name w:val="List Table 7 Colorful - Accent 1"/>
    <w:uiPriority w:val="99"/>
    <w:qFormat/>
    <w:pPr>
      <w:spacing w:after="0" w:line="240" w:lineRule="auto"/>
    </w:pPr>
    <w:rPr/>
    <w:tblPr>
      <w:tblBorders>
        <w:right w:val="single" w:sz="4" w:space="0" w:color="4F81BD" w:themeColor="accent1"/>
      </w:tblBorders>
    </w:tblPr>
    <w:tblStylePr w:type="band1Horz">
      <w:rPr>
        <w:rFonts w:ascii="Arial" w:hAnsi="Arial"/>
        <w:color w:val="2A4B71" w:themeColor="accent1" w:themeShade="94"/>
        <w:sz w:val="22"/>
      </w:rPr>
      <w:tcPr>
        <w:shd w:val="clear" w:color="D2DFEE" w:fill="D2DFEE"/>
      </w:tcPr>
    </w:tblStylePr>
    <w:tblStylePr w:type="band1Vert">
      <w:rPr/>
      <w:tcPr>
        <w:shd w:val="clear" w:color="D2DFEE" w:fill="D2DFEE"/>
      </w:tcPr>
    </w:tblStylePr>
    <w:tblStylePr w:type="band2Horz">
      <w:rPr>
        <w:rFonts w:ascii="Arial" w:hAnsi="Arial"/>
        <w:color w:val="2A4B71" w:themeColor="accent1" w:themeShade="94"/>
        <w:sz w:val="22"/>
      </w:rPr>
    </w:tblStylePr>
    <w:tblStylePr w:type="firstCol">
      <w:pPr>
        <w:jc w:val="right"/>
      </w:pPr>
      <w:rPr>
        <w:rFonts w:ascii="Arial" w:hAnsi="Arial"/>
        <w:i/>
        <w:color w:val="2A4B71" w:themeColor="accent1" w:themeShade="94"/>
        <w:sz w:val="22"/>
      </w:r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firstRow">
      <w:rPr>
        <w:rFonts w:ascii="Arial" w:hAnsi="Arial"/>
        <w:i/>
        <w:color w:val="2A4B71" w:themeColor="accent1" w:themeShade="94"/>
        <w:sz w:val="22"/>
      </w:rPr>
      <w:tcPr>
        <w:tcBorders>
          <w:top w:val="none" w:sz="0" w:space="0" w:color="auto"/>
          <w:left w:val="none" w:sz="0" w:space="0" w:color="auto"/>
          <w:bottom w:val="single" w:sz="4" w:space="0" w:color="4F81BD" w:themeColor="accent1"/>
          <w:right w:val="none" w:sz="0" w:space="0" w:color="auto"/>
        </w:tcBorders>
        <w:shd w:val="clear" w:color="FFFFFF" w:fill="FFFFFF"/>
      </w:tcPr>
    </w:tblStylePr>
    <w:tblStylePr w:type="lastCol">
      <w:rPr>
        <w:rFonts w:ascii="Arial" w:hAnsi="Arial"/>
        <w:i/>
        <w:color w:val="2A4B71" w:themeColor="accent1" w:themeShade="94"/>
        <w:sz w:val="22"/>
      </w:r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lastRow">
      <w:rPr>
        <w:rFonts w:ascii="Arial" w:hAnsi="Arial"/>
        <w:i/>
        <w:color w:val="2A4B71" w:themeColor="accent1" w:themeShade="94"/>
        <w:sz w:val="22"/>
      </w:rPr>
      <w:tcPr>
        <w:tcBorders>
          <w:top w:val="single" w:sz="4" w:space="0" w:color="4F81BD" w:themeColor="accent1"/>
          <w:left w:val="none" w:sz="0" w:space="0" w:color="auto"/>
          <w:bottom w:val="none" w:sz="0" w:space="0" w:color="auto"/>
          <w:right w:val="none" w:sz="0" w:space="0" w:color="auto"/>
        </w:tcBorders>
        <w:shd w:val="clear" w:color="FFFFFF" w:fill="FFFFFF"/>
      </w:tcPr>
    </w:tblStylePr>
  </w:style>
  <w:style w:type="table" w:customStyle="1" w:styleId="ListTable7Colorful-Accent2">
    <w:name w:val="List Table 7 Colorful - Accent 2"/>
    <w:uiPriority w:val="99"/>
    <w:qFormat/>
    <w:pPr>
      <w:spacing w:after="0" w:line="240" w:lineRule="auto"/>
    </w:pPr>
    <w:rPr/>
    <w:tblPr>
      <w:tblBorders>
        <w:right w:val="single" w:sz="4" w:space="0" w:color="D99795"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rPr/>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one" w:sz="0" w:space="0" w:color="auto"/>
          <w:left w:val="none" w:sz="0" w:space="0" w:color="auto"/>
          <w:bottom w:val="none" w:sz="0" w:space="0" w:color="auto"/>
          <w:right w:val="single" w:sz="4" w:space="0" w:color="D99795" w:themeColor="accent2" w:themeTint="97"/>
        </w:tcBorders>
        <w:shd w:val="clear" w:color="FFFFFF" w:fill="auto"/>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one" w:sz="0" w:space="0" w:color="auto"/>
          <w:left w:val="none" w:sz="0" w:space="0" w:color="auto"/>
          <w:bottom w:val="single" w:sz="4" w:space="0" w:color="D99795" w:themeColor="accent2" w:themeTint="97"/>
          <w:right w:val="none" w:sz="0" w:space="0" w:color="auto"/>
        </w:tcBorders>
        <w:shd w:val="clear" w:color="FFFFFF" w:fill="FFFFFF"/>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one" w:sz="0" w:space="0" w:color="auto"/>
          <w:left w:val="single" w:sz="4" w:space="0" w:color="D99795" w:themeColor="accent2" w:themeTint="97"/>
          <w:bottom w:val="none" w:sz="0" w:space="0" w:color="auto"/>
          <w:right w:val="none" w:sz="0" w:space="0" w:color="auto"/>
        </w:tcBorders>
        <w:shd w:val="clear" w:color="FFFFFF" w:fill="auto"/>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sz="4" w:space="0" w:color="D99795" w:themeColor="accent2" w:themeTint="97"/>
          <w:left w:val="none" w:sz="0" w:space="0" w:color="auto"/>
          <w:bottom w:val="none" w:sz="0" w:space="0" w:color="auto"/>
          <w:right w:val="none" w:sz="0" w:space="0" w:color="auto"/>
        </w:tcBorders>
        <w:shd w:val="clear" w:color="FFFFFF" w:fill="FFFFFF"/>
      </w:tcPr>
    </w:tblStylePr>
  </w:style>
  <w:style w:type="table" w:customStyle="1" w:styleId="ListTable7Colorful-Accent3">
    <w:name w:val="List Table 7 Colorful - Accent 3"/>
    <w:uiPriority w:val="99"/>
    <w:qFormat/>
    <w:pPr>
      <w:spacing w:after="0" w:line="240" w:lineRule="auto"/>
    </w:pPr>
    <w:rPr/>
    <w:tblPr>
      <w:tblBorders>
        <w:right w:val="single" w:sz="4" w:space="0" w:color="C3D69C" w:themeColor="accent3" w:themeTint="98"/>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rPr/>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one" w:sz="0" w:space="0" w:color="auto"/>
          <w:left w:val="none" w:sz="0" w:space="0" w:color="auto"/>
          <w:bottom w:val="none" w:sz="0" w:space="0" w:color="auto"/>
          <w:right w:val="single" w:sz="4" w:space="0" w:color="C3D69C" w:themeColor="accent3" w:themeTint="98"/>
        </w:tcBorders>
        <w:shd w:val="clear" w:color="FFFFFF" w:fill="auto"/>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one" w:sz="0" w:space="0" w:color="auto"/>
          <w:left w:val="none" w:sz="0" w:space="0" w:color="auto"/>
          <w:bottom w:val="single" w:sz="4" w:space="0" w:color="C3D69C" w:themeColor="accent3" w:themeTint="98"/>
          <w:right w:val="none" w:sz="0" w:space="0" w:color="auto"/>
        </w:tcBorders>
        <w:shd w:val="clear" w:color="FFFFFF" w:fill="FFFFFF"/>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one" w:sz="0" w:space="0" w:color="auto"/>
          <w:left w:val="single" w:sz="4" w:space="0" w:color="C3D69C" w:themeColor="accent3" w:themeTint="98"/>
          <w:bottom w:val="none" w:sz="0" w:space="0" w:color="auto"/>
          <w:right w:val="none" w:sz="0" w:space="0" w:color="auto"/>
        </w:tcBorders>
        <w:shd w:val="clear" w:color="FFFFFF" w:fill="auto"/>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sz="4" w:space="0" w:color="C3D69C" w:themeColor="accent3" w:themeTint="98"/>
          <w:left w:val="none" w:sz="0" w:space="0" w:color="auto"/>
          <w:bottom w:val="none" w:sz="0" w:space="0" w:color="auto"/>
          <w:right w:val="none" w:sz="0" w:space="0" w:color="auto"/>
        </w:tcBorders>
        <w:shd w:val="clear" w:color="FFFFFF" w:fill="FFFFFF"/>
      </w:tcPr>
    </w:tblStylePr>
  </w:style>
  <w:style w:type="table" w:customStyle="1" w:styleId="ListTable7Colorful-Accent4">
    <w:name w:val="List Table 7 Colorful - Accent 4"/>
    <w:uiPriority w:val="99"/>
    <w:qFormat/>
    <w:pPr>
      <w:spacing w:after="0" w:line="240" w:lineRule="auto"/>
    </w:pPr>
    <w:rPr/>
    <w:tblPr>
      <w:tblBorders>
        <w:right w:val="single" w:sz="4" w:space="0" w:color="B2A1C6"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rPr/>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one" w:sz="0" w:space="0" w:color="auto"/>
          <w:left w:val="none" w:sz="0" w:space="0" w:color="auto"/>
          <w:bottom w:val="single" w:sz="4" w:space="0" w:color="B2A1C6" w:themeColor="accent4" w:themeTint="9A"/>
          <w:right w:val="none" w:sz="0" w:space="0" w:color="auto"/>
        </w:tcBorders>
        <w:shd w:val="clear" w:color="FFFFFF" w:fill="FFFFFF"/>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sz="4" w:space="0" w:color="B2A1C6" w:themeColor="accent4" w:themeTint="9A"/>
          <w:left w:val="none" w:sz="0" w:space="0" w:color="auto"/>
          <w:bottom w:val="none" w:sz="0" w:space="0" w:color="auto"/>
          <w:right w:val="none" w:sz="0" w:space="0" w:color="auto"/>
        </w:tcBorders>
        <w:shd w:val="clear" w:color="FFFFFF" w:fill="FFFFFF"/>
      </w:tcPr>
    </w:tblStylePr>
  </w:style>
  <w:style w:type="table" w:customStyle="1" w:styleId="ListTable7Colorful-Accent5">
    <w:name w:val="List Table 7 Colorful - Accent 5"/>
    <w:uiPriority w:val="99"/>
    <w:qFormat/>
    <w:pPr>
      <w:spacing w:after="0" w:line="240" w:lineRule="auto"/>
    </w:pPr>
    <w:rPr/>
    <w:tblPr>
      <w:tblBorders>
        <w:right w:val="single" w:sz="4" w:space="0" w:color="92CCDC" w:themeColor="accent5" w:themeTint="9A"/>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rPr/>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one" w:sz="0" w:space="0" w:color="auto"/>
          <w:left w:val="none" w:sz="0" w:space="0" w:color="auto"/>
          <w:bottom w:val="single" w:sz="4" w:space="0" w:color="92CCDC" w:themeColor="accent5" w:themeTint="9A"/>
          <w:right w:val="none" w:sz="0" w:space="0" w:color="auto"/>
        </w:tcBorders>
        <w:shd w:val="clear" w:color="FFFFFF" w:fill="FFFFFF"/>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sz="4" w:space="0" w:color="92CCDC" w:themeColor="accent5" w:themeTint="9A"/>
          <w:left w:val="none" w:sz="0" w:space="0" w:color="auto"/>
          <w:bottom w:val="none" w:sz="0" w:space="0" w:color="auto"/>
          <w:right w:val="none" w:sz="0" w:space="0" w:color="auto"/>
        </w:tcBorders>
        <w:shd w:val="clear" w:color="FFFFFF" w:fill="FFFFFF"/>
      </w:tcPr>
    </w:tblStylePr>
  </w:style>
  <w:style w:type="table" w:customStyle="1" w:styleId="ListTable7Colorful-Accent6">
    <w:name w:val="List Table 7 Colorful - Accent 6"/>
    <w:uiPriority w:val="99"/>
    <w:qFormat/>
    <w:pPr>
      <w:spacing w:after="0" w:line="240" w:lineRule="auto"/>
    </w:pPr>
    <w:rPr/>
    <w:tblPr>
      <w:tblBorders>
        <w:right w:val="single" w:sz="4" w:space="0" w:color="FAC090" w:themeColor="accent6" w:themeTint="98"/>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rPr/>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one" w:sz="0" w:space="0" w:color="auto"/>
          <w:left w:val="none" w:sz="0" w:space="0" w:color="auto"/>
          <w:bottom w:val="single" w:sz="4" w:space="0" w:color="FAC090" w:themeColor="accent6" w:themeTint="98"/>
          <w:right w:val="none" w:sz="0" w:space="0" w:color="auto"/>
        </w:tcBorders>
        <w:shd w:val="clear" w:color="FFFFFF" w:fill="FFFFFF"/>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sz="4" w:space="0" w:color="FAC090" w:themeColor="accent6" w:themeTint="98"/>
          <w:left w:val="none" w:sz="0" w:space="0" w:color="auto"/>
          <w:bottom w:val="none" w:sz="0" w:space="0" w:color="auto"/>
          <w:right w:val="none" w:sz="0" w:space="0" w:color="auto"/>
        </w:tcBorders>
        <w:shd w:val="clear" w:color="FFFFFF" w:fill="FFFFFF"/>
      </w:tcPr>
    </w:tblStylePr>
  </w:style>
  <w:style w:type="table" w:customStyle="1" w:styleId="Lined-Accent">
    <w:name w:val="Lined - Accent"/>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customStyle="1" w:styleId="Lined-Accent1">
    <w:name w:val="Lined - Accent 1"/>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customStyle="1" w:styleId="Lined-Accent2">
    <w:name w:val="Lined - Accent 2"/>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customStyle="1" w:styleId="Lined-Accent3">
    <w:name w:val="Lined - Accent 3"/>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customStyle="1" w:styleId="Lined-Accent4">
    <w:name w:val="Lined - Accent 4"/>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customStyle="1" w:styleId="Lined-Accent5">
    <w:name w:val="Lined - Accent 5"/>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customStyle="1" w:styleId="Lined-Accent6">
    <w:name w:val="Lined - Accent 6"/>
    <w:uiPriority w:val="99"/>
    <w:qFormat/>
    <w:pPr>
      <w:spacing w:after="0" w:line="240" w:lineRule="auto"/>
    </w:pPr>
    <w:rPr>
      <w:color w:val="404040"/>
    </w:r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customStyle="1" w:styleId="Bordered&amp;Lined-Accent">
    <w:name w:val="Bordered &amp; Lined - Accent"/>
    <w:uiPriority w:val="99"/>
    <w:qFormat/>
    <w:pPr>
      <w:spacing w:after="0" w:line="240" w:lineRule="auto"/>
    </w:pPr>
    <w:rPr>
      <w:color w:val="404040"/>
    </w:rPr>
    <w:tblPr>
      <w:tblBorders>
        <w:top w:val="single" w:sz="4" w:space="0" w:color="585858" w:themeColor="text1" w:themeTint="A6"/>
        <w:left w:val="single" w:sz="4" w:space="0" w:color="585858" w:themeColor="text1" w:themeTint="A6"/>
        <w:bottom w:val="single" w:sz="4" w:space="0" w:color="585858" w:themeColor="text1" w:themeTint="A6"/>
        <w:right w:val="single" w:sz="4" w:space="0" w:color="585858" w:themeColor="text1" w:themeTint="A6"/>
        <w:insideH w:val="single" w:sz="4" w:space="0" w:color="585858" w:themeColor="text1" w:themeTint="A6"/>
        <w:insideV w:val="single" w:sz="4" w:space="0" w:color="585858"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customStyle="1" w:styleId="Bordered&amp;Lined-Accent1">
    <w:name w:val="Bordered &amp; Lined - Accent 1"/>
    <w:uiPriority w:val="99"/>
    <w:qFormat/>
    <w:pPr>
      <w:spacing w:after="0" w:line="240" w:lineRule="auto"/>
    </w:pPr>
    <w:rPr>
      <w:color w:val="404040"/>
    </w:rPr>
    <w:tblPr>
      <w:tblBorders>
        <w:top w:val="single" w:sz="4" w:space="0" w:color="2A4B71" w:themeColor="accent1" w:themeShade="95"/>
        <w:left w:val="single" w:sz="4" w:space="0" w:color="2A4B71" w:themeColor="accent1" w:themeShade="95"/>
        <w:bottom w:val="single" w:sz="4" w:space="0" w:color="2A4B71" w:themeColor="accent1" w:themeShade="95"/>
        <w:right w:val="single" w:sz="4" w:space="0" w:color="2A4B71" w:themeColor="accent1" w:themeShade="95"/>
        <w:insideH w:val="single" w:sz="4" w:space="0" w:color="2A4B71" w:themeColor="accent1" w:themeShade="95"/>
        <w:insideV w:val="single" w:sz="4" w:space="0" w:color="2A4B71"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customStyle="1" w:styleId="Bordered&amp;Lined-Accent2">
    <w:name w:val="Bordered &amp; Lined - Accent 2"/>
    <w:uiPriority w:val="99"/>
    <w:qFormat/>
    <w:pPr>
      <w:spacing w:after="0" w:line="240" w:lineRule="auto"/>
    </w:pPr>
    <w:rPr>
      <w:color w:val="404040"/>
    </w:rPr>
    <w:tblPr>
      <w:tblBorders>
        <w:top w:val="single" w:sz="4" w:space="0" w:color="742B29" w:themeColor="accent2" w:themeShade="95"/>
        <w:left w:val="single" w:sz="4" w:space="0" w:color="742B29" w:themeColor="accent2" w:themeShade="95"/>
        <w:bottom w:val="single" w:sz="4" w:space="0" w:color="742B29" w:themeColor="accent2" w:themeShade="95"/>
        <w:right w:val="single" w:sz="4" w:space="0" w:color="742B29" w:themeColor="accent2" w:themeShade="95"/>
        <w:insideH w:val="single" w:sz="4" w:space="0" w:color="742B29" w:themeColor="accent2" w:themeShade="95"/>
        <w:insideV w:val="single" w:sz="4" w:space="0" w:color="742B29"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customStyle="1" w:styleId="Bordered&amp;Lined-Accent3">
    <w:name w:val="Bordered &amp; Lined - Accent 3"/>
    <w:uiPriority w:val="99"/>
    <w:qFormat/>
    <w:pPr>
      <w:spacing w:after="0" w:line="240" w:lineRule="auto"/>
    </w:pPr>
    <w:rPr>
      <w:color w:val="404040"/>
    </w:rPr>
    <w:tblPr>
      <w:tblBorders>
        <w:top w:val="single" w:sz="4" w:space="0" w:color="5C722E" w:themeColor="accent3" w:themeShade="95"/>
        <w:left w:val="single" w:sz="4" w:space="0" w:color="5C722E" w:themeColor="accent3" w:themeShade="95"/>
        <w:bottom w:val="single" w:sz="4" w:space="0" w:color="5C722E" w:themeColor="accent3" w:themeShade="95"/>
        <w:right w:val="single" w:sz="4" w:space="0" w:color="5C722E" w:themeColor="accent3" w:themeShade="95"/>
        <w:insideH w:val="single" w:sz="4" w:space="0" w:color="5C722E" w:themeColor="accent3" w:themeShade="95"/>
        <w:insideV w:val="single" w:sz="4" w:space="0" w:color="5C722E"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customStyle="1" w:styleId="Bordered&amp;Lined-Accent4">
    <w:name w:val="Bordered &amp; Lined - Accent 4"/>
    <w:uiPriority w:val="99"/>
    <w:qFormat/>
    <w:pPr>
      <w:spacing w:after="0" w:line="240" w:lineRule="auto"/>
    </w:pPr>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customStyle="1" w:styleId="Bordered&amp;Lined-Accent5">
    <w:name w:val="Bordered &amp; Lined - Accent 5"/>
    <w:uiPriority w:val="99"/>
    <w:qFormat/>
    <w:pPr>
      <w:spacing w:after="0" w:line="240" w:lineRule="auto"/>
    </w:pPr>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customStyle="1" w:styleId="Bordered&amp;Lined-Accent6">
    <w:name w:val="Bordered &amp; Lined - Accent 6"/>
    <w:uiPriority w:val="99"/>
    <w:qFormat/>
    <w:pPr>
      <w:spacing w:after="0" w:line="240" w:lineRule="auto"/>
    </w:pPr>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customStyle="1" w:styleId="Bordered">
    <w:name w:val="Bordered"/>
    <w:uiPriority w:val="99"/>
    <w:qFormat/>
    <w:pPr>
      <w:spacing w:after="0" w:line="240" w:lineRule="auto"/>
    </w:pPr>
    <w:rPr/>
    <w:tblPr>
      <w:tblBorders>
        <w:top w:val="single" w:sz="4" w:space="0" w:color="D8D8D8" w:themeColor="text1" w:themeTint="26"/>
        <w:left w:val="single" w:sz="4" w:space="0" w:color="D8D8D8" w:themeColor="text1" w:themeTint="26"/>
        <w:bottom w:val="single" w:sz="4" w:space="0" w:color="D8D8D8" w:themeColor="text1" w:themeTint="26"/>
        <w:right w:val="single" w:sz="4" w:space="0" w:color="D8D8D8" w:themeColor="text1" w:themeTint="26"/>
        <w:insideH w:val="single" w:sz="4" w:space="0" w:color="D8D8D8" w:themeColor="text1" w:themeTint="26"/>
        <w:insideV w:val="single" w:sz="4" w:space="0" w:color="D8D8D8" w:themeColor="text1" w:themeTint="26"/>
      </w:tblBorders>
    </w:tblPr>
    <w:tblStylePr w:type="band1Horz">
      <w:rPr>
        <w:rFonts w:ascii="Arial" w:hAnsi="Arial"/>
        <w:color w:val="404040"/>
        <w:sz w:val="22"/>
      </w:rPr>
      <w:tcPr>
        <w:tcBorders>
          <w:top w:val="single" w:sz="4" w:space="0" w:color="D8D8D8" w:themeColor="text1" w:themeTint="26"/>
          <w:left w:val="single" w:sz="4" w:space="0" w:color="D8D8D8" w:themeColor="text1" w:themeTint="26"/>
          <w:bottom w:val="single" w:sz="4" w:space="0" w:color="D8D8D8" w:themeColor="text1" w:themeTint="26"/>
          <w:right w:val="single" w:sz="4" w:space="0" w:color="D8D8D8"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7E7E7E" w:themeColor="text1" w:themeTint="80"/>
        </w:tcBorders>
      </w:tcPr>
    </w:tblStylePr>
    <w:tblStylePr w:type="lastCol">
      <w:rPr>
        <w:rFonts w:ascii="Arial" w:hAnsi="Arial"/>
        <w:color w:val="404040"/>
        <w:sz w:val="22"/>
      </w:rPr>
      <w:tcPr>
        <w:tcBorders>
          <w:left w:val="single" w:sz="12" w:space="0" w:color="7E7E7E" w:themeColor="text1" w:themeTint="80"/>
        </w:tcBorders>
      </w:tcPr>
    </w:tblStylePr>
    <w:tblStylePr w:type="lastRow">
      <w:rPr>
        <w:rFonts w:ascii="Arial" w:hAnsi="Arial"/>
        <w:color w:val="404040"/>
        <w:sz w:val="22"/>
      </w:rPr>
      <w:tcPr>
        <w:tcBorders>
          <w:top w:val="single" w:sz="12" w:space="0" w:color="7E7E7E" w:themeColor="text1" w:themeTint="80"/>
        </w:tcBorders>
      </w:tcPr>
    </w:tblStylePr>
  </w:style>
  <w:style w:type="table" w:customStyle="1" w:styleId="Bordered-Accent1">
    <w:name w:val="Bordered - Accent 1"/>
    <w:uiPriority w:val="99"/>
    <w:qFormat/>
    <w:pPr>
      <w:spacing w:after="0" w:line="240" w:lineRule="auto"/>
    </w:pPr>
    <w:rPr/>
    <w:tblPr>
      <w:tbl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insideH w:val="single" w:sz="4" w:space="0" w:color="B7CCE4" w:themeColor="accent1" w:themeTint="67"/>
        <w:insideV w:val="single" w:sz="4" w:space="0" w:color="B7CCE4" w:themeColor="accent1" w:themeTint="67"/>
      </w:tblBorders>
    </w:tblPr>
    <w:tblStylePr w:type="band1Horz">
      <w:rPr>
        <w:rFonts w:ascii="Arial" w:hAnsi="Arial"/>
        <w:color w:val="404040"/>
        <w:sz w:val="22"/>
      </w:rPr>
      <w:tcPr>
        <w:tc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4F81BD" w:themeColor="accent1"/>
        </w:tcBorders>
      </w:tcPr>
    </w:tblStylePr>
    <w:tblStylePr w:type="lastCol">
      <w:rPr>
        <w:rFonts w:ascii="Arial" w:hAnsi="Arial"/>
        <w:color w:val="404040"/>
        <w:sz w:val="22"/>
      </w:rPr>
      <w:tcPr>
        <w:tcBorders>
          <w:left w:val="single" w:sz="12" w:space="0" w:color="4F81BD" w:themeColor="accent1"/>
        </w:tcBorders>
      </w:tcPr>
    </w:tblStylePr>
    <w:tblStylePr w:type="lastRow">
      <w:rPr>
        <w:rFonts w:ascii="Arial" w:hAnsi="Arial"/>
        <w:color w:val="404040"/>
        <w:sz w:val="22"/>
      </w:rPr>
      <w:tcPr>
        <w:tcBorders>
          <w:top w:val="single" w:sz="12" w:space="0" w:color="4F81BD" w:themeColor="accent1"/>
        </w:tcBorders>
      </w:tcPr>
    </w:tblStylePr>
  </w:style>
  <w:style w:type="table" w:customStyle="1" w:styleId="Bordered-Accent2">
    <w:name w:val="Bordered - Accent 2"/>
    <w:uiPriority w:val="99"/>
    <w:qFormat/>
    <w:pPr>
      <w:spacing w:after="0" w:line="240" w:lineRule="auto"/>
    </w:pPr>
    <w:rPr/>
    <w:tblPr>
      <w:tbl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insideH w:val="single" w:sz="4" w:space="0" w:color="E5B8B7" w:themeColor="accent2" w:themeTint="67"/>
        <w:insideV w:val="single" w:sz="4" w:space="0" w:color="E5B8B7" w:themeColor="accent2" w:themeTint="67"/>
      </w:tblBorders>
    </w:tblPr>
    <w:tblStylePr w:type="band1Horz">
      <w:rPr>
        <w:rFonts w:ascii="Arial" w:hAnsi="Arial"/>
        <w:color w:val="404040"/>
        <w:sz w:val="22"/>
      </w:rPr>
      <w:tcPr>
        <w:tc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D99795" w:themeColor="accent2" w:themeTint="97"/>
        </w:tcBorders>
      </w:tcPr>
    </w:tblStylePr>
    <w:tblStylePr w:type="lastCol">
      <w:rPr>
        <w:rFonts w:ascii="Arial" w:hAnsi="Arial"/>
        <w:color w:val="404040"/>
        <w:sz w:val="22"/>
      </w:rPr>
      <w:tcPr>
        <w:tcBorders>
          <w:left w:val="single" w:sz="12" w:space="0" w:color="D99795" w:themeColor="accent2" w:themeTint="97"/>
        </w:tcBorders>
      </w:tcPr>
    </w:tblStylePr>
    <w:tblStylePr w:type="lastRow">
      <w:rPr>
        <w:rFonts w:ascii="Arial" w:hAnsi="Arial"/>
        <w:color w:val="404040"/>
        <w:sz w:val="22"/>
      </w:rPr>
      <w:tcPr>
        <w:tcBorders>
          <w:top w:val="single" w:sz="12" w:space="0" w:color="D99795" w:themeColor="accent2" w:themeTint="97"/>
        </w:tcBorders>
      </w:tcPr>
    </w:tblStylePr>
  </w:style>
  <w:style w:type="table" w:customStyle="1" w:styleId="Bordered-Accent3">
    <w:name w:val="Bordered - Accent 3"/>
    <w:uiPriority w:val="99"/>
    <w:qFormat/>
    <w:pPr>
      <w:spacing w:after="0" w:line="240" w:lineRule="auto"/>
    </w:pPr>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band1Horz">
      <w:rPr>
        <w:rFonts w:ascii="Arial" w:hAnsi="Arial"/>
        <w:color w:val="404040"/>
        <w:sz w:val="22"/>
      </w: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C3D69C" w:themeColor="accent3" w:themeTint="98"/>
        </w:tcBorders>
      </w:tcPr>
    </w:tblStylePr>
    <w:tblStylePr w:type="lastCol">
      <w:rPr>
        <w:rFonts w:ascii="Arial" w:hAnsi="Arial"/>
        <w:color w:val="404040"/>
        <w:sz w:val="22"/>
      </w:rPr>
      <w:tcPr>
        <w:tcBorders>
          <w:left w:val="single" w:sz="12" w:space="0" w:color="C3D69C" w:themeColor="accent3" w:themeTint="98"/>
        </w:tcBorders>
      </w:tcPr>
    </w:tblStylePr>
    <w:tblStylePr w:type="lastRow">
      <w:rPr>
        <w:rFonts w:ascii="Arial" w:hAnsi="Arial"/>
        <w:color w:val="404040"/>
        <w:sz w:val="22"/>
      </w:rPr>
      <w:tcPr>
        <w:tcBorders>
          <w:top w:val="single" w:sz="12" w:space="0" w:color="C3D69C" w:themeColor="accent3" w:themeTint="98"/>
        </w:tcBorders>
      </w:tcPr>
    </w:tblStylePr>
  </w:style>
  <w:style w:type="table" w:customStyle="1" w:styleId="Bordered-Accent4">
    <w:name w:val="Bordered - Accent 4"/>
    <w:uiPriority w:val="99"/>
    <w:qFormat/>
    <w:pPr>
      <w:spacing w:after="0" w:line="240" w:lineRule="auto"/>
    </w:pPr>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band1Horz">
      <w:rPr>
        <w:rFonts w:ascii="Arial" w:hAnsi="Arial"/>
        <w:color w:val="404040"/>
        <w:sz w:val="22"/>
      </w: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B2A1C6" w:themeColor="accent4" w:themeTint="9A"/>
        </w:tcBorders>
      </w:tcPr>
    </w:tblStylePr>
    <w:tblStylePr w:type="lastCol">
      <w:rPr>
        <w:rFonts w:ascii="Arial" w:hAnsi="Arial"/>
        <w:color w:val="404040"/>
        <w:sz w:val="22"/>
      </w:rPr>
      <w:tcPr>
        <w:tcBorders>
          <w:left w:val="single" w:sz="12" w:space="0" w:color="B2A1C6" w:themeColor="accent4" w:themeTint="9A"/>
        </w:tcBorders>
      </w:tcPr>
    </w:tblStylePr>
    <w:tblStylePr w:type="lastRow">
      <w:rPr>
        <w:rFonts w:ascii="Arial" w:hAnsi="Arial"/>
        <w:color w:val="404040"/>
        <w:sz w:val="22"/>
      </w:rPr>
      <w:tcPr>
        <w:tcBorders>
          <w:top w:val="single" w:sz="12" w:space="0" w:color="B2A1C6" w:themeColor="accent4" w:themeTint="9A"/>
        </w:tcBorders>
      </w:tcPr>
    </w:tblStylePr>
  </w:style>
  <w:style w:type="table" w:customStyle="1" w:styleId="Bordered-Accent5">
    <w:name w:val="Bordered - Accent 5"/>
    <w:uiPriority w:val="99"/>
    <w:qFormat/>
    <w:pPr>
      <w:spacing w:after="0" w:line="240" w:lineRule="auto"/>
    </w:pPr>
    <w:rPr/>
    <w:tblPr>
      <w:tbl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insideH w:val="single" w:sz="4" w:space="0" w:color="B6DDE7" w:themeColor="accent5" w:themeTint="67"/>
        <w:insideV w:val="single" w:sz="4" w:space="0" w:color="B6DDE7" w:themeColor="accent5" w:themeTint="67"/>
      </w:tblBorders>
    </w:tblPr>
    <w:tblStylePr w:type="band1Horz">
      <w:rPr>
        <w:rFonts w:ascii="Arial" w:hAnsi="Arial"/>
        <w:color w:val="404040"/>
        <w:sz w:val="22"/>
      </w:rPr>
      <w:tcPr>
        <w:tc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92CCDC" w:themeColor="accent5" w:themeTint="9A"/>
        </w:tcBorders>
      </w:tcPr>
    </w:tblStylePr>
    <w:tblStylePr w:type="lastCol">
      <w:rPr>
        <w:rFonts w:ascii="Arial" w:hAnsi="Arial"/>
        <w:color w:val="404040"/>
        <w:sz w:val="22"/>
      </w:rPr>
      <w:tcPr>
        <w:tcBorders>
          <w:left w:val="single" w:sz="12" w:space="0" w:color="92CCDC" w:themeColor="accent5" w:themeTint="9A"/>
        </w:tcBorders>
      </w:tcPr>
    </w:tblStylePr>
    <w:tblStylePr w:type="lastRow">
      <w:rPr>
        <w:rFonts w:ascii="Arial" w:hAnsi="Arial"/>
        <w:color w:val="404040"/>
        <w:sz w:val="22"/>
      </w:rPr>
      <w:tcPr>
        <w:tcBorders>
          <w:top w:val="single" w:sz="12" w:space="0" w:color="92CCDC" w:themeColor="accent5" w:themeTint="9A"/>
        </w:tcBorders>
      </w:tcPr>
    </w:tblStylePr>
  </w:style>
  <w:style w:type="table" w:customStyle="1" w:styleId="Bordered-Accent6">
    <w:name w:val="Bordered - Accent 6"/>
    <w:uiPriority w:val="99"/>
    <w:qFormat/>
    <w:pPr>
      <w:spacing w:after="0" w:line="240" w:lineRule="auto"/>
    </w:pPr>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band1Horz">
      <w:rPr>
        <w:rFonts w:ascii="Arial" w:hAnsi="Arial"/>
        <w:color w:val="404040"/>
        <w:sz w:val="22"/>
      </w: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FAC090" w:themeColor="accent6" w:themeTint="98"/>
        </w:tcBorders>
      </w:tcPr>
    </w:tblStylePr>
    <w:tblStylePr w:type="lastCol">
      <w:rPr>
        <w:rFonts w:ascii="Arial" w:hAnsi="Arial"/>
        <w:color w:val="404040"/>
        <w:sz w:val="22"/>
      </w:rPr>
      <w:tcPr>
        <w:tcBorders>
          <w:left w:val="single" w:sz="12" w:space="0" w:color="FAC090" w:themeColor="accent6" w:themeTint="98"/>
        </w:tcBorders>
      </w:tcPr>
    </w:tblStylePr>
    <w:tblStylePr w:type="lastRow">
      <w:rPr>
        <w:rFonts w:ascii="Arial" w:hAnsi="Arial"/>
        <w:color w:val="404040"/>
        <w:sz w:val="22"/>
      </w:rPr>
      <w:tcPr>
        <w:tcBorders>
          <w:top w:val="single" w:sz="12" w:space="0" w:color="FAC090" w:themeColor="accent6" w:themeTint="98"/>
        </w:tcBorders>
      </w:tcPr>
    </w:tblStylePr>
  </w:style>
  <w:style w:type="character" w:customStyle="1" w:styleId="EndnoteTextChar">
    <w:name w:val="Endnote Text Char"/>
    <w:link w:val="EndnoteText"/>
    <w:uiPriority w:val="99"/>
    <w:qFormat/>
    <w:rPr>
      <w:sz w:val="20"/>
    </w:rPr>
  </w:style>
  <w:style w:type="paragraph" w:customStyle="1" w:styleId="TOCHeading">
    <w:name w:val="TOC Heading"/>
    <w:uiPriority w:val="39"/>
    <w:unhideWhenUsed/>
    <w:qFormat/>
    <w:rPr>
      <w:rFonts w:ascii="Times New Roman" w:eastAsia="宋体" w:hAnsi="Times New Roman" w:cs="Times New Roman" w:hint="default"/>
    </w:rPr>
  </w:style>
  <w:style w:type="paragraph" w:customStyle="1" w:styleId="标题111">
    <w:name w:val="标题 111"/>
    <w:basedOn w:val="Normal"/>
    <w:next w:val="Normal"/>
    <w:link w:val="标题1Char"/>
    <w:qFormat/>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标题211">
    <w:name w:val="标题 211"/>
    <w:basedOn w:val="Normal"/>
    <w:next w:val="Normal"/>
    <w:link w:val="标题2Char"/>
    <w:uiPriority w:val="9"/>
    <w:qFormat/>
    <w:pPr>
      <w:keepNext/>
      <w:keepLines/>
      <w:spacing w:before="60" w:after="60" w:line="413" w:lineRule="auto"/>
      <w:outlineLvl w:val="1"/>
    </w:pPr>
    <w:rPr>
      <w:rFonts w:ascii="Arial" w:eastAsia="黑体" w:hAnsi="Arial"/>
      <w:b/>
      <w:bCs/>
      <w:sz w:val="20"/>
      <w:szCs w:val="32"/>
    </w:rPr>
  </w:style>
  <w:style w:type="paragraph" w:customStyle="1" w:styleId="标题31">
    <w:name w:val="标题 31"/>
    <w:basedOn w:val="Normal"/>
    <w:next w:val="正文缩进111"/>
    <w:link w:val="标题3Char"/>
    <w:qFormat/>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正文缩进111">
    <w:name w:val="正文缩进111"/>
    <w:basedOn w:val="Normal"/>
    <w:link w:val="正文缩进Char"/>
    <w:qFormat/>
    <w:pPr>
      <w:ind w:firstLine="420"/>
    </w:pPr>
    <w:rPr/>
  </w:style>
  <w:style w:type="paragraph" w:customStyle="1" w:styleId="标题41">
    <w:name w:val="标题 41"/>
    <w:basedOn w:val="Normal"/>
    <w:next w:val="Normal"/>
    <w:link w:val="标题4Char"/>
    <w:qFormat/>
    <w:pPr>
      <w:keepNext/>
      <w:keepLines/>
      <w:spacing w:before="280" w:after="290" w:line="376" w:lineRule="auto"/>
      <w:outlineLvl w:val="3"/>
    </w:pPr>
    <w:rPr>
      <w:rFonts w:ascii="Cambria" w:eastAsia="宋体" w:hAnsi="Cambria" w:cs="Times New Roman"/>
      <w:b/>
      <w:bCs/>
      <w:sz w:val="28"/>
      <w:szCs w:val="28"/>
    </w:rPr>
  </w:style>
  <w:style w:type="paragraph" w:customStyle="1" w:styleId="标题51">
    <w:name w:val="标题 51"/>
    <w:basedOn w:val="Normal"/>
    <w:next w:val="Normal"/>
    <w:link w:val="标题5Char"/>
    <w:qFormat/>
    <w:pPr>
      <w:keepNext/>
      <w:keepLines/>
      <w:spacing w:before="280" w:after="290" w:line="376" w:lineRule="auto"/>
      <w:outlineLvl w:val="4"/>
    </w:pPr>
    <w:rPr>
      <w:b/>
      <w:bCs/>
      <w:sz w:val="28"/>
      <w:szCs w:val="28"/>
    </w:rPr>
  </w:style>
  <w:style w:type="paragraph" w:customStyle="1" w:styleId="标题61">
    <w:name w:val="标题 61"/>
    <w:basedOn w:val="Normal"/>
    <w:next w:val="Normal"/>
    <w:link w:val="标题6Char3"/>
    <w:qFormat/>
    <w:pPr>
      <w:keepNext/>
      <w:keepLines/>
      <w:spacing w:before="240" w:after="64" w:line="317" w:lineRule="auto"/>
      <w:outlineLvl w:val="5"/>
    </w:pPr>
    <w:rPr>
      <w:rFonts w:ascii="Cambria" w:hAnsi="Cambria"/>
      <w:b/>
      <w:bCs/>
      <w:sz w:val="24"/>
    </w:rPr>
  </w:style>
  <w:style w:type="paragraph" w:customStyle="1" w:styleId="标题71">
    <w:name w:val="标题 71"/>
    <w:basedOn w:val="Normal"/>
    <w:next w:val="Normal"/>
    <w:link w:val="标题7Char"/>
    <w:qFormat/>
    <w:pPr>
      <w:ind w:left="953"/>
      <w:outlineLvl w:val="6"/>
    </w:pPr>
    <w:rPr>
      <w:rFonts w:ascii="宋体" w:hAnsi="宋体" w:cs="宋体"/>
      <w:b/>
      <w:bCs/>
      <w:sz w:val="24"/>
      <w:lang w:val="zh-CN" w:bidi="zh-CN"/>
    </w:rPr>
  </w:style>
  <w:style w:type="paragraph" w:customStyle="1" w:styleId="标题81">
    <w:name w:val="标题 81"/>
    <w:basedOn w:val="Normal"/>
    <w:next w:val="Normal"/>
    <w:link w:val="标题8Char3"/>
    <w:qFormat/>
    <w:pPr>
      <w:keepNext/>
      <w:keepLines/>
      <w:spacing w:before="240" w:after="64" w:line="317" w:lineRule="auto"/>
      <w:outlineLvl w:val="7"/>
    </w:pPr>
    <w:rPr>
      <w:rFonts w:ascii="Cambria" w:hAnsi="Cambria"/>
      <w:sz w:val="24"/>
    </w:rPr>
  </w:style>
  <w:style w:type="paragraph" w:customStyle="1" w:styleId="标题91">
    <w:name w:val="标题 91"/>
    <w:basedOn w:val="Normal"/>
    <w:next w:val="Normal"/>
    <w:link w:val="标题9Char3"/>
    <w:qFormat/>
    <w:pPr>
      <w:keepNext/>
      <w:keepLines/>
      <w:spacing w:before="240" w:after="64" w:line="317" w:lineRule="auto"/>
      <w:outlineLvl w:val="8"/>
    </w:pPr>
    <w:rPr>
      <w:rFonts w:ascii="Cambria" w:hAnsi="Cambria"/>
      <w:szCs w:val="21"/>
    </w:rPr>
  </w:style>
  <w:style w:type="character" w:customStyle="1" w:styleId="默认段落字体1">
    <w:name w:val="默认段落字体1"/>
    <w:link w:val="Normal"/>
    <w:uiPriority w:val="1"/>
    <w:unhideWhenUsed/>
    <w:qFormat/>
    <w:rPr/>
  </w:style>
  <w:style w:type="table" w:customStyle="1" w:styleId="普通表格1">
    <w:name w:val="普通表格1"/>
    <w:uiPriority w:val="99"/>
    <w:unhideWhenUsed/>
    <w:qFormat/>
    <w:rPr/>
  </w:style>
  <w:style w:type="character" w:customStyle="1" w:styleId="标题1Char">
    <w:name w:val="标题 1 Char"/>
    <w:link w:val="标题111"/>
    <w:qFormat/>
    <w:rPr>
      <w:rFonts w:ascii="宋体" w:eastAsia="宋体" w:hAnsi="Times New Roman" w:cs="Times New Roman"/>
      <w:b/>
      <w:color w:val="000000"/>
      <w:sz w:val="44"/>
      <w:szCs w:val="20"/>
    </w:rPr>
  </w:style>
  <w:style w:type="character" w:customStyle="1" w:styleId="标题2Char">
    <w:name w:val="标题 2 Char"/>
    <w:link w:val="标题211"/>
    <w:uiPriority w:val="9"/>
    <w:qFormat/>
    <w:rPr>
      <w:rFonts w:ascii="Arial" w:eastAsia="黑体" w:hAnsi="Arial" w:cs="Times New Roman"/>
      <w:b/>
      <w:bCs/>
      <w:sz w:val="20"/>
      <w:szCs w:val="32"/>
    </w:rPr>
  </w:style>
  <w:style w:type="character" w:customStyle="1" w:styleId="标题3Char">
    <w:name w:val="标题 3 Char"/>
    <w:link w:val="标题31"/>
    <w:uiPriority w:val="9"/>
    <w:qFormat/>
    <w:rPr>
      <w:rFonts w:ascii="宋体" w:eastAsia="宋体" w:hAnsi="Times New Roman" w:cs="Times New Roman"/>
      <w:b/>
      <w:color w:val="000000"/>
      <w:sz w:val="32"/>
      <w:szCs w:val="20"/>
    </w:rPr>
  </w:style>
  <w:style w:type="character" w:customStyle="1" w:styleId="正文缩进Char">
    <w:name w:val="正文缩进 Char"/>
    <w:link w:val="正文缩进111"/>
    <w:uiPriority w:val="99"/>
    <w:qFormat/>
    <w:rPr>
      <w:rFonts w:ascii="Times New Roman" w:eastAsia="宋体" w:hAnsi="Times New Roman" w:cs="Times New Roman"/>
      <w:szCs w:val="24"/>
    </w:rPr>
  </w:style>
  <w:style w:type="character" w:customStyle="1" w:styleId="标题4Char">
    <w:name w:val="标题 4 Char"/>
    <w:link w:val="标题41"/>
    <w:uiPriority w:val="9"/>
    <w:qFormat/>
    <w:rPr>
      <w:rFonts w:ascii="Cambria" w:eastAsia="宋体" w:hAnsi="Cambria" w:cs="Times New Roman"/>
      <w:b/>
      <w:bCs/>
      <w:sz w:val="28"/>
      <w:szCs w:val="28"/>
    </w:rPr>
  </w:style>
  <w:style w:type="character" w:customStyle="1" w:styleId="标题5Char">
    <w:name w:val="标题 5 Char"/>
    <w:link w:val="标题51"/>
    <w:uiPriority w:val="9"/>
    <w:semiHidden/>
    <w:qFormat/>
    <w:rPr>
      <w:rFonts w:ascii="Times New Roman" w:eastAsia="宋体" w:hAnsi="Times New Roman" w:cs="Times New Roman"/>
      <w:b/>
      <w:bCs/>
      <w:sz w:val="28"/>
      <w:szCs w:val="28"/>
    </w:rPr>
  </w:style>
  <w:style w:type="character" w:customStyle="1" w:styleId="标题6Char3">
    <w:name w:val="标题 6 Char3"/>
    <w:link w:val="标题61"/>
    <w:qFormat/>
    <w:rPr>
      <w:rFonts w:ascii="Cambria" w:eastAsia="宋体" w:hAnsi="Cambria" w:cs="Times New Roman"/>
      <w:b/>
      <w:bCs/>
      <w:sz w:val="24"/>
      <w:szCs w:val="24"/>
    </w:rPr>
  </w:style>
  <w:style w:type="character" w:customStyle="1" w:styleId="标题7Char">
    <w:name w:val="标题 7 Char"/>
    <w:link w:val="标题71"/>
    <w:uiPriority w:val="9"/>
    <w:qFormat/>
    <w:rPr>
      <w:rFonts w:ascii="宋体" w:eastAsia="宋体" w:hAnsi="宋体" w:cs="宋体"/>
      <w:b/>
      <w:bCs/>
      <w:sz w:val="24"/>
      <w:szCs w:val="24"/>
      <w:lang w:val="zh-CN" w:bidi="zh-CN"/>
    </w:rPr>
  </w:style>
  <w:style w:type="character" w:customStyle="1" w:styleId="标题8Char3">
    <w:name w:val="标题 8 Char3"/>
    <w:link w:val="标题81"/>
    <w:qFormat/>
    <w:rPr>
      <w:rFonts w:ascii="Cambria" w:eastAsia="宋体" w:hAnsi="Cambria" w:cs="Times New Roman"/>
      <w:sz w:val="24"/>
      <w:szCs w:val="24"/>
    </w:rPr>
  </w:style>
  <w:style w:type="character" w:customStyle="1" w:styleId="标题9Char3">
    <w:name w:val="标题 9 Char3"/>
    <w:link w:val="标题91"/>
    <w:qFormat/>
    <w:rPr>
      <w:rFonts w:ascii="Cambria" w:eastAsia="宋体" w:hAnsi="Cambria" w:cs="Times New Roman"/>
      <w:szCs w:val="21"/>
    </w:rPr>
  </w:style>
  <w:style w:type="paragraph" w:customStyle="1" w:styleId="目录71">
    <w:name w:val="目录 71"/>
    <w:basedOn w:val="Normal"/>
    <w:next w:val="Normal"/>
    <w:uiPriority w:val="39"/>
    <w:qFormat/>
    <w:pPr>
      <w:ind w:left="2520"/>
    </w:pPr>
    <w:rPr>
      <w:rFonts w:ascii="Calibri" w:hAnsi="Calibri"/>
      <w:szCs w:val="22"/>
    </w:rPr>
  </w:style>
  <w:style w:type="paragraph" w:customStyle="1" w:styleId="题注1">
    <w:name w:val="题注1"/>
    <w:basedOn w:val="Normal"/>
    <w:next w:val="Normal"/>
    <w:qFormat/>
    <w:rPr>
      <w:rFonts w:ascii="Cambria" w:eastAsia="黑体" w:hAnsi="Cambria"/>
      <w:sz w:val="20"/>
      <w:szCs w:val="20"/>
    </w:rPr>
  </w:style>
  <w:style w:type="paragraph" w:customStyle="1" w:styleId="文档结构图111">
    <w:name w:val="文档结构图111"/>
    <w:basedOn w:val="Normal"/>
    <w:link w:val="文档结构图Char"/>
    <w:qFormat/>
    <w:pPr>
      <w:shd w:val="clear" w:color="auto" w:fill="000080"/>
    </w:pPr>
    <w:rPr/>
  </w:style>
  <w:style w:type="character" w:customStyle="1" w:styleId="文档结构图Char">
    <w:name w:val="文档结构图 Char"/>
    <w:link w:val="文档结构图111"/>
    <w:uiPriority w:val="99"/>
    <w:semiHidden/>
    <w:qFormat/>
    <w:rPr>
      <w:rFonts w:ascii="Times New Roman" w:eastAsia="宋体" w:hAnsi="Times New Roman" w:cs="Times New Roman"/>
      <w:szCs w:val="24"/>
      <w:shd w:val="clear" w:color="auto" w:fill="000080"/>
    </w:rPr>
  </w:style>
  <w:style w:type="paragraph" w:customStyle="1" w:styleId="批注文字1">
    <w:name w:val="批注文字1"/>
    <w:basedOn w:val="Normal"/>
    <w:link w:val="批注文字Char"/>
    <w:qFormat/>
    <w:pPr>
      <w:jc w:val="left"/>
    </w:pPr>
    <w:rPr/>
  </w:style>
  <w:style w:type="character" w:customStyle="1" w:styleId="批注文字Char">
    <w:name w:val="批注文字 Char"/>
    <w:link w:val="批注文字1"/>
    <w:qFormat/>
    <w:rPr>
      <w:rFonts w:ascii="Times New Roman" w:eastAsia="宋体" w:hAnsi="Times New Roman" w:cs="Times New Roman"/>
      <w:szCs w:val="24"/>
    </w:rPr>
  </w:style>
  <w:style w:type="paragraph" w:customStyle="1" w:styleId="正文文本311">
    <w:name w:val="正文文本 311"/>
    <w:basedOn w:val="Normal"/>
    <w:link w:val="正文文本3Char"/>
    <w:qFormat/>
    <w:pPr>
      <w:jc w:val="center"/>
    </w:pPr>
    <w:rPr>
      <w:rFonts w:eastAsia="黑体"/>
      <w:sz w:val="72"/>
    </w:rPr>
  </w:style>
  <w:style w:type="character" w:customStyle="1" w:styleId="正文文本3Char">
    <w:name w:val="正文文本 3 Char"/>
    <w:link w:val="正文文本311"/>
    <w:uiPriority w:val="99"/>
    <w:qFormat/>
    <w:rPr>
      <w:rFonts w:ascii="Times New Roman" w:eastAsia="黑体" w:hAnsi="Times New Roman" w:cs="Times New Roman"/>
      <w:sz w:val="72"/>
      <w:szCs w:val="24"/>
    </w:rPr>
  </w:style>
  <w:style w:type="paragraph" w:customStyle="1" w:styleId="正文文本1">
    <w:name w:val="正文文本1"/>
    <w:basedOn w:val="Normal"/>
    <w:next w:val="目录21"/>
    <w:link w:val="正文文本Char"/>
    <w:qFormat/>
    <w:pPr>
      <w:jc w:val="center"/>
    </w:pPr>
    <w:rPr>
      <w:rFonts w:eastAsia="仿宋_GB2312"/>
      <w:sz w:val="28"/>
    </w:rPr>
  </w:style>
  <w:style w:type="paragraph" w:customStyle="1" w:styleId="目录21">
    <w:name w:val="目录 21"/>
    <w:basedOn w:val="Normal"/>
    <w:next w:val="Normal"/>
    <w:uiPriority w:val="39"/>
    <w:qFormat/>
    <w:pPr>
      <w:ind w:left="210"/>
    </w:pPr>
    <w:rPr>
      <w:smallCaps/>
    </w:rPr>
  </w:style>
  <w:style w:type="character" w:customStyle="1" w:styleId="正文文本Char">
    <w:name w:val="正文文本 Char"/>
    <w:link w:val="正文文本1"/>
    <w:uiPriority w:val="99"/>
    <w:qFormat/>
    <w:rPr>
      <w:rFonts w:ascii="Times New Roman" w:eastAsia="仿宋_GB2312" w:hAnsi="Times New Roman" w:cs="Times New Roman"/>
      <w:sz w:val="28"/>
      <w:szCs w:val="24"/>
    </w:rPr>
  </w:style>
  <w:style w:type="paragraph" w:customStyle="1" w:styleId="正文文本缩进1">
    <w:name w:val="正文文本缩进1"/>
    <w:basedOn w:val="Normal"/>
    <w:next w:val="目录51"/>
    <w:link w:val="正文文本缩进Char"/>
    <w:qFormat/>
    <w:pPr>
      <w:spacing w:after="120"/>
      <w:ind w:left="420"/>
    </w:pPr>
    <w:rPr/>
  </w:style>
  <w:style w:type="paragraph" w:customStyle="1" w:styleId="目录51">
    <w:name w:val="目录 51"/>
    <w:next w:val="Normal"/>
    <w:qFormat/>
    <w:pPr>
      <w:ind w:left="1275"/>
      <w:jc w:val="both"/>
    </w:pPr>
    <w:rPr>
      <w:rFonts w:ascii="Times New Roman" w:eastAsia="宋体" w:hAnsi="Times New Roman" w:cs="Times New Roman" w:hint="default"/>
      <w:sz w:val="21"/>
      <w:lang w:val="en-US" w:eastAsia="zh-CN" w:bidi="ar-SA"/>
    </w:rPr>
  </w:style>
  <w:style w:type="character" w:customStyle="1" w:styleId="正文文本缩进Char">
    <w:name w:val="正文文本缩进 Char"/>
    <w:link w:val="正文文本缩进1"/>
    <w:qFormat/>
    <w:rPr>
      <w:rFonts w:ascii="Times New Roman" w:eastAsia="宋体" w:hAnsi="Times New Roman" w:cs="Times New Roman"/>
      <w:szCs w:val="24"/>
    </w:rPr>
  </w:style>
  <w:style w:type="paragraph" w:customStyle="1" w:styleId="文本块1">
    <w:name w:val="文本块1"/>
    <w:basedOn w:val="Normal"/>
    <w:qFormat/>
    <w:pPr>
      <w:ind w:left="420" w:right="33"/>
      <w:jc w:val="left"/>
    </w:pPr>
    <w:rPr>
      <w:sz w:val="24"/>
      <w:szCs w:val="20"/>
    </w:rPr>
  </w:style>
  <w:style w:type="paragraph" w:customStyle="1" w:styleId="索引411">
    <w:name w:val="索引 411"/>
    <w:basedOn w:val="Normal"/>
    <w:next w:val="Normal"/>
    <w:unhideWhenUsed/>
    <w:qFormat/>
    <w:pPr>
      <w:ind w:left="600"/>
    </w:pPr>
    <w:rPr/>
  </w:style>
  <w:style w:type="paragraph" w:customStyle="1" w:styleId="目录52">
    <w:name w:val="目录 52"/>
    <w:basedOn w:val="Normal"/>
    <w:next w:val="Normal"/>
    <w:uiPriority w:val="39"/>
    <w:qFormat/>
    <w:pPr>
      <w:ind w:left="1680"/>
    </w:pPr>
    <w:rPr>
      <w:rFonts w:ascii="Calibri" w:hAnsi="Calibri"/>
      <w:szCs w:val="22"/>
    </w:rPr>
  </w:style>
  <w:style w:type="paragraph" w:customStyle="1" w:styleId="目录31">
    <w:name w:val="目录 31"/>
    <w:basedOn w:val="正文_0"/>
    <w:next w:val="正文_0"/>
    <w:uiPriority w:val="39"/>
    <w:qFormat/>
    <w:pPr>
      <w:widowControl w:val="0"/>
      <w:ind w:left="840"/>
    </w:pPr>
    <w:rPr>
      <w:szCs w:val="22"/>
    </w:rPr>
  </w:style>
  <w:style w:type="paragraph" w:customStyle="1" w:styleId="正文_0">
    <w:name w:val="正文_0"/>
    <w:qFormat/>
    <w:pPr>
      <w:jc w:val="both"/>
    </w:pPr>
    <w:rPr>
      <w:rFonts w:ascii="Calibri" w:eastAsia="宋体" w:hAnsi="Calibri" w:cs="Times New Roman" w:hint="default"/>
      <w:sz w:val="21"/>
      <w:szCs w:val="21"/>
      <w:lang w:val="en-US" w:eastAsia="zh-CN" w:bidi="ar-SA"/>
    </w:rPr>
  </w:style>
  <w:style w:type="paragraph" w:customStyle="1" w:styleId="纯文本111">
    <w:name w:val="纯文本111"/>
    <w:basedOn w:val="Normal"/>
    <w:next w:val="CharCharCharCharCharCharCharCharCharCharCharCharChar"/>
    <w:link w:val="纯文本Char"/>
    <w:qFormat/>
    <w:rPr>
      <w:rFonts w:ascii="宋体" w:hAnsi="Courier New"/>
      <w:szCs w:val="20"/>
    </w:rPr>
  </w:style>
  <w:style w:type="paragraph" w:customStyle="1" w:styleId="CharCharCharCharCharCharCharCharCharCharCharCharChar">
    <w:name w:val=" Char Char Char Char Char Char Char Char Char Char Char Char Char"/>
    <w:basedOn w:val="Normal"/>
    <w:qFormat/>
    <w:pPr>
      <w:widowControl/>
      <w:spacing w:after="160" w:line="240" w:lineRule="exact"/>
      <w:jc w:val="left"/>
    </w:pPr>
    <w:rPr>
      <w:rFonts w:ascii="Verdana" w:hAnsi="Verdana"/>
      <w:sz w:val="20"/>
      <w:szCs w:val="20"/>
      <w:lang w:eastAsia="en-US"/>
    </w:rPr>
  </w:style>
  <w:style w:type="character" w:customStyle="1" w:styleId="纯文本Char">
    <w:name w:val="纯文本 Char"/>
    <w:link w:val="纯文本111"/>
    <w:uiPriority w:val="99"/>
    <w:qFormat/>
    <w:rPr>
      <w:rFonts w:ascii="宋体" w:eastAsia="宋体" w:hAnsi="Courier New" w:cs="Times New Roman"/>
      <w:szCs w:val="20"/>
    </w:rPr>
  </w:style>
  <w:style w:type="paragraph" w:customStyle="1" w:styleId="目录81">
    <w:name w:val="目录 81"/>
    <w:basedOn w:val="Normal"/>
    <w:next w:val="Normal"/>
    <w:uiPriority w:val="39"/>
    <w:qFormat/>
    <w:pPr>
      <w:ind w:left="2940"/>
    </w:pPr>
    <w:rPr>
      <w:rFonts w:ascii="Calibri" w:hAnsi="Calibri"/>
      <w:szCs w:val="22"/>
    </w:rPr>
  </w:style>
  <w:style w:type="paragraph" w:customStyle="1" w:styleId="日期11">
    <w:name w:val="日期11"/>
    <w:basedOn w:val="Normal"/>
    <w:next w:val="Normal"/>
    <w:link w:val="日期Char"/>
    <w:qFormat/>
    <w:pPr>
      <w:ind w:left="100"/>
    </w:pPr>
    <w:rPr>
      <w:rFonts w:ascii="黑体" w:eastAsia="黑体"/>
      <w:sz w:val="72"/>
    </w:rPr>
  </w:style>
  <w:style w:type="character" w:customStyle="1" w:styleId="日期Char">
    <w:name w:val="日期 Char"/>
    <w:link w:val="日期11"/>
    <w:uiPriority w:val="99"/>
    <w:qFormat/>
    <w:rPr>
      <w:rFonts w:ascii="黑体" w:eastAsia="黑体" w:hAnsi="Times New Roman" w:cs="Times New Roman"/>
      <w:sz w:val="72"/>
      <w:szCs w:val="24"/>
    </w:rPr>
  </w:style>
  <w:style w:type="paragraph" w:customStyle="1" w:styleId="正文文本缩进21">
    <w:name w:val="正文文本缩进 21"/>
    <w:basedOn w:val="Normal"/>
    <w:link w:val="正文文本缩进2Char"/>
    <w:qFormat/>
    <w:pPr>
      <w:tabs>
        <w:tab w:val="left" w:pos="9741"/>
      </w:tabs>
      <w:ind w:right="-2" w:firstLine="540"/>
    </w:pPr>
    <w:rPr>
      <w:rFonts w:eastAsia="仿宋_GB2312"/>
      <w:sz w:val="28"/>
    </w:rPr>
  </w:style>
  <w:style w:type="character" w:customStyle="1" w:styleId="正文文本缩进2Char">
    <w:name w:val="正文文本缩进 2 Char"/>
    <w:link w:val="正文文本缩进21"/>
    <w:uiPriority w:val="99"/>
    <w:qFormat/>
    <w:rPr>
      <w:rFonts w:ascii="Times New Roman" w:eastAsia="仿宋_GB2312" w:hAnsi="Times New Roman" w:cs="Times New Roman"/>
      <w:sz w:val="28"/>
      <w:szCs w:val="24"/>
    </w:rPr>
  </w:style>
  <w:style w:type="paragraph" w:customStyle="1" w:styleId="批注框文本1">
    <w:name w:val="批注框文本1"/>
    <w:basedOn w:val="Normal"/>
    <w:link w:val="批注框文本Char"/>
    <w:qFormat/>
    <w:rPr>
      <w:sz w:val="18"/>
      <w:szCs w:val="18"/>
    </w:rPr>
  </w:style>
  <w:style w:type="character" w:customStyle="1" w:styleId="批注框文本Char">
    <w:name w:val="批注框文本 Char"/>
    <w:link w:val="批注框文本1"/>
    <w:uiPriority w:val="99"/>
    <w:qFormat/>
    <w:rPr>
      <w:rFonts w:ascii="Times New Roman" w:eastAsia="宋体" w:hAnsi="Times New Roman" w:cs="Times New Roman"/>
      <w:sz w:val="18"/>
      <w:szCs w:val="18"/>
    </w:rPr>
  </w:style>
  <w:style w:type="paragraph" w:customStyle="1" w:styleId="页脚1">
    <w:name w:val="页脚1"/>
    <w:basedOn w:val="Normal"/>
    <w:link w:val="页脚Char"/>
    <w:qFormat/>
    <w:pPr>
      <w:tabs>
        <w:tab w:val="center" w:pos="4153"/>
        <w:tab w:val="right" w:pos="8306"/>
      </w:tabs>
      <w:jc w:val="left"/>
    </w:pPr>
    <w:rPr>
      <w:sz w:val="18"/>
      <w:szCs w:val="18"/>
    </w:rPr>
  </w:style>
  <w:style w:type="character" w:customStyle="1" w:styleId="页脚Char">
    <w:name w:val="页脚 Char"/>
    <w:link w:val="页脚1"/>
    <w:uiPriority w:val="99"/>
    <w:qFormat/>
    <w:rPr>
      <w:rFonts w:ascii="Times New Roman" w:eastAsia="宋体" w:hAnsi="Times New Roman" w:cs="Times New Roman"/>
      <w:sz w:val="18"/>
      <w:szCs w:val="18"/>
    </w:rPr>
  </w:style>
  <w:style w:type="paragraph" w:customStyle="1" w:styleId="页眉1">
    <w:name w:val="页眉1"/>
    <w:basedOn w:val="Normal"/>
    <w:link w:val="页眉Char"/>
    <w:qFormat/>
    <w:pPr>
      <w:pBdr>
        <w:bottom w:val="single" w:sz="6" w:space="1" w:color="auto"/>
      </w:pBdr>
      <w:tabs>
        <w:tab w:val="center" w:pos="4153"/>
        <w:tab w:val="right" w:pos="8306"/>
      </w:tabs>
      <w:jc w:val="center"/>
    </w:pPr>
    <w:rPr>
      <w:sz w:val="18"/>
      <w:szCs w:val="18"/>
    </w:rPr>
  </w:style>
  <w:style w:type="character" w:customStyle="1" w:styleId="页眉Char">
    <w:name w:val="页眉 Char"/>
    <w:link w:val="页眉1"/>
    <w:uiPriority w:val="99"/>
    <w:qFormat/>
    <w:rPr>
      <w:rFonts w:ascii="Times New Roman" w:eastAsia="宋体" w:hAnsi="Times New Roman" w:cs="Times New Roman"/>
      <w:sz w:val="18"/>
      <w:szCs w:val="18"/>
    </w:rPr>
  </w:style>
  <w:style w:type="paragraph" w:customStyle="1" w:styleId="目录41">
    <w:name w:val="目录 41"/>
    <w:basedOn w:val="正文_0"/>
    <w:next w:val="正文_0"/>
    <w:uiPriority w:val="39"/>
    <w:qFormat/>
    <w:pPr>
      <w:widowControl w:val="0"/>
      <w:ind w:left="1260"/>
    </w:pPr>
    <w:rPr>
      <w:szCs w:val="22"/>
    </w:rPr>
  </w:style>
  <w:style w:type="paragraph" w:customStyle="1" w:styleId="副标题1">
    <w:name w:val="副标题1"/>
    <w:basedOn w:val="Normal"/>
    <w:next w:val="Normal"/>
    <w:link w:val="副标题Char4"/>
    <w:qFormat/>
    <w:pPr>
      <w:spacing w:before="240" w:after="60" w:line="312" w:lineRule="auto"/>
      <w:jc w:val="center"/>
      <w:outlineLvl w:val="1"/>
    </w:pPr>
    <w:rPr>
      <w:rFonts w:ascii="Cambria" w:hAnsi="Cambria"/>
      <w:b/>
      <w:bCs/>
      <w:sz w:val="32"/>
      <w:szCs w:val="32"/>
    </w:rPr>
  </w:style>
  <w:style w:type="character" w:customStyle="1" w:styleId="副标题Char4">
    <w:name w:val="副标题 Char4"/>
    <w:link w:val="副标题1"/>
    <w:qFormat/>
    <w:rPr>
      <w:rFonts w:ascii="Cambria" w:eastAsia="宋体" w:hAnsi="Cambria" w:cs="Times New Roman"/>
      <w:b/>
      <w:bCs/>
      <w:sz w:val="32"/>
      <w:szCs w:val="32"/>
    </w:rPr>
  </w:style>
  <w:style w:type="paragraph" w:customStyle="1" w:styleId="脚注文本1">
    <w:name w:val="脚注文本1"/>
    <w:basedOn w:val="Normal"/>
    <w:link w:val="脚注文本Char2"/>
    <w:qFormat/>
    <w:pPr>
      <w:spacing w:line="312" w:lineRule="atLeast"/>
      <w:jc w:val="left"/>
    </w:pPr>
    <w:rPr>
      <w:sz w:val="18"/>
      <w:szCs w:val="20"/>
    </w:rPr>
  </w:style>
  <w:style w:type="character" w:customStyle="1" w:styleId="脚注文本Char2">
    <w:name w:val="脚注文本 Char2"/>
    <w:link w:val="脚注文本1"/>
    <w:qFormat/>
    <w:rPr>
      <w:rFonts w:ascii="Times New Roman" w:eastAsia="宋体" w:hAnsi="Times New Roman" w:cs="Times New Roman"/>
      <w:sz w:val="18"/>
      <w:szCs w:val="20"/>
    </w:rPr>
  </w:style>
  <w:style w:type="paragraph" w:customStyle="1" w:styleId="目录61">
    <w:name w:val="目录 61"/>
    <w:basedOn w:val="Normal"/>
    <w:next w:val="Normal"/>
    <w:uiPriority w:val="39"/>
    <w:qFormat/>
    <w:pPr>
      <w:ind w:left="2100"/>
    </w:pPr>
    <w:rPr>
      <w:rFonts w:ascii="Calibri" w:hAnsi="Calibri"/>
      <w:szCs w:val="22"/>
    </w:rPr>
  </w:style>
  <w:style w:type="paragraph" w:customStyle="1" w:styleId="正文文本缩进31">
    <w:name w:val="正文文本缩进 31"/>
    <w:basedOn w:val="Normal"/>
    <w:link w:val="正文文本缩进3Char"/>
    <w:qFormat/>
    <w:pPr>
      <w:ind w:firstLine="435"/>
    </w:pPr>
    <w:rPr>
      <w:rFonts w:ascii="仿宋_GB2312" w:eastAsia="仿宋_GB2312" w:hAnsi="宋体"/>
      <w:sz w:val="28"/>
    </w:rPr>
  </w:style>
  <w:style w:type="character" w:customStyle="1" w:styleId="正文文本缩进3Char">
    <w:name w:val="正文文本缩进 3 Char"/>
    <w:link w:val="正文文本缩进31"/>
    <w:uiPriority w:val="99"/>
    <w:qFormat/>
    <w:rPr>
      <w:rFonts w:ascii="仿宋_GB2312" w:eastAsia="仿宋_GB2312" w:hAnsi="宋体" w:cs="Times New Roman"/>
      <w:sz w:val="28"/>
      <w:szCs w:val="24"/>
    </w:rPr>
  </w:style>
  <w:style w:type="paragraph" w:customStyle="1" w:styleId="索引91">
    <w:name w:val="索引 91"/>
    <w:basedOn w:val="Normal"/>
    <w:next w:val="Normal"/>
    <w:uiPriority w:val="99"/>
    <w:unhideWhenUsed/>
    <w:qFormat/>
    <w:pPr>
      <w:ind w:left="1600"/>
    </w:pPr>
    <w:rPr/>
  </w:style>
  <w:style w:type="paragraph" w:customStyle="1" w:styleId="图表目录1">
    <w:name w:val="图表目录1"/>
    <w:basedOn w:val="Normal"/>
    <w:next w:val="Normal"/>
    <w:qFormat/>
    <w:pPr>
      <w:ind w:left="420" w:hanging="420"/>
      <w:jc w:val="left"/>
    </w:pPr>
    <w:rPr>
      <w:b/>
      <w:bCs/>
      <w:sz w:val="20"/>
      <w:szCs w:val="20"/>
    </w:rPr>
  </w:style>
  <w:style w:type="paragraph" w:customStyle="1" w:styleId="目录91">
    <w:name w:val="目录 91"/>
    <w:basedOn w:val="Normal"/>
    <w:next w:val="Normal"/>
    <w:uiPriority w:val="39"/>
    <w:qFormat/>
    <w:pPr>
      <w:ind w:left="3360"/>
    </w:pPr>
    <w:rPr>
      <w:rFonts w:ascii="Calibri" w:hAnsi="Calibri"/>
      <w:szCs w:val="22"/>
    </w:rPr>
  </w:style>
  <w:style w:type="paragraph" w:customStyle="1" w:styleId="正文文本21">
    <w:name w:val="正文文本 21"/>
    <w:basedOn w:val="Normal"/>
    <w:link w:val="正文文本2Char"/>
    <w:qFormat/>
    <w:rPr>
      <w:rFonts w:ascii="仿宋_GB2312" w:eastAsia="仿宋_GB2312"/>
      <w:sz w:val="28"/>
    </w:rPr>
  </w:style>
  <w:style w:type="character" w:customStyle="1" w:styleId="正文文本2Char">
    <w:name w:val="正文文本 2 Char"/>
    <w:link w:val="正文文本21"/>
    <w:qFormat/>
    <w:rPr>
      <w:rFonts w:ascii="仿宋_GB2312" w:eastAsia="仿宋_GB2312" w:hAnsi="Times New Roman" w:cs="Times New Roman"/>
      <w:sz w:val="28"/>
      <w:szCs w:val="24"/>
    </w:rPr>
  </w:style>
  <w:style w:type="paragraph" w:customStyle="1" w:styleId="信息标题1">
    <w:name w:val="信息标题1"/>
    <w:basedOn w:val="Normal"/>
    <w:next w:val="正文文本1"/>
    <w:link w:val="信息标题Char"/>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character" w:customStyle="1" w:styleId="信息标题Char">
    <w:name w:val="信息标题 Char"/>
    <w:link w:val="信息标题1"/>
    <w:uiPriority w:val="99"/>
    <w:qFormat/>
    <w:rPr>
      <w:rFonts w:ascii="Arial" w:eastAsia="宋体" w:hAnsi="Arial" w:cs="Times New Roman"/>
      <w:sz w:val="24"/>
      <w:szCs w:val="24"/>
      <w:shd w:val="pct20" w:color="auto" w:fill="auto"/>
    </w:rPr>
  </w:style>
  <w:style w:type="paragraph" w:customStyle="1" w:styleId="普通(网站)111">
    <w:name w:val="普通(网站)111"/>
    <w:basedOn w:val="Normal"/>
    <w:unhideWhenUsed/>
    <w:qFormat/>
    <w:pPr>
      <w:spacing w:before="100" w:beforeAutospacing="1" w:after="100" w:afterAutospacing="1"/>
      <w:jc w:val="left"/>
    </w:pPr>
    <w:rPr>
      <w:sz w:val="24"/>
      <w:szCs w:val="20"/>
    </w:rPr>
  </w:style>
  <w:style w:type="paragraph" w:customStyle="1" w:styleId="标题1">
    <w:name w:val="标题1"/>
    <w:basedOn w:val="Normal"/>
    <w:next w:val="Normal"/>
    <w:link w:val="标题Char5"/>
    <w:qFormat/>
    <w:pPr>
      <w:spacing w:before="240" w:after="60"/>
      <w:jc w:val="center"/>
      <w:outlineLvl w:val="0"/>
    </w:pPr>
    <w:rPr>
      <w:rFonts w:ascii="Cambria" w:hAnsi="Cambria"/>
      <w:b/>
      <w:bCs/>
      <w:sz w:val="32"/>
      <w:szCs w:val="32"/>
    </w:rPr>
  </w:style>
  <w:style w:type="character" w:customStyle="1" w:styleId="标题Char5">
    <w:name w:val="标题 Char5"/>
    <w:link w:val="标题1"/>
    <w:qFormat/>
    <w:rPr>
      <w:rFonts w:ascii="Cambria" w:eastAsia="宋体" w:hAnsi="Cambria" w:cs="Times New Roman"/>
      <w:b/>
      <w:bCs/>
      <w:sz w:val="32"/>
      <w:szCs w:val="32"/>
    </w:rPr>
  </w:style>
  <w:style w:type="paragraph" w:customStyle="1" w:styleId="批注主题111">
    <w:name w:val="批注主题111"/>
    <w:basedOn w:val="批注文字1"/>
    <w:next w:val="批注文字1"/>
    <w:link w:val="批注主题Char"/>
    <w:qFormat/>
    <w:rPr>
      <w:b/>
      <w:bCs/>
    </w:rPr>
  </w:style>
  <w:style w:type="character" w:customStyle="1" w:styleId="批注主题Char">
    <w:name w:val="批注主题 Char"/>
    <w:link w:val="批注主题111"/>
    <w:uiPriority w:val="99"/>
    <w:qFormat/>
    <w:rPr>
      <w:rFonts w:ascii="Times New Roman" w:eastAsia="宋体" w:hAnsi="Times New Roman" w:cs="Times New Roman"/>
      <w:b/>
      <w:bCs/>
      <w:szCs w:val="24"/>
    </w:rPr>
  </w:style>
  <w:style w:type="paragraph" w:customStyle="1" w:styleId="正文首行缩进1">
    <w:name w:val="正文首行缩进1"/>
    <w:basedOn w:val="Normal"/>
    <w:link w:val="正文首行缩进Char"/>
    <w:uiPriority w:val="99"/>
    <w:qFormat/>
    <w:pPr>
      <w:spacing w:line="312" w:lineRule="auto"/>
      <w:ind w:firstLine="420"/>
    </w:pPr>
    <w:rPr>
      <w:rFonts w:ascii="Calibri" w:eastAsia="宋体" w:hAnsi="Calibri" w:cs="Times New Roman"/>
      <w:szCs w:val="22"/>
    </w:rPr>
  </w:style>
  <w:style w:type="character" w:customStyle="1" w:styleId="正文首行缩进Char">
    <w:name w:val="正文首行缩进 Char"/>
    <w:link w:val="正文首行缩进1"/>
    <w:uiPriority w:val="99"/>
    <w:qFormat/>
    <w:rPr>
      <w:rFonts w:ascii="Times New Roman" w:eastAsia="仿宋_GB2312" w:hAnsi="Times New Roman" w:cs="Times New Roman"/>
      <w:sz w:val="28"/>
      <w:szCs w:val="24"/>
    </w:rPr>
  </w:style>
  <w:style w:type="paragraph" w:customStyle="1" w:styleId="正文首行缩进21">
    <w:name w:val="正文首行缩进 21"/>
    <w:basedOn w:val="正文文本缩进1"/>
    <w:next w:val="Normal"/>
    <w:link w:val="正文首行缩进2Char"/>
    <w:qFormat/>
    <w:pPr>
      <w:ind w:firstLine="420"/>
    </w:pPr>
    <w:rPr/>
  </w:style>
  <w:style w:type="character" w:customStyle="1" w:styleId="正文首行缩进2Char">
    <w:name w:val="正文首行缩进 2 Char"/>
    <w:link w:val="正文首行缩进21"/>
    <w:qFormat/>
    <w:rPr>
      <w:rFonts w:ascii="Times New Roman" w:eastAsia="宋体" w:hAnsi="Times New Roman" w:cs="Times New Roman"/>
      <w:szCs w:val="24"/>
    </w:rPr>
  </w:style>
  <w:style w:type="table" w:customStyle="1" w:styleId="网格型1">
    <w:name w:val="网格型1"/>
    <w:basedOn w:val="普通表格1"/>
    <w:qFormat/>
    <w:pPr>
      <w:widowControl w:val="0"/>
      <w:jc w:val="both"/>
    </w:pPr>
    <w:rPr>
      <w:rFonts w:ascii="Times New Roman" w:eastAsia="宋体" w:hAnsi="Times New Roman" w:cs="Times New Roman"/>
    </w:rPr>
  </w:style>
  <w:style w:type="character" w:customStyle="1" w:styleId="要点1">
    <w:name w:val="要点1"/>
    <w:link w:val="Normal"/>
    <w:qFormat/>
    <w:rPr>
      <w:b/>
      <w:bCs/>
    </w:rPr>
  </w:style>
  <w:style w:type="character" w:customStyle="1" w:styleId="页码111">
    <w:name w:val="页码111"/>
    <w:link w:val="Normal"/>
    <w:qFormat/>
    <w:rPr/>
  </w:style>
  <w:style w:type="character" w:customStyle="1" w:styleId="已访问的超链接1">
    <w:name w:val="已访问的超链接1"/>
    <w:link w:val="Normal"/>
    <w:uiPriority w:val="99"/>
    <w:qFormat/>
    <w:rPr>
      <w:color w:val="800080"/>
      <w:u w:val="single"/>
    </w:rPr>
  </w:style>
  <w:style w:type="character" w:customStyle="1" w:styleId="强调1">
    <w:name w:val="强调1"/>
    <w:link w:val="Normal"/>
    <w:qFormat/>
    <w:rPr>
      <w:i/>
      <w:iCs/>
    </w:rPr>
  </w:style>
  <w:style w:type="character" w:customStyle="1" w:styleId="超链接1">
    <w:name w:val="超链接1"/>
    <w:link w:val="Normal"/>
    <w:uiPriority w:val="99"/>
    <w:qFormat/>
    <w:rPr>
      <w:color w:val="0000FF"/>
      <w:u w:val="single"/>
    </w:rPr>
  </w:style>
  <w:style w:type="character" w:customStyle="1" w:styleId="批注引用11">
    <w:name w:val="批注引用11"/>
    <w:link w:val="Normal"/>
    <w:qFormat/>
    <w:rPr>
      <w:sz w:val="21"/>
      <w:szCs w:val="21"/>
    </w:rPr>
  </w:style>
  <w:style w:type="paragraph" w:customStyle="1" w:styleId="标题411">
    <w:name w:val="标题 411"/>
    <w:basedOn w:val="Normal"/>
    <w:next w:val="Normal"/>
    <w:uiPriority w:val="9"/>
    <w:unhideWhenUsed/>
    <w:qFormat/>
    <w:pPr>
      <w:keepNext/>
      <w:keepLines/>
      <w:spacing w:before="320" w:after="200"/>
      <w:outlineLvl w:val="3"/>
    </w:pPr>
    <w:rPr>
      <w:rFonts w:ascii="Arial" w:eastAsia="Arial" w:hAnsi="Arial" w:cs="Arial"/>
      <w:b/>
      <w:bCs/>
      <w:sz w:val="26"/>
      <w:szCs w:val="26"/>
    </w:rPr>
  </w:style>
  <w:style w:type="paragraph" w:customStyle="1" w:styleId="CharCharCharCharCharCharCharCharCharCharCharCharChar0">
    <w:name w:val="Char Char Char Char Char Char Char Char Char Char Char Char Char"/>
    <w:basedOn w:val="Normal"/>
    <w:next w:val="Normal"/>
    <w:qFormat/>
    <w:pPr>
      <w:widowControl/>
      <w:spacing w:after="160" w:line="240" w:lineRule="exact"/>
    </w:pPr>
    <w:rPr>
      <w:rFonts w:ascii="Verdana"/>
      <w:sz w:val="20"/>
    </w:rPr>
  </w:style>
  <w:style w:type="paragraph" w:customStyle="1" w:styleId="列出段落">
    <w:name w:val="列出段落"/>
    <w:basedOn w:val="Normal"/>
    <w:qFormat/>
    <w:pPr>
      <w:ind w:firstLine="420"/>
    </w:pPr>
    <w:rPr/>
  </w:style>
  <w:style w:type="character" w:customStyle="1" w:styleId="纯文本Char1">
    <w:name w:val="纯文本 Char1"/>
    <w:link w:val="Normal"/>
    <w:qFormat/>
    <w:rPr>
      <w:rFonts w:ascii="宋体" w:hAnsi="Courier New"/>
      <w:sz w:val="21"/>
    </w:rPr>
  </w:style>
  <w:style w:type="paragraph" w:customStyle="1" w:styleId="xl55">
    <w:name w:val="xl55"/>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18"/>
      <w:szCs w:val="18"/>
    </w:rPr>
  </w:style>
  <w:style w:type="paragraph" w:customStyle="1" w:styleId="font10">
    <w:name w:val="font10"/>
    <w:basedOn w:val="Normal"/>
    <w:qFormat/>
    <w:pPr>
      <w:widowControl/>
      <w:spacing w:before="100" w:beforeAutospacing="1" w:after="100" w:afterAutospacing="1"/>
      <w:jc w:val="left"/>
    </w:pPr>
    <w:rPr>
      <w:rFonts w:eastAsia="Arial Unicode MS"/>
      <w:sz w:val="18"/>
      <w:szCs w:val="18"/>
    </w:rPr>
  </w:style>
  <w:style w:type="paragraph" w:customStyle="1" w:styleId="xl85">
    <w:name w:val="xl85"/>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2">
    <w:name w:val="xl52"/>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7">
    <w:name w:val="xl4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0"/>
      <w:szCs w:val="20"/>
    </w:rPr>
  </w:style>
  <w:style w:type="paragraph" w:customStyle="1" w:styleId="xl84">
    <w:name w:val="xl84"/>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Normal"/>
    <w:qFormat/>
    <w:pPr>
      <w:widowControl/>
      <w:pBdr>
        <w:bottom w:val="single" w:sz="4" w:space="0" w:color="auto"/>
        <w:right w:val="single" w:sz="4" w:space="0" w:color="auto"/>
      </w:pBdr>
      <w:spacing w:before="100" w:beforeAutospacing="1" w:after="100" w:afterAutospacing="1"/>
      <w:jc w:val="right"/>
    </w:pPr>
    <w:rPr>
      <w:rFonts w:eastAsia="Arial Unicode MS"/>
      <w:b/>
      <w:bCs/>
      <w:sz w:val="18"/>
      <w:szCs w:val="18"/>
    </w:rPr>
  </w:style>
  <w:style w:type="paragraph" w:customStyle="1" w:styleId="xl67">
    <w:name w:val="xl67"/>
    <w:basedOn w:val="Normal"/>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CharCharCharCharCharCharCharCharCharCharCharCharChar3">
    <w:name w:val="Char Char Char Char Char Char Char Char Char Char Char Char Char3"/>
    <w:basedOn w:val="Normal"/>
    <w:qFormat/>
    <w:pPr>
      <w:widowControl/>
      <w:spacing w:after="160" w:line="240" w:lineRule="exact"/>
      <w:jc w:val="left"/>
    </w:pPr>
    <w:rPr>
      <w:rFonts w:ascii="Verdana" w:hAnsi="Verdana"/>
      <w:sz w:val="20"/>
      <w:szCs w:val="20"/>
      <w:lang w:eastAsia="en-US"/>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font12">
    <w:name w:val="font12"/>
    <w:basedOn w:val="Normal"/>
    <w:qFormat/>
    <w:pPr>
      <w:widowControl/>
      <w:spacing w:before="100" w:beforeAutospacing="1" w:after="100" w:afterAutospacing="1"/>
      <w:jc w:val="left"/>
    </w:pPr>
    <w:rPr>
      <w:rFonts w:eastAsia="Arial Unicode MS"/>
      <w:color w:val="333333"/>
      <w:sz w:val="18"/>
      <w:szCs w:val="18"/>
    </w:rPr>
  </w:style>
  <w:style w:type="paragraph" w:customStyle="1" w:styleId="font7">
    <w:name w:val="font7"/>
    <w:basedOn w:val="Normal"/>
    <w:qFormat/>
    <w:pPr>
      <w:widowControl/>
      <w:spacing w:before="100" w:beforeAutospacing="1" w:after="100" w:afterAutospacing="1"/>
      <w:jc w:val="left"/>
    </w:pPr>
    <w:rPr>
      <w:rFonts w:eastAsia="Arial Unicode MS"/>
      <w:sz w:val="18"/>
      <w:szCs w:val="18"/>
    </w:rPr>
  </w:style>
  <w:style w:type="paragraph" w:customStyle="1" w:styleId="xl86">
    <w:name w:val="xl86"/>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56">
    <w:name w:val="xl56"/>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81">
    <w:name w:val="xl81"/>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eastAsia="Arial Unicode MS"/>
      <w:sz w:val="18"/>
      <w:szCs w:val="18"/>
    </w:rPr>
  </w:style>
  <w:style w:type="paragraph" w:customStyle="1" w:styleId="xl43">
    <w:name w:val="xl43"/>
    <w:basedOn w:val="Normal"/>
    <w:qFormat/>
    <w:pPr>
      <w:widowControl/>
      <w:spacing w:before="100" w:beforeAutospacing="1" w:after="100" w:afterAutospacing="1"/>
      <w:jc w:val="left"/>
    </w:pPr>
    <w:rPr>
      <w:rFonts w:ascii="Arial Unicode MS" w:eastAsia="Arial Unicode MS" w:hAnsi="Arial Unicode MS"/>
      <w:sz w:val="24"/>
    </w:rPr>
  </w:style>
  <w:style w:type="paragraph" w:customStyle="1" w:styleId="xl69">
    <w:name w:val="xl69"/>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18"/>
      <w:szCs w:val="18"/>
    </w:rPr>
  </w:style>
  <w:style w:type="paragraph" w:customStyle="1" w:styleId="xl78">
    <w:name w:val="xl78"/>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font6">
    <w:name w:val="font6"/>
    <w:basedOn w:val="Normal"/>
    <w:qFormat/>
    <w:pPr>
      <w:widowControl/>
      <w:spacing w:before="100" w:beforeAutospacing="1" w:after="100" w:afterAutospacing="1"/>
      <w:jc w:val="left"/>
    </w:pPr>
    <w:rPr>
      <w:rFonts w:eastAsia="Arial Unicode MS"/>
      <w:sz w:val="18"/>
      <w:szCs w:val="18"/>
    </w:rPr>
  </w:style>
  <w:style w:type="paragraph" w:customStyle="1" w:styleId="CharCharCharCharCharCharCharChar">
    <w:name w:val="Char Char Char Char Char Char Char Char"/>
    <w:basedOn w:val="Normal"/>
    <w:qFormat/>
    <w:pPr>
      <w:widowControl/>
      <w:spacing w:after="160" w:line="240" w:lineRule="exact"/>
      <w:jc w:val="left"/>
    </w:pPr>
    <w:rPr>
      <w:rFonts w:ascii="Verdana" w:hAnsi="Verdana"/>
      <w:sz w:val="20"/>
      <w:szCs w:val="20"/>
      <w:lang w:eastAsia="en-US"/>
    </w:rPr>
  </w:style>
  <w:style w:type="paragraph" w:customStyle="1" w:styleId="font13">
    <w:name w:val="font13"/>
    <w:basedOn w:val="Normal"/>
    <w:qFormat/>
    <w:pPr>
      <w:widowControl/>
      <w:spacing w:before="100" w:beforeAutospacing="1" w:after="100" w:afterAutospacing="1"/>
      <w:jc w:val="left"/>
    </w:pPr>
    <w:rPr>
      <w:rFonts w:eastAsia="Arial Unicode MS"/>
      <w:b/>
      <w:bCs/>
      <w:sz w:val="18"/>
      <w:szCs w:val="18"/>
    </w:rPr>
  </w:style>
  <w:style w:type="paragraph" w:customStyle="1" w:styleId="xl48">
    <w:name w:val="xl48"/>
    <w:basedOn w:val="Normal"/>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xl59">
    <w:name w:val="xl59"/>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62">
    <w:name w:val="xl62"/>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Char">
    <w:name w:val="Char"/>
    <w:basedOn w:val="Normal"/>
    <w:qFormat/>
    <w:pPr>
      <w:tabs>
        <w:tab w:val="left" w:pos="360"/>
      </w:tabs>
    </w:pPr>
    <w:rPr>
      <w:sz w:val="24"/>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75">
    <w:name w:val="xl75"/>
    <w:basedOn w:val="Normal"/>
    <w:qFormat/>
    <w:pPr>
      <w:widowControl/>
      <w:pBdr>
        <w:top w:val="single" w:sz="4" w:space="0" w:color="auto"/>
        <w:left w:val="single" w:sz="4" w:space="0" w:color="auto"/>
        <w:right w:val="single" w:sz="4" w:space="0" w:color="auto"/>
      </w:pBdr>
      <w:spacing w:before="100" w:beforeAutospacing="1" w:after="100" w:afterAutospacing="1"/>
      <w:jc w:val="right"/>
    </w:pPr>
    <w:rPr>
      <w:rFonts w:ascii="Arial Unicode MS" w:eastAsia="Arial Unicode MS" w:hAnsi="Arial Unicode MS"/>
      <w:b/>
      <w:bCs/>
      <w:sz w:val="18"/>
      <w:szCs w:val="18"/>
    </w:rPr>
  </w:style>
  <w:style w:type="paragraph" w:customStyle="1" w:styleId="xl74">
    <w:name w:val="xl74"/>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font8">
    <w:name w:val="font8"/>
    <w:basedOn w:val="Normal"/>
    <w:qFormat/>
    <w:pPr>
      <w:widowControl/>
      <w:spacing w:before="100" w:beforeAutospacing="1" w:after="100" w:afterAutospacing="1"/>
      <w:jc w:val="left"/>
    </w:pPr>
    <w:rPr>
      <w:rFonts w:eastAsia="Arial Unicode MS"/>
      <w:sz w:val="18"/>
      <w:szCs w:val="18"/>
    </w:rPr>
  </w:style>
  <w:style w:type="paragraph" w:customStyle="1" w:styleId="xl63">
    <w:name w:val="xl63"/>
    <w:basedOn w:val="Normal"/>
    <w:qFormat/>
    <w:pPr>
      <w:widowControl/>
      <w:pBdr>
        <w:righ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普通正文">
    <w:name w:val="普通正文"/>
    <w:basedOn w:val="Normal"/>
    <w:qFormat/>
    <w:pPr>
      <w:spacing w:before="120" w:after="120" w:line="360" w:lineRule="auto"/>
      <w:ind w:firstLine="480"/>
      <w:jc w:val="left"/>
    </w:pPr>
    <w:rPr>
      <w:rFonts w:ascii="Arial" w:hAnsi="Arial"/>
      <w:sz w:val="24"/>
    </w:rPr>
  </w:style>
  <w:style w:type="paragraph" w:customStyle="1" w:styleId="xl51">
    <w:name w:val="xl51"/>
    <w:basedOn w:val="Normal"/>
    <w:qFormat/>
    <w:pPr>
      <w:widowControl/>
      <w:pBdr>
        <w:top w:val="single" w:sz="4" w:space="0" w:color="auto"/>
        <w:bottom w:val="single" w:sz="4" w:space="0" w:color="auto"/>
      </w:pBdr>
      <w:spacing w:before="100" w:beforeAutospacing="1" w:after="100" w:afterAutospacing="1"/>
      <w:jc w:val="center"/>
    </w:pPr>
    <w:rPr>
      <w:rFonts w:eastAsia="Arial Unicode MS"/>
      <w:sz w:val="18"/>
      <w:szCs w:val="18"/>
    </w:rPr>
  </w:style>
  <w:style w:type="paragraph" w:customStyle="1" w:styleId="xl68">
    <w:name w:val="xl68"/>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60">
    <w:name w:val="xl60"/>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4">
    <w:name w:val="xl44"/>
    <w:basedOn w:val="Normal"/>
    <w:qFormat/>
    <w:pPr>
      <w:widowControl/>
      <w:spacing w:before="100" w:beforeAutospacing="1" w:after="100" w:afterAutospacing="1"/>
      <w:jc w:val="right"/>
    </w:pPr>
    <w:rPr>
      <w:rFonts w:ascii="Arial Unicode MS" w:eastAsia="Arial Unicode MS" w:hAnsi="Arial Unicode MS"/>
      <w:sz w:val="24"/>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79">
    <w:name w:val="xl79"/>
    <w:basedOn w:val="Normal"/>
    <w:qFormat/>
    <w:pPr>
      <w:widowControl/>
      <w:pBdr>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6">
    <w:name w:val="xl46"/>
    <w:basedOn w:val="Normal"/>
    <w:qFormat/>
    <w:pPr>
      <w:widowControl/>
      <w:pBdr>
        <w:bottom w:val="single" w:sz="4" w:space="0" w:color="auto"/>
        <w:right w:val="single" w:sz="4" w:space="0" w:color="auto"/>
      </w:pBdr>
      <w:spacing w:before="100" w:beforeAutospacing="1" w:after="100" w:afterAutospacing="1"/>
      <w:jc w:val="right"/>
    </w:pPr>
    <w:rPr>
      <w:rFonts w:ascii="Arial Unicode MS" w:eastAsia="Arial Unicode MS" w:hAnsi="Arial Unicode MS"/>
      <w:sz w:val="18"/>
      <w:szCs w:val="18"/>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CharCharCharChar">
    <w:name w:val="Char Char Char Char"/>
    <w:basedOn w:val="文档结构图111"/>
    <w:qFormat/>
    <w:pPr>
      <w:spacing w:line="360" w:lineRule="auto"/>
    </w:pPr>
    <w:rPr>
      <w:rFonts w:ascii="Tahoma" w:hAnsi="Tahoma"/>
      <w:sz w:val="24"/>
    </w:rPr>
  </w:style>
  <w:style w:type="paragraph" w:customStyle="1" w:styleId="xl71">
    <w:name w:val="xl71"/>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57">
    <w:name w:val="xl57"/>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rPr>
  </w:style>
  <w:style w:type="paragraph" w:customStyle="1" w:styleId="Char2">
    <w:name w:val="Char2"/>
    <w:basedOn w:val="文档结构图111"/>
    <w:qFormat/>
    <w:pPr>
      <w:spacing w:line="360" w:lineRule="auto"/>
    </w:pPr>
    <w:rPr>
      <w:rFonts w:ascii="Tahoma" w:hAnsi="Tahoma"/>
      <w:sz w:val="24"/>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sz w:val="18"/>
      <w:szCs w:val="18"/>
    </w:rPr>
  </w:style>
  <w:style w:type="paragraph" w:customStyle="1" w:styleId="font9">
    <w:name w:val="font9"/>
    <w:basedOn w:val="Normal"/>
    <w:qFormat/>
    <w:pPr>
      <w:widowControl/>
      <w:spacing w:before="100" w:beforeAutospacing="1" w:after="100" w:afterAutospacing="1"/>
      <w:jc w:val="left"/>
    </w:pPr>
    <w:rPr>
      <w:rFonts w:eastAsia="Arial Unicode MS"/>
      <w:b/>
      <w:bCs/>
      <w:color w:val="000000"/>
      <w:sz w:val="18"/>
      <w:szCs w:val="18"/>
    </w:rPr>
  </w:style>
  <w:style w:type="paragraph" w:customStyle="1" w:styleId="xl54">
    <w:name w:val="xl5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 w:eastAsia="Arial Unicode MS" w:hAnsi="Helv"/>
      <w:sz w:val="20"/>
      <w:szCs w:val="20"/>
    </w:rPr>
  </w:style>
  <w:style w:type="paragraph" w:customStyle="1" w:styleId="标书正文格式">
    <w:name w:val="标书正文格式"/>
    <w:qFormat/>
    <w:pPr>
      <w:spacing w:line="360" w:lineRule="auto"/>
      <w:ind w:firstLine="480"/>
      <w:jc w:val="both"/>
    </w:pPr>
    <w:rPr>
      <w:rFonts w:ascii="宋体" w:eastAsia="宋体" w:hAnsi="宋体" w:cs="Times New Roman" w:hint="default"/>
      <w:sz w:val="24"/>
      <w:szCs w:val="24"/>
      <w:lang w:val="en-US" w:eastAsia="zh-CN" w:bidi="ar-SA"/>
    </w:rPr>
  </w:style>
  <w:style w:type="paragraph" w:customStyle="1" w:styleId="xl72">
    <w:name w:val="xl72"/>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7">
    <w:name w:val="xl37"/>
    <w:basedOn w:val="Normal"/>
    <w:qFormat/>
    <w:pPr>
      <w:widowControl/>
      <w:pBdr>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font11">
    <w:name w:val="font11"/>
    <w:basedOn w:val="Normal"/>
    <w:qFormat/>
    <w:pPr>
      <w:widowControl/>
      <w:spacing w:before="100" w:beforeAutospacing="1" w:after="100" w:afterAutospacing="1"/>
      <w:jc w:val="left"/>
    </w:pPr>
    <w:rPr>
      <w:rFonts w:ascii="宋体" w:hAnsi="宋体" w:hint="eastAsia"/>
      <w:color w:val="333333"/>
      <w:sz w:val="18"/>
      <w:szCs w:val="18"/>
    </w:rPr>
  </w:style>
  <w:style w:type="paragraph" w:customStyle="1" w:styleId="xl42">
    <w:name w:val="xl42"/>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73">
    <w:name w:val="xl73"/>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80">
    <w:name w:val="xl80"/>
    <w:basedOn w:val="Normal"/>
    <w:qFormat/>
    <w:pPr>
      <w:widowControl/>
      <w:pBdr>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6">
    <w:name w:val="xl36"/>
    <w:basedOn w:val="Normal"/>
    <w:qFormat/>
    <w:pPr>
      <w:widowControl/>
      <w:pBdr>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Default">
    <w:name w:val="Default"/>
    <w:qFormat/>
    <w:pPr>
      <w:widowControl w:val="0"/>
    </w:pPr>
    <w:rPr>
      <w:rFonts w:ascii="仿宋" w:eastAsia="仿宋" w:hAnsi="Times New Roman" w:cs="仿宋" w:hint="default"/>
      <w:color w:val="000000"/>
      <w:sz w:val="24"/>
      <w:szCs w:val="24"/>
      <w:lang w:val="en-US" w:eastAsia="zh-CN" w:bidi="ar-SA"/>
    </w:rPr>
  </w:style>
  <w:style w:type="paragraph" w:customStyle="1" w:styleId="xl35">
    <w:name w:val="xl35"/>
    <w:basedOn w:val="Normal"/>
    <w:qFormat/>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xl66">
    <w:name w:val="xl6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1">
    <w:name w:val="xl41"/>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0">
    <w:name w:val="xl30"/>
    <w:basedOn w:val="Normal"/>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Normal"/>
    <w:qFormat/>
    <w:pPr>
      <w:widowControl/>
      <w:pBdr>
        <w:bottom w:val="single" w:sz="4" w:space="0" w:color="auto"/>
        <w:right w:val="single" w:sz="4" w:space="0" w:color="auto"/>
      </w:pBdr>
      <w:spacing w:before="100" w:beforeAutospacing="1" w:after="100" w:afterAutospacing="1"/>
      <w:jc w:val="left"/>
    </w:pPr>
    <w:rPr>
      <w:rFonts w:eastAsia="Arial Unicode MS"/>
      <w:sz w:val="18"/>
      <w:szCs w:val="18"/>
    </w:rPr>
  </w:style>
  <w:style w:type="paragraph" w:customStyle="1" w:styleId="xl58">
    <w:name w:val="xl58"/>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font5">
    <w:name w:val="font5"/>
    <w:basedOn w:val="Normal"/>
    <w:qFormat/>
    <w:pPr>
      <w:widowControl/>
      <w:spacing w:before="100" w:beforeAutospacing="1" w:after="100" w:afterAutospacing="1"/>
      <w:jc w:val="left"/>
    </w:pPr>
    <w:rPr>
      <w:rFonts w:ascii="宋体" w:hAnsi="宋体" w:hint="eastAsia"/>
      <w:sz w:val="18"/>
      <w:szCs w:val="18"/>
    </w:rPr>
  </w:style>
  <w:style w:type="paragraph" w:customStyle="1" w:styleId="默认段落字体ParaCharCharCharCharCharCharCharCharChar1CharCharCharCharCharCharChar">
    <w:name w:val="默认段落字体 Para Char Char Char Char Char Char Char Char Char1 Char Char Char Char Char Char Char"/>
    <w:basedOn w:val="文档结构图111"/>
    <w:qFormat/>
    <w:rPr>
      <w:rFonts w:ascii="Tahoma" w:hAnsi="Tahoma"/>
      <w:sz w:val="24"/>
    </w:rPr>
  </w:style>
  <w:style w:type="paragraph" w:customStyle="1" w:styleId="xl83">
    <w:name w:val="xl83"/>
    <w:basedOn w:val="Normal"/>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b/>
      <w:bCs/>
      <w:sz w:val="18"/>
      <w:szCs w:val="18"/>
    </w:rPr>
  </w:style>
  <w:style w:type="paragraph" w:customStyle="1" w:styleId="xl65">
    <w:name w:val="xl65"/>
    <w:basedOn w:val="Normal"/>
    <w:qFormat/>
    <w:pPr>
      <w:widowControl/>
      <w:pBdr>
        <w:lef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纯文本1">
    <w:name w:val="纯文本1"/>
    <w:basedOn w:val="Normal"/>
    <w:qFormat/>
    <w:rPr>
      <w:rFonts w:ascii="宋体" w:eastAsia="楷体_GB2312" w:hAnsi="Courier New"/>
      <w:sz w:val="26"/>
      <w:szCs w:val="20"/>
    </w:rPr>
  </w:style>
  <w:style w:type="character" w:customStyle="1" w:styleId="PlainTextCharChar">
    <w:name w:val="Plain Text Char Char"/>
    <w:link w:val="纯文本12"/>
    <w:qFormat/>
    <w:rPr>
      <w:rFonts w:ascii="宋体" w:hAnsi="Courier New"/>
    </w:rPr>
  </w:style>
  <w:style w:type="paragraph" w:customStyle="1" w:styleId="纯文本12">
    <w:name w:val="纯文本12"/>
    <w:basedOn w:val="Normal"/>
    <w:link w:val="PlainTextCharChar"/>
    <w:qFormat/>
    <w:pPr>
      <w:spacing w:line="360" w:lineRule="auto"/>
    </w:pPr>
    <w:rPr>
      <w:rFonts w:ascii="宋体" w:eastAsia="宋体" w:hAnsi="Courier New" w:cs="Times New Roman"/>
      <w:szCs w:val="22"/>
    </w:rPr>
  </w:style>
  <w:style w:type="paragraph" w:customStyle="1" w:styleId="p25">
    <w:name w:val="p25"/>
    <w:basedOn w:val="Normal"/>
    <w:qFormat/>
    <w:pPr>
      <w:widowControl/>
      <w:spacing w:line="440" w:lineRule="exact"/>
      <w:jc w:val="left"/>
    </w:pPr>
    <w:rPr>
      <w:rFonts w:ascii="宋体" w:hAnsi="Calibri" w:cs="宋体"/>
      <w:sz w:val="26"/>
      <w:szCs w:val="26"/>
    </w:rPr>
  </w:style>
  <w:style w:type="paragraph" w:customStyle="1" w:styleId="正文1">
    <w:name w:val="正文1"/>
    <w:qFormat/>
    <w:pPr>
      <w:jc w:val="both"/>
    </w:pPr>
    <w:rPr>
      <w:rFonts w:ascii="Calibri" w:eastAsia="宋体" w:hAnsi="Calibri" w:cs="Calibri" w:hint="default"/>
      <w:sz w:val="21"/>
      <w:szCs w:val="21"/>
      <w:lang w:val="en-US" w:eastAsia="zh-CN" w:bidi="ar-SA"/>
    </w:rPr>
  </w:style>
  <w:style w:type="paragraph" w:customStyle="1" w:styleId="4">
    <w:name w:val="4"/>
    <w:basedOn w:val="Normal"/>
    <w:next w:val="正文文本缩进31"/>
    <w:qFormat/>
    <w:pPr>
      <w:spacing w:line="360" w:lineRule="auto"/>
      <w:ind w:firstLine="420"/>
    </w:pPr>
    <w:rPr>
      <w:color w:val="FF0000"/>
      <w:sz w:val="24"/>
    </w:rPr>
  </w:style>
  <w:style w:type="character" w:customStyle="1" w:styleId="2级标题Char">
    <w:name w:val="2级标题 Char"/>
    <w:link w:val="2级标题"/>
    <w:qFormat/>
    <w:rPr>
      <w:rFonts w:ascii="黑体" w:eastAsia="黑体" w:hAnsi="黑体"/>
      <w:sz w:val="32"/>
      <w:szCs w:val="36"/>
      <w:lang w:eastAsia="en-US" w:bidi="en-US"/>
    </w:rPr>
  </w:style>
  <w:style w:type="paragraph" w:customStyle="1" w:styleId="2级标题">
    <w:name w:val="2级标题"/>
    <w:basedOn w:val="列出段落"/>
    <w:link w:val="2级标题Char"/>
    <w:qFormat/>
    <w:pPr>
      <w:keepLines/>
      <w:spacing w:before="240" w:after="120" w:line="360" w:lineRule="auto"/>
      <w:ind w:firstLine="0"/>
      <w:contextualSpacing/>
      <w:jc w:val="left"/>
      <w:outlineLvl w:val="1"/>
    </w:pPr>
    <w:rPr>
      <w:rFonts w:ascii="黑体" w:eastAsia="黑体" w:hAnsi="黑体" w:cs="Times New Roman"/>
      <w:sz w:val="32"/>
      <w:szCs w:val="36"/>
      <w:lang w:eastAsia="en-US" w:bidi="en-US"/>
    </w:rPr>
  </w:style>
  <w:style w:type="character" w:customStyle="1" w:styleId="纯文本字符1">
    <w:name w:val="纯文本 字符1"/>
    <w:link w:val="Normal"/>
    <w:qFormat/>
    <w:rPr>
      <w:rFonts w:ascii="宋体" w:eastAsia="宋体" w:hAnsi="Courier New"/>
      <w:sz w:val="21"/>
      <w:szCs w:val="21"/>
      <w:lang w:val="en-US" w:eastAsia="zh-CN" w:bidi="ar-SA"/>
    </w:rPr>
  </w:style>
  <w:style w:type="character" w:customStyle="1" w:styleId="不明显强调1">
    <w:name w:val="不明显强调1"/>
    <w:link w:val="Normal"/>
    <w:qFormat/>
    <w:rPr>
      <w:i/>
      <w:color w:val="000000"/>
      <w:sz w:val="21"/>
    </w:rPr>
  </w:style>
  <w:style w:type="paragraph" w:customStyle="1" w:styleId="正文_2">
    <w:name w:val="正文_2"/>
    <w:qFormat/>
    <w:pPr>
      <w:widowControl w:val="0"/>
      <w:jc w:val="both"/>
    </w:pPr>
    <w:rPr>
      <w:rFonts w:ascii="Calibri" w:eastAsia="宋体" w:hAnsi="Calibri" w:cs="Calibri" w:hint="default"/>
      <w:color w:val="000000"/>
      <w:sz w:val="21"/>
      <w:szCs w:val="22"/>
      <w:lang w:val="en-US" w:eastAsia="zh-CN" w:bidi="ar-SA"/>
    </w:rPr>
  </w:style>
  <w:style w:type="paragraph" w:customStyle="1" w:styleId="CharCharCharCharCharCharCharCharCharCharCharCharChar1">
    <w:name w:val="Char Char Char Char Char Char Char Char Char Char Char Char Char1"/>
    <w:basedOn w:val="Normal"/>
    <w:qFormat/>
    <w:pPr>
      <w:widowControl/>
      <w:spacing w:after="160" w:line="240" w:lineRule="exact"/>
      <w:jc w:val="left"/>
    </w:pPr>
    <w:rPr>
      <w:rFonts w:ascii="Verdana" w:hAnsi="Verdana"/>
      <w:sz w:val="20"/>
      <w:szCs w:val="20"/>
      <w:lang w:eastAsia="en-US"/>
    </w:rPr>
  </w:style>
  <w:style w:type="character" w:customStyle="1" w:styleId="无">
    <w:name w:val="无"/>
    <w:link w:val="Normal"/>
    <w:qFormat/>
    <w:rPr/>
  </w:style>
  <w:style w:type="paragraph" w:customStyle="1" w:styleId="正文_3_0">
    <w:name w:val="正文_3_0"/>
    <w:next w:val="Normal"/>
    <w:qFormat/>
    <w:pPr>
      <w:widowControl w:val="0"/>
      <w:jc w:val="both"/>
    </w:pPr>
    <w:rPr>
      <w:rFonts w:ascii="Calibri" w:eastAsia="宋体" w:hAnsi="Calibri" w:cs="Times New Roman" w:hint="default"/>
      <w:sz w:val="21"/>
      <w:szCs w:val="22"/>
      <w:lang w:val="en-US" w:eastAsia="zh-CN" w:bidi="ar-SA"/>
    </w:rPr>
  </w:style>
  <w:style w:type="paragraph" w:customStyle="1" w:styleId="Normal_8_0">
    <w:name w:val="Normal_8_0"/>
    <w:qFormat/>
    <w:rPr>
      <w:rFonts w:ascii="Times New Roman" w:eastAsia="Times New Roman" w:hAnsi="Times New Roman" w:cs="Times New Roman" w:hint="default"/>
      <w:sz w:val="24"/>
      <w:szCs w:val="24"/>
      <w:lang w:val="en-US" w:eastAsia="zh-CN" w:bidi="ar-SA"/>
    </w:rPr>
  </w:style>
  <w:style w:type="character" w:customStyle="1" w:styleId="grame">
    <w:name w:val="grame"/>
    <w:link w:val="Normal"/>
    <w:qFormat/>
    <w:rPr/>
  </w:style>
  <w:style w:type="paragraph" w:customStyle="1" w:styleId="首行缩进">
    <w:name w:val="首行缩进"/>
    <w:basedOn w:val="Normal"/>
    <w:uiPriority w:val="99"/>
    <w:qFormat/>
    <w:pPr>
      <w:ind w:firstLine="480"/>
    </w:pPr>
    <w:rPr>
      <w:rFonts w:ascii="Calibri" w:eastAsia="宋体" w:hAnsi="Calibri" w:cs="Times New Roman"/>
      <w:szCs w:val="22"/>
      <w:lang w:val="zh-CN"/>
    </w:rPr>
  </w:style>
  <w:style w:type="paragraph" w:customStyle="1" w:styleId="正文A">
    <w:name w:val="正文 A"/>
    <w:next w:val="正文1"/>
    <w:qFormat/>
    <w:pPr>
      <w:framePr w:wrap="around" w:vAnchor="margin" w:hAnchor="text" w:y="1"/>
      <w:widowControl w:val="0"/>
      <w:jc w:val="both"/>
    </w:pPr>
    <w:rPr>
      <w:rFonts w:ascii="Times New Roman" w:eastAsia="Times New Roman" w:hAnsi="Times New Roman" w:cs="Times New Roman" w:hint="default"/>
      <w:color w:val="000000"/>
      <w:sz w:val="21"/>
      <w:szCs w:val="21"/>
      <w:lang w:val="en-US" w:eastAsia="zh-CN" w:bidi="ar-SA"/>
    </w:rPr>
  </w:style>
  <w:style w:type="paragraph" w:customStyle="1" w:styleId="无间隔1">
    <w:name w:val="无间隔1"/>
    <w:qFormat/>
    <w:pPr>
      <w:widowControl w:val="0"/>
    </w:pPr>
    <w:rPr>
      <w:rFonts w:ascii="Times New Roman" w:eastAsia="Calibri" w:hAnsi="Times New Roman" w:cs="Times New Roman" w:hint="default"/>
      <w:sz w:val="22"/>
      <w:szCs w:val="22"/>
      <w:lang w:val="en-US" w:eastAsia="en-US" w:bidi="ar-SA"/>
    </w:rPr>
  </w:style>
  <w:style w:type="paragraph" w:customStyle="1" w:styleId="段">
    <w:name w:val="段"/>
    <w:next w:val="Normal"/>
    <w:uiPriority w:val="99"/>
    <w:qFormat/>
    <w:pPr>
      <w:tabs>
        <w:tab w:val="center" w:pos="4201"/>
        <w:tab w:val="right" w:leader="dot" w:pos="9298"/>
      </w:tabs>
      <w:spacing w:after="200" w:line="276" w:lineRule="auto"/>
      <w:ind w:firstLine="420"/>
      <w:jc w:val="both"/>
    </w:pPr>
    <w:rPr>
      <w:rFonts w:ascii="宋体" w:eastAsia="宋体" w:hAnsi="Times New Roman" w:cs="Times New Roman" w:hint="default"/>
      <w:sz w:val="21"/>
      <w:szCs w:val="22"/>
      <w:lang w:val="en-US" w:eastAsia="zh-CN" w:bidi="ar-SA"/>
    </w:rPr>
  </w:style>
  <w:style w:type="paragraph" w:customStyle="1" w:styleId="TableParagraph">
    <w:name w:val="Table Paragraph"/>
    <w:basedOn w:val="Normal"/>
    <w:uiPriority w:val="1"/>
    <w:qFormat/>
    <w:pPr>
      <w:jc w:val="left"/>
    </w:pPr>
    <w:rPr>
      <w:rFonts w:ascii="宋体" w:hAnsi="宋体" w:cs="宋体"/>
      <w:sz w:val="22"/>
      <w:lang w:val="zh-CN" w:bidi="zh-CN"/>
    </w:rPr>
  </w:style>
  <w:style w:type="character" w:customStyle="1" w:styleId="批注框文本Char1">
    <w:name w:val="批注框文本 Char1"/>
    <w:link w:val="Normal"/>
    <w:qFormat/>
    <w:rPr>
      <w:rFonts w:ascii="Calibri" w:eastAsia="宋体" w:hAnsi="Calibri" w:cs="Times New Roman"/>
      <w:sz w:val="18"/>
      <w:szCs w:val="18"/>
    </w:rPr>
  </w:style>
  <w:style w:type="paragraph" w:customStyle="1" w:styleId="纯文本11">
    <w:name w:val="纯文本11"/>
    <w:basedOn w:val="Normal"/>
    <w:next w:val="Normal"/>
    <w:qFormat/>
    <w:rPr>
      <w:rFonts w:ascii="宋体" w:hAnsi="Courier New"/>
      <w:szCs w:val="20"/>
    </w:rPr>
  </w:style>
  <w:style w:type="paragraph" w:customStyle="1" w:styleId="标题11">
    <w:name w:val="标题 11"/>
    <w:next w:val="正文A"/>
    <w:qFormat/>
    <w:pPr>
      <w:keepNext/>
      <w:keepLines/>
      <w:framePr w:wrap="around" w:vAnchor="margin" w:hAnchor="text" w:y="1"/>
      <w:widowControl w:val="0"/>
      <w:tabs>
        <w:tab w:val="left" w:pos="432"/>
      </w:tabs>
      <w:spacing w:before="340" w:after="330" w:line="578" w:lineRule="auto"/>
      <w:jc w:val="both"/>
      <w:outlineLvl w:val="0"/>
    </w:pPr>
    <w:rPr>
      <w:rFonts w:ascii="宋体" w:eastAsia="宋体" w:hAnsi="宋体" w:cs="宋体" w:hint="default"/>
      <w:b/>
      <w:bCs/>
      <w:color w:val="000000"/>
      <w:sz w:val="44"/>
      <w:szCs w:val="44"/>
      <w:lang w:val="en-US" w:eastAsia="zh-CN" w:bidi="ar-SA"/>
    </w:rPr>
  </w:style>
  <w:style w:type="character" w:customStyle="1" w:styleId="样式Char">
    <w:name w:val="样式 Char"/>
    <w:link w:val="样式"/>
    <w:qFormat/>
    <w:rPr>
      <w:rFonts w:ascii="宋体" w:hAnsi="宋体" w:cs="宋体"/>
      <w:sz w:val="24"/>
      <w:szCs w:val="24"/>
    </w:rPr>
  </w:style>
  <w:style w:type="paragraph" w:customStyle="1" w:styleId="样式">
    <w:name w:val="样式"/>
    <w:link w:val="样式Char"/>
    <w:qFormat/>
    <w:pPr>
      <w:widowControl w:val="0"/>
    </w:pPr>
    <w:rPr>
      <w:rFonts w:ascii="宋体" w:eastAsia="宋体" w:hAnsi="宋体" w:cs="宋体" w:hint="default"/>
      <w:sz w:val="24"/>
      <w:szCs w:val="24"/>
      <w:lang w:val="en-US" w:eastAsia="zh-CN" w:bidi="ar-SA"/>
    </w:rPr>
  </w:style>
  <w:style w:type="paragraph" w:customStyle="1" w:styleId="无间隔">
    <w:name w:val="无间隔"/>
    <w:qFormat/>
    <w:pPr>
      <w:widowControl w:val="0"/>
      <w:jc w:val="both"/>
    </w:pPr>
    <w:rPr>
      <w:rFonts w:ascii="Times New Roman" w:eastAsia="宋体" w:hAnsi="Times New Roman" w:cs="Times New Roman" w:hint="default"/>
      <w:sz w:val="21"/>
      <w:szCs w:val="24"/>
      <w:lang w:val="en-US" w:eastAsia="zh-CN" w:bidi="ar-SA"/>
    </w:rPr>
  </w:style>
  <w:style w:type="character" w:customStyle="1" w:styleId="标题6Char">
    <w:name w:val="标题 6 Char"/>
    <w:link w:val="Normal"/>
    <w:uiPriority w:val="9"/>
    <w:semiHidden/>
    <w:qFormat/>
    <w:rPr>
      <w:rFonts w:ascii="Cambria" w:eastAsia="宋体" w:hAnsi="Cambria" w:cs="Times New Roman"/>
      <w:b/>
      <w:bCs/>
      <w:sz w:val="24"/>
      <w:szCs w:val="24"/>
    </w:rPr>
  </w:style>
  <w:style w:type="character" w:customStyle="1" w:styleId="标题8Char">
    <w:name w:val="标题 8 Char"/>
    <w:link w:val="Normal"/>
    <w:uiPriority w:val="9"/>
    <w:semiHidden/>
    <w:qFormat/>
    <w:rPr>
      <w:rFonts w:ascii="Cambria" w:eastAsia="宋体" w:hAnsi="Cambria" w:cs="Times New Roman"/>
      <w:sz w:val="24"/>
      <w:szCs w:val="24"/>
    </w:rPr>
  </w:style>
  <w:style w:type="character" w:customStyle="1" w:styleId="标题9Char">
    <w:name w:val="标题 9 Char"/>
    <w:link w:val="Normal"/>
    <w:uiPriority w:val="9"/>
    <w:semiHidden/>
    <w:qFormat/>
    <w:rPr>
      <w:rFonts w:ascii="Cambria" w:eastAsia="宋体" w:hAnsi="Cambria" w:cs="Times New Roman"/>
      <w:szCs w:val="21"/>
    </w:rPr>
  </w:style>
  <w:style w:type="character" w:customStyle="1" w:styleId="正文文本Char4">
    <w:name w:val="正文文本 Char4"/>
    <w:link w:val="Normal"/>
    <w:qFormat/>
    <w:rPr>
      <w:rFonts w:eastAsia="宋体"/>
      <w:sz w:val="21"/>
      <w:szCs w:val="22"/>
      <w:lang w:val="en-US" w:eastAsia="zh-CN" w:bidi="ar-SA"/>
    </w:rPr>
  </w:style>
  <w:style w:type="character" w:customStyle="1" w:styleId="标题1Char4">
    <w:name w:val="标题 1 Char4"/>
    <w:link w:val="Normal"/>
    <w:qFormat/>
    <w:rPr>
      <w:rFonts w:eastAsia="黑体"/>
      <w:b/>
      <w:bCs/>
      <w:sz w:val="32"/>
      <w:szCs w:val="44"/>
    </w:rPr>
  </w:style>
  <w:style w:type="character" w:customStyle="1" w:styleId="标题2Char4">
    <w:name w:val="标题 2 Char4"/>
    <w:link w:val="Normal"/>
    <w:uiPriority w:val="9"/>
    <w:qFormat/>
    <w:rPr>
      <w:rFonts w:ascii="Arial" w:eastAsia="黑体" w:hAnsi="Arial"/>
      <w:b/>
      <w:bCs/>
      <w:sz w:val="21"/>
      <w:szCs w:val="32"/>
    </w:rPr>
  </w:style>
  <w:style w:type="character" w:customStyle="1" w:styleId="标题3Char4">
    <w:name w:val="标题 3 Char4"/>
    <w:link w:val="Normal"/>
    <w:qFormat/>
    <w:rPr>
      <w:rFonts w:eastAsia="黑体"/>
      <w:b/>
      <w:bCs/>
      <w:sz w:val="21"/>
      <w:szCs w:val="32"/>
    </w:rPr>
  </w:style>
  <w:style w:type="character" w:customStyle="1" w:styleId="标题4Char3">
    <w:name w:val="标题 4 Char3"/>
    <w:link w:val="Normal"/>
    <w:qFormat/>
    <w:rPr>
      <w:rFonts w:ascii="Arial" w:hAnsi="Arial"/>
      <w:b/>
      <w:bCs/>
      <w:sz w:val="21"/>
      <w:szCs w:val="28"/>
    </w:rPr>
  </w:style>
  <w:style w:type="character" w:customStyle="1" w:styleId="标题5Char3">
    <w:name w:val="标题 5 Char3"/>
    <w:link w:val="Normal"/>
    <w:qFormat/>
    <w:rPr>
      <w:b/>
      <w:bCs/>
      <w:sz w:val="28"/>
      <w:szCs w:val="28"/>
    </w:rPr>
  </w:style>
  <w:style w:type="character" w:customStyle="1" w:styleId="标题7Char3">
    <w:name w:val="标题 7 Char3"/>
    <w:link w:val="Normal"/>
    <w:qFormat/>
    <w:rPr>
      <w:rFonts w:ascii="Calibri" w:hAnsi="Calibri"/>
      <w:b/>
      <w:bCs/>
      <w:sz w:val="24"/>
      <w:szCs w:val="24"/>
    </w:rPr>
  </w:style>
  <w:style w:type="character" w:customStyle="1" w:styleId="文档结构图Char5">
    <w:name w:val="文档结构图 Char5"/>
    <w:link w:val="Normal"/>
    <w:qFormat/>
    <w:rPr>
      <w:sz w:val="21"/>
      <w:szCs w:val="24"/>
      <w:shd w:val="clear" w:color="auto" w:fill="000080"/>
    </w:rPr>
  </w:style>
  <w:style w:type="character" w:customStyle="1" w:styleId="批注文字Char3">
    <w:name w:val="批注文字 Char3"/>
    <w:link w:val="Normal"/>
    <w:qFormat/>
    <w:rPr>
      <w:sz w:val="21"/>
      <w:szCs w:val="24"/>
    </w:rPr>
  </w:style>
  <w:style w:type="character" w:customStyle="1" w:styleId="正文文本3Char3">
    <w:name w:val="正文文本 3 Char3"/>
    <w:link w:val="Normal"/>
    <w:qFormat/>
    <w:rPr>
      <w:rFonts w:ascii="宋体"/>
      <w:sz w:val="24"/>
    </w:rPr>
  </w:style>
  <w:style w:type="character" w:customStyle="1" w:styleId="正文文本缩进Char3">
    <w:name w:val="正文文本缩进 Char3"/>
    <w:link w:val="Normal"/>
    <w:qFormat/>
    <w:rPr>
      <w:rFonts w:ascii="宋体" w:hAnsi="宋体"/>
      <w:sz w:val="21"/>
    </w:rPr>
  </w:style>
  <w:style w:type="character" w:customStyle="1" w:styleId="纯文本Char4">
    <w:name w:val="纯文本 Char4"/>
    <w:link w:val="Normal"/>
    <w:qFormat/>
    <w:rPr>
      <w:rFonts w:ascii="宋体" w:hAnsi="Courier New"/>
      <w:sz w:val="21"/>
      <w:szCs w:val="24"/>
    </w:rPr>
  </w:style>
  <w:style w:type="character" w:customStyle="1" w:styleId="日期Char5">
    <w:name w:val="日期 Char5"/>
    <w:link w:val="Normal"/>
    <w:qFormat/>
    <w:rPr>
      <w:sz w:val="21"/>
      <w:szCs w:val="24"/>
    </w:rPr>
  </w:style>
  <w:style w:type="character" w:customStyle="1" w:styleId="正文文本缩进2Char3">
    <w:name w:val="正文文本缩进 2 Char3"/>
    <w:link w:val="Normal"/>
    <w:qFormat/>
    <w:rPr>
      <w:sz w:val="21"/>
      <w:szCs w:val="24"/>
    </w:rPr>
  </w:style>
  <w:style w:type="character" w:customStyle="1" w:styleId="批注框文本Char4">
    <w:name w:val="批注框文本 Char4"/>
    <w:link w:val="Normal"/>
    <w:qFormat/>
    <w:rPr>
      <w:sz w:val="18"/>
      <w:szCs w:val="18"/>
    </w:rPr>
  </w:style>
  <w:style w:type="character" w:customStyle="1" w:styleId="页脚Char2">
    <w:name w:val="页脚 Char2"/>
    <w:link w:val="Normal"/>
    <w:qFormat/>
    <w:rPr>
      <w:sz w:val="18"/>
      <w:szCs w:val="18"/>
    </w:rPr>
  </w:style>
  <w:style w:type="character" w:customStyle="1" w:styleId="页眉Char2">
    <w:name w:val="页眉 Char2"/>
    <w:link w:val="Normal"/>
    <w:qFormat/>
    <w:rPr>
      <w:sz w:val="18"/>
      <w:szCs w:val="18"/>
    </w:rPr>
  </w:style>
  <w:style w:type="character" w:customStyle="1" w:styleId="副标题Char">
    <w:name w:val="副标题 Char"/>
    <w:link w:val="Normal"/>
    <w:uiPriority w:val="11"/>
    <w:qFormat/>
    <w:rPr>
      <w:rFonts w:ascii="Cambria" w:eastAsia="宋体" w:hAnsi="Cambria" w:cs="Times New Roman"/>
      <w:b/>
      <w:bCs/>
      <w:sz w:val="32"/>
      <w:szCs w:val="32"/>
    </w:rPr>
  </w:style>
  <w:style w:type="character" w:customStyle="1" w:styleId="脚注文本Char">
    <w:name w:val="脚注文本 Char"/>
    <w:link w:val="Normal"/>
    <w:uiPriority w:val="99"/>
    <w:semiHidden/>
    <w:qFormat/>
    <w:rPr>
      <w:rFonts w:ascii="Times New Roman" w:eastAsia="宋体" w:hAnsi="Times New Roman" w:cs="Times New Roman"/>
      <w:sz w:val="18"/>
      <w:szCs w:val="18"/>
    </w:rPr>
  </w:style>
  <w:style w:type="character" w:customStyle="1" w:styleId="正文文本缩进3Char3">
    <w:name w:val="正文文本缩进 3 Char3"/>
    <w:link w:val="Normal"/>
    <w:qFormat/>
    <w:rPr>
      <w:sz w:val="16"/>
      <w:szCs w:val="16"/>
    </w:rPr>
  </w:style>
  <w:style w:type="character" w:customStyle="1" w:styleId="标题Char">
    <w:name w:val="标题 Char"/>
    <w:link w:val="Normal"/>
    <w:uiPriority w:val="10"/>
    <w:qFormat/>
    <w:rPr>
      <w:rFonts w:ascii="Cambria" w:eastAsia="宋体" w:hAnsi="Cambria" w:cs="Times New Roman"/>
      <w:b/>
      <w:bCs/>
      <w:sz w:val="32"/>
      <w:szCs w:val="32"/>
    </w:rPr>
  </w:style>
  <w:style w:type="character" w:customStyle="1" w:styleId="批注主题Char5">
    <w:name w:val="批注主题 Char5"/>
    <w:link w:val="Normal"/>
    <w:qFormat/>
    <w:rPr>
      <w:b/>
      <w:bCs/>
      <w:sz w:val="21"/>
      <w:szCs w:val="24"/>
    </w:rPr>
  </w:style>
  <w:style w:type="character" w:customStyle="1" w:styleId="标题3Char1">
    <w:name w:val="标题 3 Char1"/>
    <w:link w:val="Normal"/>
    <w:qFormat/>
    <w:rPr>
      <w:rFonts w:ascii="Calibri" w:eastAsia="宋体" w:hAnsi="Calibri" w:cs="Arial"/>
      <w:b/>
      <w:sz w:val="32"/>
      <w:szCs w:val="20"/>
    </w:rPr>
  </w:style>
  <w:style w:type="character" w:customStyle="1" w:styleId="文档结构图Char2">
    <w:name w:val="文档结构图 Char2"/>
    <w:link w:val="Normal"/>
    <w:qFormat/>
    <w:rPr>
      <w:sz w:val="21"/>
      <w:szCs w:val="24"/>
      <w:shd w:val="clear" w:color="auto" w:fill="000080"/>
    </w:rPr>
  </w:style>
  <w:style w:type="character" w:customStyle="1" w:styleId="DateChar">
    <w:name w:val="Date Char"/>
    <w:link w:val="Normal"/>
    <w:qFormat/>
    <w:rPr>
      <w:rFonts w:eastAsia="宋体"/>
      <w:sz w:val="21"/>
      <w:szCs w:val="24"/>
      <w:lang w:val="en-US" w:eastAsia="zh-CN" w:bidi="ar-SA"/>
    </w:rPr>
  </w:style>
  <w:style w:type="character" w:customStyle="1" w:styleId="副标题Char1">
    <w:name w:val="副标题 Char1"/>
    <w:link w:val="Normal"/>
    <w:uiPriority w:val="11"/>
    <w:qFormat/>
    <w:rPr>
      <w:rFonts w:ascii="Cambria" w:hAnsi="Cambria" w:cs="Times New Roman"/>
      <w:b/>
      <w:bCs/>
      <w:sz w:val="32"/>
      <w:szCs w:val="32"/>
    </w:rPr>
  </w:style>
  <w:style w:type="character" w:customStyle="1" w:styleId="Heading3Char1">
    <w:name w:val="Heading 3 Char1"/>
    <w:link w:val="Normal"/>
    <w:qFormat/>
    <w:rPr>
      <w:rFonts w:eastAsia="宋体"/>
      <w:b/>
      <w:bCs/>
      <w:sz w:val="24"/>
      <w:szCs w:val="32"/>
      <w:lang w:val="en-US" w:eastAsia="zh-CN" w:bidi="ar-SA"/>
    </w:rPr>
  </w:style>
  <w:style w:type="character" w:customStyle="1" w:styleId="标题6Char1">
    <w:name w:val="标题 6 Char1"/>
    <w:link w:val="Normal"/>
    <w:qFormat/>
    <w:rPr>
      <w:rFonts w:ascii="Cambria" w:hAnsi="Cambria"/>
      <w:b/>
      <w:bCs/>
      <w:sz w:val="24"/>
      <w:szCs w:val="24"/>
    </w:rPr>
  </w:style>
  <w:style w:type="character" w:customStyle="1" w:styleId="日期Char3">
    <w:name w:val="日期 Char3"/>
    <w:link w:val="Normal"/>
    <w:qFormat/>
    <w:rPr>
      <w:sz w:val="21"/>
      <w:szCs w:val="24"/>
      <w:lang w:bidi="ar-SA"/>
    </w:rPr>
  </w:style>
  <w:style w:type="character" w:customStyle="1" w:styleId="文档结构图Char3">
    <w:name w:val="文档结构图 Char3"/>
    <w:link w:val="Normal"/>
    <w:qFormat/>
    <w:rPr>
      <w:sz w:val="21"/>
      <w:szCs w:val="24"/>
      <w:shd w:val="clear" w:color="auto" w:fill="000080"/>
      <w:lang w:bidi="ar-SA"/>
    </w:rPr>
  </w:style>
  <w:style w:type="character" w:customStyle="1" w:styleId="CommentSubjectChar">
    <w:name w:val="Comment Subject Char"/>
    <w:link w:val="Normal"/>
    <w:qFormat/>
    <w:rPr>
      <w:b/>
      <w:sz w:val="24"/>
      <w:lang w:bidi="ar-SA"/>
    </w:rPr>
  </w:style>
  <w:style w:type="character" w:customStyle="1" w:styleId="CharChar20">
    <w:name w:val="Char Char20"/>
    <w:link w:val="Normal"/>
    <w:qFormat/>
    <w:rPr>
      <w:rFonts w:ascii="Times New Roman" w:eastAsia="宋体" w:hAnsi="Times New Roman" w:cs="Times New Roman"/>
      <w:b/>
      <w:bCs/>
      <w:sz w:val="24"/>
      <w:szCs w:val="32"/>
    </w:rPr>
  </w:style>
  <w:style w:type="character" w:customStyle="1" w:styleId="CommentTextChar">
    <w:name w:val="Comment Text Char"/>
    <w:link w:val="Normal"/>
    <w:qFormat/>
    <w:rPr>
      <w:rFonts w:cs="Times New Roman"/>
      <w:sz w:val="24"/>
      <w:szCs w:val="24"/>
    </w:rPr>
  </w:style>
  <w:style w:type="character" w:customStyle="1" w:styleId="BalloonTextChar">
    <w:name w:val="Balloon Text Char"/>
    <w:link w:val="Normal"/>
    <w:qFormat/>
    <w:rPr>
      <w:sz w:val="18"/>
      <w:lang w:bidi="ar-SA"/>
    </w:rPr>
  </w:style>
  <w:style w:type="character" w:customStyle="1" w:styleId="引用Char1">
    <w:name w:val="引用 Char1"/>
    <w:link w:val="Normal"/>
    <w:uiPriority w:val="29"/>
    <w:qFormat/>
    <w:rPr>
      <w:rFonts w:ascii="Times New Roman" w:eastAsia="宋体" w:hAnsi="Times New Roman" w:cs="Times New Roman"/>
      <w:i/>
      <w:iCs/>
      <w:color w:val="000000"/>
      <w:szCs w:val="24"/>
    </w:rPr>
  </w:style>
  <w:style w:type="character" w:customStyle="1" w:styleId="apple-converted-space">
    <w:name w:val="apple-converted-space"/>
    <w:link w:val="Normal"/>
    <w:qFormat/>
    <w:rPr/>
  </w:style>
  <w:style w:type="character" w:customStyle="1" w:styleId="不明显参考2">
    <w:name w:val="不明显参考2"/>
    <w:link w:val="Normal"/>
    <w:qFormat/>
    <w:rPr>
      <w:smallCaps/>
      <w:color w:val="C0504D"/>
      <w:u w:val="single"/>
    </w:rPr>
  </w:style>
  <w:style w:type="character" w:customStyle="1" w:styleId="批注引用1">
    <w:name w:val="批注引用1"/>
    <w:link w:val="Normal"/>
    <w:qFormat/>
    <w:rPr>
      <w:rFonts w:ascii="Times New Roman" w:hAnsi="Times New Roman" w:cs="Times New Roman"/>
      <w:sz w:val="21"/>
      <w:szCs w:val="21"/>
    </w:rPr>
  </w:style>
  <w:style w:type="character" w:customStyle="1" w:styleId="正文文本缩进3Char1">
    <w:name w:val="正文文本缩进 3 Char1"/>
    <w:link w:val="Normal"/>
    <w:qFormat/>
    <w:rPr>
      <w:sz w:val="16"/>
      <w:szCs w:val="16"/>
    </w:rPr>
  </w:style>
  <w:style w:type="character" w:customStyle="1" w:styleId="明显参考1">
    <w:name w:val="明显参考1"/>
    <w:link w:val="Normal"/>
    <w:qFormat/>
    <w:rPr>
      <w:b/>
      <w:bCs/>
      <w:smallCaps/>
      <w:color w:val="C0504D"/>
      <w:spacing w:val="5"/>
      <w:u w:val="single"/>
    </w:rPr>
  </w:style>
  <w:style w:type="character" w:customStyle="1" w:styleId="脚注文本Char1">
    <w:name w:val="脚注文本 Char1"/>
    <w:link w:val="Normal"/>
    <w:qFormat/>
    <w:rPr>
      <w:sz w:val="18"/>
    </w:rPr>
  </w:style>
  <w:style w:type="character" w:customStyle="1" w:styleId="副标题Char3">
    <w:name w:val="副标题 Char3"/>
    <w:link w:val="Normal"/>
    <w:qFormat/>
    <w:rPr>
      <w:rFonts w:ascii="Cambria" w:hAnsi="Cambria"/>
      <w:b/>
      <w:bCs/>
      <w:sz w:val="32"/>
      <w:szCs w:val="32"/>
    </w:rPr>
  </w:style>
  <w:style w:type="character" w:customStyle="1" w:styleId="CharChar9">
    <w:name w:val="Char Char9"/>
    <w:link w:val="Normal"/>
    <w:qFormat/>
    <w:rPr>
      <w:rFonts w:eastAsia="宋体"/>
      <w:b/>
      <w:bCs/>
      <w:sz w:val="32"/>
      <w:szCs w:val="44"/>
      <w:lang w:val="en-US" w:eastAsia="zh-CN" w:bidi="ar-SA"/>
    </w:rPr>
  </w:style>
  <w:style w:type="character" w:customStyle="1" w:styleId="CharChar24">
    <w:name w:val="Char Char24"/>
    <w:link w:val="Normal"/>
    <w:qFormat/>
    <w:rPr>
      <w:rFonts w:eastAsia="宋体"/>
      <w:b/>
      <w:bCs/>
      <w:sz w:val="32"/>
      <w:szCs w:val="44"/>
      <w:lang w:val="en-US" w:eastAsia="zh-CN" w:bidi="ar-SA"/>
    </w:rPr>
  </w:style>
  <w:style w:type="character" w:customStyle="1" w:styleId="Heading3Char">
    <w:name w:val="Heading 3 Char"/>
    <w:link w:val="Normal"/>
    <w:qFormat/>
    <w:rPr>
      <w:rFonts w:cs="Times New Roman"/>
      <w:b/>
      <w:bCs/>
      <w:sz w:val="32"/>
      <w:szCs w:val="32"/>
    </w:rPr>
  </w:style>
  <w:style w:type="character" w:customStyle="1" w:styleId="批注文字Char1">
    <w:name w:val="批注文字 Char1"/>
    <w:link w:val="Normal"/>
    <w:qFormat/>
    <w:rPr>
      <w:rFonts w:ascii="Times New Roman" w:eastAsia="宋体" w:hAnsi="Times New Roman" w:cs="Times New Roman"/>
      <w:szCs w:val="24"/>
    </w:rPr>
  </w:style>
  <w:style w:type="character" w:customStyle="1" w:styleId="书籍标题1">
    <w:name w:val="书籍标题1"/>
    <w:link w:val="Normal"/>
    <w:qFormat/>
    <w:rPr>
      <w:b/>
      <w:bCs/>
      <w:smallCaps/>
      <w:spacing w:val="5"/>
    </w:rPr>
  </w:style>
  <w:style w:type="character" w:customStyle="1" w:styleId="明显强调1">
    <w:name w:val="明显强调1"/>
    <w:link w:val="Normal"/>
    <w:qFormat/>
    <w:rPr>
      <w:b/>
      <w:bCs/>
      <w:i/>
      <w:iCs/>
      <w:color w:val="4F81BD"/>
    </w:rPr>
  </w:style>
  <w:style w:type="character" w:customStyle="1" w:styleId="标题Char1">
    <w:name w:val="标题 Char1"/>
    <w:link w:val="Normal"/>
    <w:uiPriority w:val="10"/>
    <w:qFormat/>
    <w:rPr>
      <w:rFonts w:ascii="Cambria" w:eastAsia="宋体" w:hAnsi="Cambria" w:cs="Times New Roman"/>
      <w:b/>
      <w:bCs/>
      <w:sz w:val="32"/>
      <w:szCs w:val="32"/>
    </w:rPr>
  </w:style>
  <w:style w:type="character" w:customStyle="1" w:styleId="明显参考3">
    <w:name w:val="明显参考3"/>
    <w:link w:val="Normal"/>
    <w:qFormat/>
    <w:rPr>
      <w:b/>
      <w:bCs/>
      <w:smallCaps/>
      <w:color w:val="C0504D"/>
      <w:spacing w:val="5"/>
      <w:u w:val="single"/>
    </w:rPr>
  </w:style>
  <w:style w:type="character" w:customStyle="1" w:styleId="页眉Char1">
    <w:name w:val="页眉 Char1"/>
    <w:link w:val="Normal"/>
    <w:uiPriority w:val="99"/>
    <w:qFormat/>
    <w:rPr>
      <w:sz w:val="18"/>
      <w:szCs w:val="18"/>
      <w:lang w:bidi="ar-SA"/>
    </w:rPr>
  </w:style>
  <w:style w:type="character" w:customStyle="1" w:styleId="标题8Char1">
    <w:name w:val="标题 8 Char1"/>
    <w:link w:val="Normal"/>
    <w:qFormat/>
    <w:rPr>
      <w:rFonts w:ascii="Cambria" w:hAnsi="Cambria"/>
      <w:sz w:val="24"/>
      <w:szCs w:val="24"/>
    </w:rPr>
  </w:style>
  <w:style w:type="character" w:customStyle="1" w:styleId="标题6Char2">
    <w:name w:val="标题 6 Char2"/>
    <w:link w:val="Normal"/>
    <w:qFormat/>
    <w:rPr>
      <w:rFonts w:ascii="Cambria" w:eastAsia="宋体" w:hAnsi="Cambria" w:cs="Times New Roman"/>
      <w:b/>
      <w:bCs/>
      <w:sz w:val="24"/>
      <w:szCs w:val="24"/>
    </w:rPr>
  </w:style>
  <w:style w:type="character" w:customStyle="1" w:styleId="正文文本Char2">
    <w:name w:val="正文文本 Char2"/>
    <w:link w:val="Normal"/>
    <w:qFormat/>
    <w:rPr>
      <w:rFonts w:eastAsia="宋体"/>
      <w:sz w:val="21"/>
      <w:szCs w:val="22"/>
      <w:lang w:val="en-US" w:eastAsia="zh-CN" w:bidi="ar-SA"/>
    </w:rPr>
  </w:style>
  <w:style w:type="character" w:customStyle="1" w:styleId="正文文本缩进Char1">
    <w:name w:val="正文文本缩进 Char1"/>
    <w:link w:val="Normal"/>
    <w:qFormat/>
    <w:rPr>
      <w:rFonts w:ascii="宋体" w:hAnsi="宋体"/>
      <w:sz w:val="21"/>
      <w:lang w:bidi="ar-SA"/>
    </w:rPr>
  </w:style>
  <w:style w:type="character" w:customStyle="1" w:styleId="标题1Char2">
    <w:name w:val="标题 1 Char2"/>
    <w:link w:val="Normal"/>
    <w:qFormat/>
    <w:rPr>
      <w:rFonts w:eastAsia="黑体"/>
      <w:b/>
      <w:bCs/>
      <w:sz w:val="32"/>
      <w:szCs w:val="44"/>
      <w:lang w:bidi="ar-SA"/>
    </w:rPr>
  </w:style>
  <w:style w:type="character" w:customStyle="1" w:styleId="正文文本Char1">
    <w:name w:val="正文文本 Char1"/>
    <w:link w:val="Normal"/>
    <w:qFormat/>
    <w:rPr>
      <w:sz w:val="21"/>
      <w:szCs w:val="22"/>
    </w:rPr>
  </w:style>
  <w:style w:type="character" w:customStyle="1" w:styleId="CharChar18">
    <w:name w:val="Char Char18"/>
    <w:link w:val="Normal"/>
    <w:qFormat/>
    <w:rPr>
      <w:rFonts w:ascii="Times New Roman" w:eastAsia="宋体" w:hAnsi="Times New Roman" w:cs="Times New Roman"/>
      <w:b/>
      <w:bCs/>
      <w:sz w:val="28"/>
      <w:szCs w:val="28"/>
    </w:rPr>
  </w:style>
  <w:style w:type="character" w:customStyle="1" w:styleId="正文文本缩进Char2">
    <w:name w:val="正文文本缩进 Char2"/>
    <w:link w:val="Normal"/>
    <w:qFormat/>
    <w:rPr>
      <w:rFonts w:ascii="宋体" w:hAnsi="宋体"/>
    </w:rPr>
  </w:style>
  <w:style w:type="character" w:customStyle="1" w:styleId="书籍标题2">
    <w:name w:val="书籍标题2"/>
    <w:link w:val="Normal"/>
    <w:qFormat/>
    <w:rPr>
      <w:b/>
      <w:bCs/>
      <w:smallCaps/>
      <w:spacing w:val="5"/>
    </w:rPr>
  </w:style>
  <w:style w:type="character" w:customStyle="1" w:styleId="批注主题Char3">
    <w:name w:val="批注主题 Char3"/>
    <w:link w:val="Normal"/>
    <w:qFormat/>
    <w:rPr>
      <w:b/>
      <w:bCs/>
      <w:sz w:val="21"/>
      <w:szCs w:val="24"/>
      <w:lang w:bidi="ar-SA"/>
    </w:rPr>
  </w:style>
  <w:style w:type="character" w:customStyle="1" w:styleId="页脚Char1">
    <w:name w:val="页脚 Char1"/>
    <w:link w:val="Normal"/>
    <w:uiPriority w:val="99"/>
    <w:qFormat/>
    <w:rPr>
      <w:sz w:val="18"/>
      <w:szCs w:val="18"/>
      <w:lang w:bidi="ar-SA"/>
    </w:rPr>
  </w:style>
  <w:style w:type="character" w:customStyle="1" w:styleId="Heading4Char">
    <w:name w:val="Heading 4 Char"/>
    <w:link w:val="Normal"/>
    <w:qFormat/>
    <w:rPr>
      <w:rFonts w:ascii="Arial" w:eastAsia="宋体" w:hAnsi="Arial"/>
      <w:b/>
      <w:bCs/>
      <w:sz w:val="21"/>
      <w:szCs w:val="28"/>
      <w:lang w:val="en-US" w:eastAsia="zh-CN" w:bidi="ar-SA"/>
    </w:rPr>
  </w:style>
  <w:style w:type="character" w:customStyle="1" w:styleId="批注主题Char1">
    <w:name w:val="批注主题 Char1"/>
    <w:link w:val="Normal"/>
    <w:qFormat/>
    <w:rPr>
      <w:rFonts w:ascii="Times New Roman" w:eastAsia="宋体" w:hAnsi="Times New Roman" w:cs="Times New Roman"/>
      <w:b/>
      <w:bCs/>
      <w:szCs w:val="24"/>
    </w:rPr>
  </w:style>
  <w:style w:type="character" w:customStyle="1" w:styleId="批注引用2">
    <w:name w:val="批注引用2"/>
    <w:link w:val="Normal"/>
    <w:qFormat/>
    <w:rPr>
      <w:rFonts w:cs="Times New Roman"/>
      <w:sz w:val="21"/>
      <w:szCs w:val="21"/>
    </w:rPr>
  </w:style>
  <w:style w:type="character" w:customStyle="1" w:styleId="DocumentMapChar">
    <w:name w:val="Document Map Char"/>
    <w:link w:val="Normal"/>
    <w:qFormat/>
    <w:rPr>
      <w:rFonts w:eastAsia="宋体"/>
      <w:sz w:val="21"/>
      <w:szCs w:val="24"/>
      <w:lang w:val="en-US" w:eastAsia="zh-CN" w:bidi="ar-SA"/>
    </w:rPr>
  </w:style>
  <w:style w:type="character" w:customStyle="1" w:styleId="标题1Char3">
    <w:name w:val="标题 1 Char3"/>
    <w:link w:val="Normal"/>
    <w:qFormat/>
    <w:rPr>
      <w:rFonts w:ascii="Times New Roman" w:eastAsia="黑体" w:hAnsi="Times New Roman" w:cs="Times New Roman"/>
      <w:b/>
      <w:bCs/>
      <w:sz w:val="32"/>
      <w:szCs w:val="44"/>
    </w:rPr>
  </w:style>
  <w:style w:type="character" w:customStyle="1" w:styleId="标题5CharChar">
    <w:name w:val="标题5 Char Char"/>
    <w:link w:val="标题5"/>
    <w:qFormat/>
    <w:rPr>
      <w:rFonts w:ascii="Arial" w:hAnsi="Arial"/>
      <w:b/>
      <w:bCs/>
      <w:sz w:val="24"/>
      <w:szCs w:val="32"/>
    </w:rPr>
  </w:style>
  <w:style w:type="paragraph" w:customStyle="1" w:styleId="标题5">
    <w:name w:val="标题5"/>
    <w:basedOn w:val="标题31"/>
    <w:link w:val="标题5CharChar"/>
    <w:qFormat/>
    <w:pPr>
      <w:tabs>
        <w:tab w:val="clear" w:pos="720"/>
      </w:tabs>
      <w:spacing w:line="413" w:lineRule="auto"/>
      <w:ind w:left="0" w:firstLine="0"/>
    </w:pPr>
    <w:rPr>
      <w:rFonts w:ascii="Arial" w:eastAsia="宋体" w:hAnsi="Arial" w:cs="Times New Roman"/>
      <w:bCs/>
      <w:color w:val="000000"/>
      <w:sz w:val="24"/>
      <w:szCs w:val="32"/>
    </w:rPr>
  </w:style>
  <w:style w:type="character" w:customStyle="1" w:styleId="textcontents">
    <w:name w:val="textcontents"/>
    <w:link w:val="Normal"/>
    <w:qFormat/>
    <w:rPr>
      <w:rFonts w:cs="Times New Roman"/>
    </w:rPr>
  </w:style>
  <w:style w:type="character" w:customStyle="1" w:styleId="标题7Char2">
    <w:name w:val="标题 7 Char2"/>
    <w:link w:val="Normal"/>
    <w:qFormat/>
    <w:rPr>
      <w:rFonts w:ascii="Calibri" w:eastAsia="宋体" w:hAnsi="Calibri" w:cs="Times New Roman"/>
      <w:b/>
      <w:bCs/>
      <w:sz w:val="24"/>
      <w:szCs w:val="24"/>
    </w:rPr>
  </w:style>
  <w:style w:type="character" w:customStyle="1" w:styleId="标题Char2">
    <w:name w:val="标题 Char2"/>
    <w:link w:val="Normal"/>
    <w:qFormat/>
    <w:rPr>
      <w:rFonts w:ascii="Cambria" w:eastAsia="宋体" w:hAnsi="Cambria" w:cs="Times New Roman"/>
      <w:b/>
      <w:bCs/>
      <w:sz w:val="32"/>
      <w:szCs w:val="32"/>
    </w:rPr>
  </w:style>
  <w:style w:type="character" w:customStyle="1" w:styleId="标题7Char1">
    <w:name w:val="标题 7 Char1"/>
    <w:link w:val="Normal"/>
    <w:qFormat/>
    <w:rPr>
      <w:rFonts w:ascii="Calibri" w:hAnsi="Calibri"/>
      <w:b/>
      <w:bCs/>
      <w:sz w:val="24"/>
      <w:szCs w:val="24"/>
    </w:rPr>
  </w:style>
  <w:style w:type="character" w:customStyle="1" w:styleId="批注框文本Char2">
    <w:name w:val="批注框文本 Char2"/>
    <w:link w:val="Normal"/>
    <w:qFormat/>
    <w:rPr>
      <w:sz w:val="18"/>
      <w:szCs w:val="18"/>
      <w:lang w:bidi="ar-SA"/>
    </w:rPr>
  </w:style>
  <w:style w:type="character" w:customStyle="1" w:styleId="BodyTextIndent2Char">
    <w:name w:val="Body Text Indent 2 Char"/>
    <w:link w:val="Normal"/>
    <w:qFormat/>
    <w:rPr>
      <w:rFonts w:eastAsia="宋体"/>
      <w:sz w:val="21"/>
      <w:szCs w:val="24"/>
      <w:lang w:val="en-US" w:eastAsia="zh-CN" w:bidi="ar-SA"/>
    </w:rPr>
  </w:style>
  <w:style w:type="character" w:customStyle="1" w:styleId="不明显参考3">
    <w:name w:val="不明显参考3"/>
    <w:link w:val="Normal"/>
    <w:qFormat/>
    <w:rPr>
      <w:smallCaps/>
      <w:color w:val="C0504D"/>
      <w:u w:val="single"/>
    </w:rPr>
  </w:style>
  <w:style w:type="character" w:customStyle="1" w:styleId="引用Char3">
    <w:name w:val="引用 Char3"/>
    <w:link w:val="Normal"/>
    <w:qFormat/>
    <w:rPr>
      <w:i/>
      <w:iCs/>
      <w:color w:val="000000"/>
    </w:rPr>
  </w:style>
  <w:style w:type="character" w:customStyle="1" w:styleId="标题Char4">
    <w:name w:val="标题 Char4"/>
    <w:link w:val="Normal"/>
    <w:qFormat/>
    <w:rPr>
      <w:rFonts w:ascii="Cambria" w:hAnsi="Cambria"/>
      <w:b/>
      <w:bCs/>
      <w:sz w:val="32"/>
      <w:szCs w:val="32"/>
    </w:rPr>
  </w:style>
  <w:style w:type="character" w:customStyle="1" w:styleId="明显引用Char1">
    <w:name w:val="明显引用 Char1"/>
    <w:link w:val="Normal"/>
    <w:uiPriority w:val="30"/>
    <w:qFormat/>
    <w:rPr>
      <w:rFonts w:ascii="Times New Roman" w:eastAsia="宋体" w:hAnsi="Times New Roman" w:cs="Times New Roman"/>
      <w:b/>
      <w:bCs/>
      <w:i/>
      <w:iCs/>
      <w:color w:val="4F81BD"/>
      <w:szCs w:val="24"/>
    </w:rPr>
  </w:style>
  <w:style w:type="character" w:customStyle="1" w:styleId="引用Char4">
    <w:name w:val="引用 Char4"/>
    <w:link w:val="引用"/>
    <w:qFormat/>
    <w:rPr>
      <w:i/>
      <w:iCs/>
      <w:color w:val="000000"/>
    </w:rPr>
  </w:style>
  <w:style w:type="paragraph" w:customStyle="1" w:styleId="引用">
    <w:name w:val="引用"/>
    <w:basedOn w:val="Normal"/>
    <w:next w:val="Normal"/>
    <w:link w:val="引用Char4"/>
    <w:qFormat/>
    <w:rPr>
      <w:rFonts w:ascii="Calibri" w:eastAsia="宋体" w:hAnsi="Calibri" w:cs="Times New Roman"/>
      <w:i/>
      <w:iCs/>
      <w:color w:val="000000"/>
      <w:szCs w:val="22"/>
    </w:rPr>
  </w:style>
  <w:style w:type="character" w:customStyle="1" w:styleId="引用Char">
    <w:name w:val="引用 Char"/>
    <w:link w:val="Normal"/>
    <w:uiPriority w:val="29"/>
    <w:qFormat/>
    <w:rPr>
      <w:rFonts w:ascii="Times New Roman" w:eastAsia="宋体" w:hAnsi="Times New Roman" w:cs="Times New Roman"/>
      <w:i/>
      <w:iCs/>
      <w:color w:val="000000"/>
      <w:szCs w:val="24"/>
    </w:rPr>
  </w:style>
  <w:style w:type="character" w:customStyle="1" w:styleId="不明显强调3">
    <w:name w:val="不明显强调3"/>
    <w:link w:val="Normal"/>
    <w:qFormat/>
    <w:rPr>
      <w:i/>
      <w:iCs/>
      <w:color w:val="808080"/>
    </w:rPr>
  </w:style>
  <w:style w:type="character" w:customStyle="1" w:styleId="文档结构图Char4">
    <w:name w:val="文档结构图 Char4"/>
    <w:link w:val="Normal"/>
    <w:qFormat/>
    <w:rPr>
      <w:szCs w:val="24"/>
      <w:shd w:val="clear" w:color="auto" w:fill="000080"/>
    </w:rPr>
  </w:style>
  <w:style w:type="character" w:customStyle="1" w:styleId="标题1.1Char">
    <w:name w:val="标题 1.1 Char"/>
    <w:link w:val="Normal"/>
    <w:qFormat/>
    <w:rPr>
      <w:rFonts w:ascii="Arial" w:eastAsia="黑体" w:hAnsi="Arial"/>
      <w:b/>
      <w:bCs/>
      <w:sz w:val="32"/>
      <w:szCs w:val="32"/>
      <w:lang w:val="en-US" w:eastAsia="zh-CN" w:bidi="ar-SA"/>
    </w:rPr>
  </w:style>
  <w:style w:type="character" w:customStyle="1" w:styleId="明显引用Char4">
    <w:name w:val="明显引用 Char4"/>
    <w:link w:val="明显引用"/>
    <w:qFormat/>
    <w:rPr>
      <w:b/>
      <w:bCs/>
      <w:i/>
      <w:iCs/>
      <w:color w:val="4F81BD"/>
    </w:rPr>
  </w:style>
  <w:style w:type="paragraph" w:customStyle="1" w:styleId="明显引用">
    <w:name w:val="明显引用"/>
    <w:basedOn w:val="Normal"/>
    <w:next w:val="Normal"/>
    <w:link w:val="明显引用Char4"/>
    <w:qFormat/>
    <w:pPr>
      <w:pBdr>
        <w:bottom w:val="single" w:sz="4" w:space="4" w:color="4F81BD"/>
      </w:pBdr>
      <w:spacing w:before="200" w:after="280"/>
      <w:ind w:left="936" w:right="936"/>
    </w:pPr>
    <w:rPr>
      <w:rFonts w:ascii="Calibri" w:eastAsia="宋体" w:hAnsi="Calibri" w:cs="Times New Roman"/>
      <w:b/>
      <w:bCs/>
      <w:i/>
      <w:iCs/>
      <w:color w:val="4F81BD"/>
      <w:szCs w:val="22"/>
    </w:rPr>
  </w:style>
  <w:style w:type="character" w:customStyle="1" w:styleId="明显引用Char">
    <w:name w:val="明显引用 Char"/>
    <w:link w:val="Normal"/>
    <w:uiPriority w:val="30"/>
    <w:qFormat/>
    <w:rPr>
      <w:rFonts w:ascii="Times New Roman" w:eastAsia="宋体" w:hAnsi="Times New Roman" w:cs="Times New Roman"/>
      <w:b/>
      <w:bCs/>
      <w:i/>
      <w:iCs/>
      <w:color w:val="4F81BD"/>
      <w:szCs w:val="24"/>
    </w:rPr>
  </w:style>
  <w:style w:type="character" w:customStyle="1" w:styleId="Heading5Char">
    <w:name w:val="Heading 5 Char"/>
    <w:link w:val="Normal"/>
    <w:qFormat/>
    <w:rPr>
      <w:rFonts w:eastAsia="宋体"/>
      <w:b/>
      <w:bCs/>
      <w:sz w:val="28"/>
      <w:szCs w:val="28"/>
      <w:lang w:val="en-US" w:eastAsia="zh-CN" w:bidi="ar-SA"/>
    </w:rPr>
  </w:style>
  <w:style w:type="character" w:customStyle="1" w:styleId="标题1Char1">
    <w:name w:val="标题 1 Char1"/>
    <w:link w:val="Normal"/>
    <w:qFormat/>
    <w:rPr>
      <w:rFonts w:ascii="Calibri" w:eastAsia="宋体" w:hAnsi="Calibri" w:cs="Arial"/>
      <w:b/>
      <w:sz w:val="44"/>
      <w:szCs w:val="20"/>
    </w:rPr>
  </w:style>
  <w:style w:type="character" w:customStyle="1" w:styleId="标题8Char2">
    <w:name w:val="标题 8 Char2"/>
    <w:link w:val="Normal"/>
    <w:qFormat/>
    <w:rPr>
      <w:rFonts w:ascii="Cambria" w:eastAsia="宋体" w:hAnsi="Cambria" w:cs="Times New Roman"/>
      <w:sz w:val="24"/>
      <w:szCs w:val="24"/>
    </w:rPr>
  </w:style>
  <w:style w:type="character" w:customStyle="1" w:styleId="不明显参考4">
    <w:name w:val="不明显参考4"/>
    <w:link w:val="Normal"/>
    <w:qFormat/>
    <w:rPr>
      <w:smallCaps/>
      <w:color w:val="C0504D"/>
      <w:u w:val="single"/>
    </w:rPr>
  </w:style>
  <w:style w:type="character" w:customStyle="1" w:styleId="副标题Char2">
    <w:name w:val="副标题 Char2"/>
    <w:link w:val="Normal"/>
    <w:qFormat/>
    <w:rPr>
      <w:rFonts w:ascii="Cambria" w:hAnsi="Cambria"/>
      <w:b/>
      <w:bCs/>
      <w:sz w:val="32"/>
      <w:szCs w:val="32"/>
    </w:rPr>
  </w:style>
  <w:style w:type="character" w:customStyle="1" w:styleId="正文文本Char3">
    <w:name w:val="正文文本 Char3"/>
    <w:link w:val="Normal"/>
    <w:qFormat/>
    <w:rPr>
      <w:rFonts w:eastAsia="宋体"/>
    </w:rPr>
  </w:style>
  <w:style w:type="character" w:customStyle="1" w:styleId="页码1">
    <w:name w:val="页码1"/>
    <w:link w:val="Normal"/>
    <w:qFormat/>
    <w:rPr>
      <w:rFonts w:cs="Times New Roman"/>
    </w:rPr>
  </w:style>
  <w:style w:type="character" w:customStyle="1" w:styleId="CharChar22">
    <w:name w:val="Char Char22"/>
    <w:link w:val="Normal"/>
    <w:qFormat/>
    <w:rPr>
      <w:rFonts w:ascii="Times New Roman" w:eastAsia="宋体" w:hAnsi="Times New Roman" w:cs="Times New Roman"/>
      <w:b/>
      <w:bCs/>
      <w:sz w:val="32"/>
      <w:szCs w:val="44"/>
    </w:rPr>
  </w:style>
  <w:style w:type="character" w:customStyle="1" w:styleId="明显引用Char2">
    <w:name w:val="明显引用 Char2"/>
    <w:link w:val="Normal"/>
    <w:qFormat/>
    <w:rPr>
      <w:rFonts w:ascii="Calibri" w:eastAsia="宋体" w:hAnsi="Calibri" w:cs="Times New Roman"/>
      <w:b/>
      <w:bCs/>
      <w:i/>
      <w:iCs/>
      <w:color w:val="4F81BD"/>
      <w:sz w:val="21"/>
      <w:szCs w:val="22"/>
    </w:rPr>
  </w:style>
  <w:style w:type="character" w:customStyle="1" w:styleId="纯文本Char3">
    <w:name w:val="纯文本 Char3"/>
    <w:link w:val="Normal"/>
    <w:qFormat/>
    <w:rPr>
      <w:rFonts w:ascii="宋体" w:eastAsia="宋体" w:hAnsi="Courier New"/>
      <w:szCs w:val="24"/>
    </w:rPr>
  </w:style>
  <w:style w:type="character" w:customStyle="1" w:styleId="TitleChar">
    <w:name w:val="Title Char"/>
    <w:link w:val="Normal"/>
    <w:qFormat/>
    <w:rPr>
      <w:rFonts w:ascii="Cambria" w:hAnsi="Cambria"/>
      <w:b/>
      <w:sz w:val="32"/>
      <w:lang w:bidi="ar-SA"/>
    </w:rPr>
  </w:style>
  <w:style w:type="character" w:customStyle="1" w:styleId="标题Char3">
    <w:name w:val="标题 Char3"/>
    <w:link w:val="Normal"/>
    <w:qFormat/>
    <w:rPr>
      <w:rFonts w:ascii="Cambria" w:hAnsi="Cambria"/>
      <w:b/>
      <w:bCs/>
      <w:sz w:val="32"/>
      <w:szCs w:val="32"/>
      <w:lang w:bidi="ar-SA"/>
    </w:rPr>
  </w:style>
  <w:style w:type="character" w:customStyle="1" w:styleId="标题9Char1">
    <w:name w:val="标题 9 Char1"/>
    <w:link w:val="Normal"/>
    <w:qFormat/>
    <w:rPr>
      <w:rFonts w:ascii="Cambria" w:hAnsi="Cambria"/>
      <w:sz w:val="21"/>
      <w:szCs w:val="21"/>
    </w:rPr>
  </w:style>
  <w:style w:type="character" w:customStyle="1" w:styleId="标题4Char2">
    <w:name w:val="标题 4 Char2"/>
    <w:link w:val="Normal"/>
    <w:qFormat/>
    <w:rPr>
      <w:rFonts w:ascii="Arial" w:eastAsia="宋体" w:hAnsi="Arial" w:cs="Times New Roman"/>
      <w:b/>
      <w:bCs/>
      <w:szCs w:val="28"/>
    </w:rPr>
  </w:style>
  <w:style w:type="character" w:customStyle="1" w:styleId="页码4">
    <w:name w:val="页码4"/>
    <w:link w:val="Normal"/>
    <w:qFormat/>
    <w:rPr>
      <w:rFonts w:cs="Times New Roman"/>
    </w:rPr>
  </w:style>
  <w:style w:type="character" w:customStyle="1" w:styleId="明显参考2">
    <w:name w:val="明显参考2"/>
    <w:link w:val="Normal"/>
    <w:qFormat/>
    <w:rPr>
      <w:b/>
      <w:bCs/>
      <w:smallCaps/>
      <w:color w:val="C0504D"/>
      <w:spacing w:val="5"/>
      <w:u w:val="single"/>
    </w:rPr>
  </w:style>
  <w:style w:type="character" w:customStyle="1" w:styleId="Heading1Char">
    <w:name w:val="Heading 1 Char"/>
    <w:link w:val="Normal"/>
    <w:qFormat/>
    <w:rPr>
      <w:rFonts w:eastAsia="宋体"/>
      <w:b/>
      <w:bCs/>
      <w:sz w:val="32"/>
      <w:szCs w:val="44"/>
      <w:lang w:val="en-US" w:eastAsia="zh-CN" w:bidi="ar-SA"/>
    </w:rPr>
  </w:style>
  <w:style w:type="character" w:customStyle="1" w:styleId="批注文字CharChar">
    <w:name w:val="批注文字 Char Char"/>
    <w:link w:val="Normal"/>
    <w:qFormat/>
    <w:rPr>
      <w:rFonts w:ascii="宋体" w:eastAsia="宋体" w:hAnsi="Times New Roman" w:cs="Times New Roman"/>
      <w:sz w:val="28"/>
      <w:szCs w:val="20"/>
    </w:rPr>
  </w:style>
  <w:style w:type="character" w:customStyle="1" w:styleId="标题2Char1">
    <w:name w:val="标题 2 Char1"/>
    <w:link w:val="Normal"/>
    <w:qFormat/>
    <w:rPr>
      <w:rFonts w:ascii="Arial" w:eastAsia="黑体" w:hAnsi="Arial" w:cs="Calibri"/>
      <w:b/>
      <w:sz w:val="32"/>
      <w:szCs w:val="20"/>
    </w:rPr>
  </w:style>
  <w:style w:type="character" w:customStyle="1" w:styleId="正文文本3Char1">
    <w:name w:val="正文文本 3 Char1"/>
    <w:link w:val="Normal"/>
    <w:qFormat/>
    <w:rPr>
      <w:sz w:val="16"/>
      <w:szCs w:val="16"/>
    </w:rPr>
  </w:style>
  <w:style w:type="character" w:customStyle="1" w:styleId="CommentTextChar1">
    <w:name w:val="Comment Text Char1"/>
    <w:link w:val="Normal"/>
    <w:qFormat/>
    <w:rPr>
      <w:sz w:val="24"/>
      <w:lang w:bidi="ar-SA"/>
    </w:rPr>
  </w:style>
  <w:style w:type="character" w:customStyle="1" w:styleId="CharChar23">
    <w:name w:val="Char Char23"/>
    <w:link w:val="Normal"/>
    <w:qFormat/>
    <w:rPr>
      <w:rFonts w:eastAsia="宋体"/>
      <w:b/>
      <w:bCs/>
      <w:sz w:val="32"/>
      <w:szCs w:val="44"/>
      <w:lang w:val="en-US" w:eastAsia="zh-CN" w:bidi="ar-SA"/>
    </w:rPr>
  </w:style>
  <w:style w:type="character" w:customStyle="1" w:styleId="书籍标题3">
    <w:name w:val="书籍标题3"/>
    <w:link w:val="Normal"/>
    <w:qFormat/>
    <w:rPr>
      <w:b/>
      <w:bCs/>
      <w:smallCaps/>
      <w:spacing w:val="5"/>
    </w:rPr>
  </w:style>
  <w:style w:type="character" w:customStyle="1" w:styleId="日期Char1">
    <w:name w:val="日期 Char1"/>
    <w:link w:val="Normal"/>
    <w:qFormat/>
    <w:rPr>
      <w:rFonts w:ascii="Times New Roman" w:eastAsia="宋体" w:hAnsi="Times New Roman" w:cs="Times New Roman"/>
      <w:szCs w:val="24"/>
    </w:rPr>
  </w:style>
  <w:style w:type="character" w:customStyle="1" w:styleId="页码11">
    <w:name w:val="页码11"/>
    <w:link w:val="Normal"/>
    <w:qFormat/>
    <w:rPr>
      <w:rFonts w:ascii="Times New Roman" w:hAnsi="Times New Roman" w:cs="Times New Roman"/>
    </w:rPr>
  </w:style>
  <w:style w:type="character" w:customStyle="1" w:styleId="页码2">
    <w:name w:val="页码2"/>
    <w:link w:val="Normal"/>
    <w:qFormat/>
    <w:rPr>
      <w:rFonts w:cs="Times New Roman"/>
    </w:rPr>
  </w:style>
  <w:style w:type="character" w:customStyle="1" w:styleId="正文文本3Char2">
    <w:name w:val="正文文本 3 Char2"/>
    <w:link w:val="Normal"/>
    <w:qFormat/>
    <w:rPr>
      <w:rFonts w:ascii="宋体"/>
      <w:sz w:val="24"/>
    </w:rPr>
  </w:style>
  <w:style w:type="character" w:customStyle="1" w:styleId="标题3Char3">
    <w:name w:val="标题 3 Char3"/>
    <w:link w:val="Normal"/>
    <w:qFormat/>
    <w:rPr>
      <w:rFonts w:ascii="Times New Roman" w:eastAsia="黑体" w:hAnsi="Times New Roman" w:cs="Times New Roman"/>
      <w:b/>
      <w:bCs/>
      <w:szCs w:val="32"/>
    </w:rPr>
  </w:style>
  <w:style w:type="character" w:customStyle="1" w:styleId="正文文本缩进3Char2">
    <w:name w:val="正文文本缩进 3 Char2"/>
    <w:link w:val="Normal"/>
    <w:qFormat/>
    <w:rPr>
      <w:sz w:val="16"/>
      <w:szCs w:val="16"/>
    </w:rPr>
  </w:style>
  <w:style w:type="character" w:customStyle="1" w:styleId="书籍标题311">
    <w:name w:val="书籍标题311"/>
    <w:link w:val="Normal"/>
    <w:qFormat/>
    <w:rPr>
      <w:b/>
      <w:bCs/>
      <w:smallCaps/>
      <w:spacing w:val="5"/>
    </w:rPr>
  </w:style>
  <w:style w:type="character" w:customStyle="1" w:styleId="标题5Char2">
    <w:name w:val="标题 5 Char2"/>
    <w:link w:val="Normal"/>
    <w:qFormat/>
    <w:rPr>
      <w:rFonts w:ascii="Times New Roman" w:eastAsia="宋体" w:hAnsi="Times New Roman" w:cs="Times New Roman"/>
      <w:b/>
      <w:bCs/>
      <w:sz w:val="28"/>
      <w:szCs w:val="28"/>
    </w:rPr>
  </w:style>
  <w:style w:type="character" w:customStyle="1" w:styleId="标题3Char2">
    <w:name w:val="标题 3 Char2"/>
    <w:link w:val="Normal"/>
    <w:qFormat/>
    <w:rPr>
      <w:rFonts w:eastAsia="黑体"/>
      <w:b/>
      <w:bCs/>
      <w:sz w:val="21"/>
      <w:szCs w:val="32"/>
      <w:lang w:bidi="ar-SA"/>
    </w:rPr>
  </w:style>
  <w:style w:type="character" w:customStyle="1" w:styleId="批注框文本Char3">
    <w:name w:val="批注框文本 Char3"/>
    <w:link w:val="Normal"/>
    <w:qFormat/>
    <w:rPr>
      <w:sz w:val="18"/>
      <w:szCs w:val="18"/>
    </w:rPr>
  </w:style>
  <w:style w:type="character" w:customStyle="1" w:styleId="书籍标题31">
    <w:name w:val="书籍标题31"/>
    <w:link w:val="Normal"/>
    <w:qFormat/>
    <w:rPr>
      <w:b/>
      <w:bCs/>
      <w:smallCaps/>
      <w:spacing w:val="5"/>
    </w:rPr>
  </w:style>
  <w:style w:type="character" w:customStyle="1" w:styleId="不明显强调4">
    <w:name w:val="不明显强调4"/>
    <w:link w:val="Normal"/>
    <w:qFormat/>
    <w:rPr>
      <w:i/>
      <w:iCs/>
      <w:color w:val="808080"/>
    </w:rPr>
  </w:style>
  <w:style w:type="character" w:customStyle="1" w:styleId="CharChar19">
    <w:name w:val="Char Char19"/>
    <w:link w:val="Normal"/>
    <w:qFormat/>
    <w:rPr>
      <w:rFonts w:ascii="Arial" w:eastAsia="宋体" w:hAnsi="Arial" w:cs="Times New Roman"/>
      <w:b/>
      <w:bCs/>
      <w:szCs w:val="28"/>
    </w:rPr>
  </w:style>
  <w:style w:type="character" w:customStyle="1" w:styleId="FooterChar">
    <w:name w:val="Footer Char"/>
    <w:link w:val="Normal"/>
    <w:qFormat/>
    <w:rPr>
      <w:rFonts w:eastAsia="宋体"/>
      <w:sz w:val="18"/>
      <w:szCs w:val="18"/>
      <w:lang w:val="en-US" w:eastAsia="zh-CN" w:bidi="ar-SA"/>
    </w:rPr>
  </w:style>
  <w:style w:type="character" w:customStyle="1" w:styleId="日期Char2">
    <w:name w:val="日期 Char2"/>
    <w:link w:val="Normal"/>
    <w:qFormat/>
    <w:rPr>
      <w:sz w:val="21"/>
      <w:szCs w:val="24"/>
    </w:rPr>
  </w:style>
  <w:style w:type="character" w:customStyle="1" w:styleId="font161">
    <w:name w:val="font161"/>
    <w:link w:val="Normal"/>
    <w:qFormat/>
    <w:rPr>
      <w:b/>
      <w:bCs/>
      <w:sz w:val="32"/>
      <w:szCs w:val="32"/>
    </w:rPr>
  </w:style>
  <w:style w:type="character" w:customStyle="1" w:styleId="明显参考4">
    <w:name w:val="明显参考4"/>
    <w:link w:val="Normal"/>
    <w:qFormat/>
    <w:rPr>
      <w:b/>
      <w:bCs/>
      <w:smallCaps/>
      <w:color w:val="C0504D"/>
      <w:spacing w:val="5"/>
      <w:u w:val="single"/>
    </w:rPr>
  </w:style>
  <w:style w:type="character" w:customStyle="1" w:styleId="批注引用21">
    <w:name w:val="批注引用21"/>
    <w:link w:val="Normal"/>
    <w:qFormat/>
    <w:rPr>
      <w:rFonts w:cs="Times New Roman"/>
      <w:sz w:val="21"/>
      <w:szCs w:val="21"/>
    </w:rPr>
  </w:style>
  <w:style w:type="character" w:customStyle="1" w:styleId="标题5Char1">
    <w:name w:val="标题 5 Char1"/>
    <w:link w:val="Normal"/>
    <w:qFormat/>
    <w:rPr>
      <w:rFonts w:eastAsia="宋体"/>
      <w:b/>
      <w:bCs/>
      <w:sz w:val="28"/>
      <w:szCs w:val="28"/>
      <w:lang w:val="en-US" w:eastAsia="zh-CN" w:bidi="ar-SA"/>
    </w:rPr>
  </w:style>
  <w:style w:type="character" w:customStyle="1" w:styleId="PlainTextChar">
    <w:name w:val="Plain Text Char"/>
    <w:link w:val="Normal"/>
    <w:qFormat/>
    <w:rPr>
      <w:rFonts w:ascii="宋体" w:eastAsia="宋体" w:hAnsi="Courier New"/>
      <w:sz w:val="24"/>
      <w:lang w:bidi="ar-SA"/>
    </w:rPr>
  </w:style>
  <w:style w:type="character" w:customStyle="1" w:styleId="fontstyle01">
    <w:name w:val="fontstyle01"/>
    <w:link w:val="Normal"/>
    <w:qFormat/>
    <w:rPr>
      <w:rFonts w:ascii="宋体" w:eastAsia="宋体" w:hAnsi="宋体" w:hint="eastAsia"/>
      <w:color w:val="0000FF"/>
      <w:sz w:val="22"/>
      <w:szCs w:val="22"/>
    </w:rPr>
  </w:style>
  <w:style w:type="character" w:customStyle="1" w:styleId="CharChar6">
    <w:name w:val="Char Char6"/>
    <w:link w:val="Normal"/>
    <w:qFormat/>
    <w:rPr>
      <w:rFonts w:eastAsia="宋体"/>
      <w:b/>
      <w:bCs/>
      <w:sz w:val="32"/>
      <w:szCs w:val="44"/>
      <w:lang w:val="en-US" w:eastAsia="zh-CN" w:bidi="ar-SA"/>
    </w:rPr>
  </w:style>
  <w:style w:type="character" w:customStyle="1" w:styleId="明显引用Char3">
    <w:name w:val="明显引用 Char3"/>
    <w:link w:val="Normal"/>
    <w:qFormat/>
    <w:rPr>
      <w:b/>
      <w:bCs/>
      <w:i/>
      <w:iCs/>
      <w:color w:val="4F81BD"/>
    </w:rPr>
  </w:style>
  <w:style w:type="character" w:customStyle="1" w:styleId="不明显参考1">
    <w:name w:val="不明显参考1"/>
    <w:link w:val="Normal"/>
    <w:qFormat/>
    <w:rPr>
      <w:smallCaps/>
      <w:color w:val="C0504D"/>
      <w:u w:val="single"/>
    </w:rPr>
  </w:style>
  <w:style w:type="character" w:customStyle="1" w:styleId="正文文本缩进2Char1">
    <w:name w:val="正文文本缩进 2 Char1"/>
    <w:link w:val="Normal"/>
    <w:qFormat/>
    <w:rPr>
      <w:sz w:val="21"/>
      <w:szCs w:val="24"/>
      <w:lang w:bidi="ar-SA"/>
    </w:rPr>
  </w:style>
  <w:style w:type="character" w:customStyle="1" w:styleId="引用Char2">
    <w:name w:val="引用 Char2"/>
    <w:link w:val="Normal"/>
    <w:qFormat/>
    <w:rPr>
      <w:rFonts w:ascii="Calibri" w:eastAsia="宋体" w:hAnsi="Calibri" w:cs="Times New Roman"/>
      <w:i/>
      <w:iCs/>
      <w:color w:val="000000"/>
      <w:sz w:val="21"/>
      <w:szCs w:val="22"/>
    </w:rPr>
  </w:style>
  <w:style w:type="character" w:customStyle="1" w:styleId="不明显参考11">
    <w:name w:val="不明显参考11"/>
    <w:link w:val="Normal"/>
    <w:qFormat/>
    <w:rPr>
      <w:smallCaps/>
      <w:color w:val="C0504D"/>
      <w:u w:val="single"/>
    </w:rPr>
  </w:style>
  <w:style w:type="character" w:customStyle="1" w:styleId="明显强调2">
    <w:name w:val="明显强调2"/>
    <w:link w:val="Normal"/>
    <w:qFormat/>
    <w:rPr>
      <w:b/>
      <w:bCs/>
      <w:i/>
      <w:iCs/>
      <w:color w:val="4F81BD"/>
    </w:rPr>
  </w:style>
  <w:style w:type="character" w:customStyle="1" w:styleId="明显强调3">
    <w:name w:val="明显强调3"/>
    <w:link w:val="Normal"/>
    <w:qFormat/>
    <w:rPr>
      <w:b/>
      <w:bCs/>
      <w:i/>
      <w:iCs/>
      <w:color w:val="4F81BD"/>
    </w:rPr>
  </w:style>
  <w:style w:type="character" w:customStyle="1" w:styleId="标题2Char2">
    <w:name w:val="标题 2 Char2"/>
    <w:link w:val="Normal"/>
    <w:uiPriority w:val="9"/>
    <w:qFormat/>
    <w:rPr>
      <w:rFonts w:ascii="Arial" w:eastAsia="黑体" w:hAnsi="Arial"/>
      <w:b/>
      <w:bCs/>
      <w:sz w:val="21"/>
      <w:szCs w:val="32"/>
      <w:lang w:bidi="ar-SA"/>
    </w:rPr>
  </w:style>
  <w:style w:type="character" w:customStyle="1" w:styleId="纯文本Char2">
    <w:name w:val="纯文本 Char2"/>
    <w:link w:val="Normal"/>
    <w:qFormat/>
    <w:rPr>
      <w:rFonts w:ascii="宋体" w:eastAsia="宋体" w:hAnsi="Courier New"/>
      <w:sz w:val="21"/>
      <w:szCs w:val="24"/>
      <w:lang w:val="en-US" w:eastAsia="zh-CN" w:bidi="ar-SA"/>
    </w:rPr>
  </w:style>
  <w:style w:type="character" w:customStyle="1" w:styleId="HeaderChar">
    <w:name w:val="Header Char"/>
    <w:link w:val="Normal"/>
    <w:qFormat/>
    <w:rPr>
      <w:rFonts w:eastAsia="宋体"/>
      <w:sz w:val="18"/>
      <w:szCs w:val="18"/>
      <w:lang w:val="en-US" w:eastAsia="zh-CN" w:bidi="ar-SA"/>
    </w:rPr>
  </w:style>
  <w:style w:type="character" w:customStyle="1" w:styleId="批注主题Char2">
    <w:name w:val="批注主题 Char2"/>
    <w:link w:val="Normal"/>
    <w:qFormat/>
    <w:rPr>
      <w:b/>
      <w:bCs/>
      <w:sz w:val="21"/>
      <w:szCs w:val="24"/>
    </w:rPr>
  </w:style>
  <w:style w:type="character" w:customStyle="1" w:styleId="不明显参考5">
    <w:name w:val="不明显参考5"/>
    <w:link w:val="Normal"/>
    <w:qFormat/>
    <w:rPr>
      <w:smallCaps/>
      <w:color w:val="C0504D"/>
      <w:u w:val="single"/>
    </w:rPr>
  </w:style>
  <w:style w:type="character" w:customStyle="1" w:styleId="正文文本缩进2Char2">
    <w:name w:val="正文文本缩进 2 Char2"/>
    <w:link w:val="Normal"/>
    <w:qFormat/>
    <w:rPr>
      <w:szCs w:val="24"/>
    </w:rPr>
  </w:style>
  <w:style w:type="character" w:customStyle="1" w:styleId="标题4CharChar">
    <w:name w:val="标题4 Char Char"/>
    <w:link w:val="标题4"/>
    <w:qFormat/>
    <w:rPr>
      <w:rFonts w:ascii="Arial" w:hAnsi="Arial"/>
      <w:b/>
      <w:bCs/>
      <w:sz w:val="24"/>
      <w:szCs w:val="32"/>
    </w:rPr>
  </w:style>
  <w:style w:type="paragraph" w:customStyle="1" w:styleId="标题4">
    <w:name w:val="标题4"/>
    <w:basedOn w:val="标题211"/>
    <w:next w:val="索引411"/>
    <w:link w:val="标题4CharChar"/>
    <w:qFormat/>
    <w:rPr>
      <w:rFonts w:eastAsia="宋体" w:cs="Times New Roman"/>
      <w:sz w:val="24"/>
    </w:rPr>
  </w:style>
  <w:style w:type="character" w:customStyle="1" w:styleId="标题2Char3">
    <w:name w:val="标题 2 Char3"/>
    <w:link w:val="Normal"/>
    <w:uiPriority w:val="9"/>
    <w:qFormat/>
    <w:rPr>
      <w:rFonts w:ascii="Arial" w:eastAsia="黑体" w:hAnsi="Arial" w:cs="Times New Roman"/>
      <w:b/>
      <w:bCs/>
      <w:szCs w:val="32"/>
    </w:rPr>
  </w:style>
  <w:style w:type="character" w:customStyle="1" w:styleId="页码3">
    <w:name w:val="页码3"/>
    <w:link w:val="Normal"/>
    <w:qFormat/>
    <w:rPr>
      <w:rFonts w:cs="Times New Roman"/>
    </w:rPr>
  </w:style>
  <w:style w:type="character" w:customStyle="1" w:styleId="BodyTextIndentChar">
    <w:name w:val="Body Text Indent Char"/>
    <w:link w:val="Normal"/>
    <w:qFormat/>
    <w:rPr>
      <w:rFonts w:ascii="宋体" w:eastAsia="宋体" w:hAnsi="宋体"/>
      <w:sz w:val="21"/>
      <w:lang w:val="en-US" w:eastAsia="zh-CN" w:bidi="ar-SA"/>
    </w:rPr>
  </w:style>
  <w:style w:type="character" w:customStyle="1" w:styleId="文档结构图Char1">
    <w:name w:val="文档结构图 Char1"/>
    <w:link w:val="Normal"/>
    <w:qFormat/>
    <w:rPr>
      <w:rFonts w:ascii="宋体" w:eastAsia="宋体" w:hAnsi="Times New Roman" w:cs="Times New Roman"/>
      <w:sz w:val="18"/>
      <w:szCs w:val="18"/>
    </w:rPr>
  </w:style>
  <w:style w:type="character" w:customStyle="1" w:styleId="FootnoteTextChar">
    <w:name w:val="Footnote Text Char"/>
    <w:link w:val="Normal"/>
    <w:qFormat/>
    <w:rPr>
      <w:rFonts w:eastAsia="宋体"/>
      <w:sz w:val="18"/>
      <w:lang w:val="en-US" w:eastAsia="zh-CN" w:bidi="ar-SA"/>
    </w:rPr>
  </w:style>
  <w:style w:type="character" w:customStyle="1" w:styleId="不明显强调2">
    <w:name w:val="不明显强调2"/>
    <w:link w:val="Normal"/>
    <w:qFormat/>
    <w:rPr>
      <w:i/>
      <w:iCs/>
      <w:color w:val="808080"/>
    </w:rPr>
  </w:style>
  <w:style w:type="character" w:customStyle="1" w:styleId="超链接_0">
    <w:name w:val="超链接_0"/>
    <w:link w:val="Normal"/>
    <w:uiPriority w:val="99"/>
    <w:qFormat/>
    <w:rPr>
      <w:rFonts w:ascii="Calibri" w:hAnsi="Calibri" w:cs="Times New Roman"/>
      <w:color w:val="0000FF"/>
      <w:u w:val="single"/>
    </w:rPr>
  </w:style>
  <w:style w:type="character" w:customStyle="1" w:styleId="CharChar91">
    <w:name w:val="Char Char91"/>
    <w:link w:val="Normal"/>
    <w:qFormat/>
    <w:rPr>
      <w:rFonts w:eastAsia="宋体"/>
      <w:b/>
      <w:bCs/>
      <w:sz w:val="32"/>
      <w:szCs w:val="44"/>
      <w:lang w:val="en-US" w:eastAsia="zh-CN" w:bidi="ar-SA"/>
    </w:rPr>
  </w:style>
  <w:style w:type="character" w:customStyle="1" w:styleId="CharChar21">
    <w:name w:val="Char Char21"/>
    <w:link w:val="Normal"/>
    <w:qFormat/>
    <w:rPr>
      <w:rFonts w:ascii="Arial" w:eastAsia="黑体" w:hAnsi="Arial" w:cs="Times New Roman"/>
      <w:b/>
      <w:bCs/>
      <w:sz w:val="32"/>
      <w:szCs w:val="32"/>
    </w:rPr>
  </w:style>
  <w:style w:type="character" w:customStyle="1" w:styleId="明显强调21">
    <w:name w:val="明显强调21"/>
    <w:link w:val="Normal"/>
    <w:qFormat/>
    <w:rPr>
      <w:b/>
      <w:bCs/>
      <w:i/>
      <w:iCs/>
      <w:color w:val="4F81BD"/>
    </w:rPr>
  </w:style>
  <w:style w:type="character" w:customStyle="1" w:styleId="标题4Char1">
    <w:name w:val="标题 4 Char1"/>
    <w:link w:val="Normal"/>
    <w:qFormat/>
    <w:rPr>
      <w:rFonts w:ascii="Arial" w:eastAsia="宋体" w:hAnsi="Arial"/>
      <w:b/>
      <w:bCs/>
      <w:sz w:val="21"/>
      <w:szCs w:val="28"/>
      <w:lang w:val="en-US" w:eastAsia="zh-CN" w:bidi="ar-SA"/>
    </w:rPr>
  </w:style>
  <w:style w:type="character" w:customStyle="1" w:styleId="批注主题Char4">
    <w:name w:val="批注主题 Char4"/>
    <w:link w:val="Normal"/>
    <w:qFormat/>
    <w:rPr>
      <w:b/>
      <w:bCs/>
      <w:szCs w:val="24"/>
    </w:rPr>
  </w:style>
  <w:style w:type="character" w:customStyle="1" w:styleId="不明显强调11">
    <w:name w:val="不明显强调11"/>
    <w:link w:val="Normal"/>
    <w:qFormat/>
    <w:rPr>
      <w:i/>
      <w:iCs/>
      <w:color w:val="808080"/>
    </w:rPr>
  </w:style>
  <w:style w:type="character" w:customStyle="1" w:styleId="不明显强调5">
    <w:name w:val="不明显强调5"/>
    <w:link w:val="Normal"/>
    <w:qFormat/>
    <w:rPr>
      <w:i/>
      <w:iCs/>
      <w:color w:val="808080"/>
    </w:rPr>
  </w:style>
  <w:style w:type="character" w:customStyle="1" w:styleId="批注文字Char2">
    <w:name w:val="批注文字 Char2"/>
    <w:link w:val="Normal"/>
    <w:uiPriority w:val="99"/>
    <w:semiHidden/>
    <w:qFormat/>
    <w:rPr/>
  </w:style>
  <w:style w:type="character" w:customStyle="1" w:styleId="日期Char4">
    <w:name w:val="日期 Char4"/>
    <w:link w:val="Normal"/>
    <w:qFormat/>
    <w:rPr>
      <w:szCs w:val="24"/>
    </w:rPr>
  </w:style>
  <w:style w:type="character" w:customStyle="1" w:styleId="Heading2Char">
    <w:name w:val="Heading 2 Char"/>
    <w:link w:val="Normal"/>
    <w:qFormat/>
    <w:rPr>
      <w:rFonts w:ascii="Arial" w:eastAsia="黑体" w:hAnsi="Arial"/>
      <w:b/>
      <w:bCs/>
      <w:sz w:val="32"/>
      <w:szCs w:val="32"/>
      <w:lang w:val="en-US" w:eastAsia="zh-CN" w:bidi="ar-SA"/>
    </w:rPr>
  </w:style>
  <w:style w:type="character" w:customStyle="1" w:styleId="标题9Char2">
    <w:name w:val="标题 9 Char2"/>
    <w:link w:val="Normal"/>
    <w:qFormat/>
    <w:rPr>
      <w:rFonts w:ascii="Cambria" w:eastAsia="宋体" w:hAnsi="Cambria" w:cs="Times New Roman"/>
      <w:szCs w:val="21"/>
    </w:rPr>
  </w:style>
  <w:style w:type="character" w:customStyle="1" w:styleId="CharChar181">
    <w:name w:val="Char Char181"/>
    <w:link w:val="Normal"/>
    <w:qFormat/>
    <w:rPr>
      <w:b/>
      <w:bCs/>
      <w:sz w:val="44"/>
      <w:szCs w:val="44"/>
    </w:rPr>
  </w:style>
  <w:style w:type="character" w:customStyle="1" w:styleId="明显参考5">
    <w:name w:val="明显参考5"/>
    <w:link w:val="Normal"/>
    <w:qFormat/>
    <w:rPr>
      <w:b/>
      <w:bCs/>
      <w:smallCaps/>
      <w:color w:val="C0504D"/>
      <w:spacing w:val="5"/>
      <w:u w:val="single"/>
    </w:rPr>
  </w:style>
  <w:style w:type="paragraph" w:customStyle="1" w:styleId="日期1">
    <w:name w:val="日期1"/>
    <w:basedOn w:val="Normal"/>
    <w:next w:val="Normal"/>
    <w:qFormat/>
    <w:pPr>
      <w:ind w:left="100"/>
    </w:pPr>
    <w:rPr/>
  </w:style>
  <w:style w:type="paragraph" w:customStyle="1" w:styleId="标题3_0">
    <w:name w:val="标题 3_0"/>
    <w:basedOn w:val="正文_0"/>
    <w:next w:val="正文_0"/>
    <w:qFormat/>
    <w:pPr>
      <w:keepNext/>
      <w:keepLines/>
      <w:widowControl w:val="0"/>
      <w:spacing w:before="260" w:after="260" w:line="413" w:lineRule="auto"/>
      <w:outlineLvl w:val="2"/>
    </w:pPr>
    <w:rPr>
      <w:rFonts w:ascii="Times New Roman" w:hAnsi="Times New Roman"/>
      <w:b/>
      <w:bCs/>
      <w:sz w:val="32"/>
      <w:szCs w:val="32"/>
    </w:rPr>
  </w:style>
  <w:style w:type="paragraph" w:customStyle="1" w:styleId="索引41">
    <w:name w:val="索引 41"/>
    <w:basedOn w:val="Normal"/>
    <w:next w:val="Normal"/>
    <w:qFormat/>
    <w:pPr>
      <w:ind w:left="600"/>
    </w:pPr>
    <w:rPr/>
  </w:style>
  <w:style w:type="paragraph" w:customStyle="1" w:styleId="列出段落2">
    <w:name w:val="列出段落2"/>
    <w:basedOn w:val="Normal"/>
    <w:qFormat/>
    <w:pPr>
      <w:ind w:firstLine="420"/>
    </w:pPr>
    <w:rPr>
      <w:rFonts w:ascii="Calibri" w:hAnsi="Calibri"/>
      <w:szCs w:val="22"/>
    </w:rPr>
  </w:style>
  <w:style w:type="paragraph" w:customStyle="1" w:styleId="样式标题3+(中文)黑体小四非加粗段前:7.8磅段后:0磅行距:固定值20磅">
    <w:name w:val="样式 标题 3 + (中文) 黑体 小四 非加粗 段前: 7.8 磅 段后: 0 磅 行距: 固定值 20 磅"/>
    <w:basedOn w:val="标题31"/>
    <w:qFormat/>
    <w:pPr>
      <w:tabs>
        <w:tab w:val="clear" w:pos="720"/>
      </w:tabs>
      <w:spacing w:before="0" w:after="0" w:line="400" w:lineRule="exact"/>
      <w:ind w:left="0" w:firstLine="0"/>
    </w:pPr>
    <w:rPr>
      <w:rFonts w:ascii="Times New Roman" w:eastAsia="黑体" w:cs="宋体"/>
      <w:b w:val="0"/>
      <w:color w:val="000000"/>
      <w:sz w:val="21"/>
    </w:rPr>
  </w:style>
  <w:style w:type="paragraph" w:customStyle="1" w:styleId="TOC标题1">
    <w:name w:val="TOC 标题1"/>
    <w:basedOn w:val="标题111"/>
    <w:next w:val="Normal"/>
    <w:qFormat/>
    <w:pPr>
      <w:tabs>
        <w:tab w:val="clear" w:pos="432"/>
      </w:tabs>
      <w:spacing w:line="576" w:lineRule="auto"/>
      <w:ind w:left="0" w:firstLine="0"/>
      <w:outlineLvl w:val="9"/>
    </w:pPr>
    <w:rPr>
      <w:rFonts w:ascii="Calibri" w:hAnsi="Calibri"/>
      <w:bCs/>
      <w:color w:val="000000"/>
      <w:szCs w:val="44"/>
    </w:rPr>
  </w:style>
  <w:style w:type="paragraph" w:customStyle="1" w:styleId="修订1">
    <w:name w:val="修订1"/>
    <w:qFormat/>
    <w:rPr>
      <w:rFonts w:ascii="Times New Roman" w:eastAsia="宋体" w:hAnsi="Times New Roman" w:cs="Times New Roman" w:hint="default"/>
      <w:sz w:val="21"/>
      <w:szCs w:val="24"/>
      <w:lang w:val="en-US" w:eastAsia="zh-CN" w:bidi="ar-SA"/>
    </w:rPr>
  </w:style>
  <w:style w:type="paragraph" w:customStyle="1" w:styleId="DefinitionList">
    <w:name w:val="Definition List"/>
    <w:basedOn w:val="Normal"/>
    <w:next w:val="Normal"/>
    <w:qFormat/>
    <w:pPr>
      <w:ind w:left="360"/>
      <w:jc w:val="left"/>
    </w:pPr>
    <w:rPr>
      <w:sz w:val="24"/>
      <w:szCs w:val="20"/>
    </w:rPr>
  </w:style>
  <w:style w:type="paragraph" w:customStyle="1" w:styleId="表格文字">
    <w:name w:val="表格文字"/>
    <w:basedOn w:val="Normal"/>
    <w:qFormat/>
    <w:pPr>
      <w:spacing w:line="420" w:lineRule="atLeast"/>
      <w:jc w:val="left"/>
    </w:pPr>
    <w:rPr>
      <w:szCs w:val="20"/>
    </w:rPr>
  </w:style>
  <w:style w:type="paragraph" w:customStyle="1" w:styleId="TOC标题_0">
    <w:name w:val="TOC 标题_0"/>
    <w:basedOn w:val="标题1_0"/>
    <w:next w:val="正文_0"/>
    <w:qFormat/>
    <w:pPr>
      <w:outlineLvl w:val="9"/>
    </w:pPr>
    <w:rPr>
      <w:rFonts w:ascii="Calibri" w:hAnsi="Calibri"/>
    </w:rPr>
  </w:style>
  <w:style w:type="paragraph" w:customStyle="1" w:styleId="标题1_0">
    <w:name w:val="标题 1_0"/>
    <w:basedOn w:val="正文_0"/>
    <w:next w:val="正文_0"/>
    <w:qFormat/>
    <w:pPr>
      <w:keepNext/>
      <w:keepLines/>
      <w:widowControl w:val="0"/>
      <w:spacing w:before="340" w:after="330" w:line="576" w:lineRule="auto"/>
      <w:outlineLvl w:val="0"/>
    </w:pPr>
    <w:rPr>
      <w:rFonts w:ascii="Times New Roman" w:hAnsi="Times New Roman"/>
      <w:b/>
      <w:bCs/>
      <w:sz w:val="44"/>
      <w:szCs w:val="44"/>
    </w:rPr>
  </w:style>
  <w:style w:type="paragraph" w:customStyle="1" w:styleId="p15">
    <w:name w:val="p15"/>
    <w:basedOn w:val="Normal"/>
    <w:qFormat/>
    <w:pPr>
      <w:widowControl/>
    </w:pPr>
    <w:rPr>
      <w:rFonts w:ascii="Calibri" w:hAnsi="Calibri"/>
      <w:szCs w:val="21"/>
    </w:rPr>
  </w:style>
  <w:style w:type="paragraph" w:customStyle="1" w:styleId="样式标题2+TimesNewRoman四号非加粗段前:5磅段后:0磅行距:固定值20...">
    <w:name w:val="样式 标题 2 + Times New Roman 四号 非加粗 段前: 5 磅 段后: 0 磅 行距: 固定值 20..."/>
    <w:basedOn w:val="标题211"/>
    <w:qFormat/>
    <w:pPr>
      <w:spacing w:before="100" w:after="0" w:line="400" w:lineRule="exact"/>
    </w:pPr>
    <w:rPr>
      <w:rFonts w:ascii="Times New Roman" w:hAnsi="Times New Roman" w:cs="宋体"/>
      <w:b w:val="0"/>
      <w:bCs w:val="0"/>
      <w:sz w:val="28"/>
      <w:szCs w:val="20"/>
    </w:rPr>
  </w:style>
  <w:style w:type="paragraph" w:customStyle="1" w:styleId="日期3">
    <w:name w:val="日期3"/>
    <w:basedOn w:val="Normal"/>
    <w:next w:val="Normal"/>
    <w:qFormat/>
    <w:pPr>
      <w:ind w:left="100"/>
    </w:pPr>
    <w:rPr>
      <w:rFonts w:ascii="宋体"/>
      <w:sz w:val="28"/>
      <w:szCs w:val="20"/>
    </w:rPr>
  </w:style>
  <w:style w:type="paragraph" w:customStyle="1" w:styleId="空半行">
    <w:name w:val="空半行"/>
    <w:basedOn w:val="Normal"/>
    <w:qFormat/>
    <w:pPr>
      <w:spacing w:line="120" w:lineRule="exact"/>
    </w:pPr>
    <w:rPr>
      <w:rFonts w:eastAsia="仿宋_GB2312"/>
      <w:color w:val="FFFFFF"/>
      <w:sz w:val="30"/>
      <w:szCs w:val="20"/>
    </w:rPr>
  </w:style>
  <w:style w:type="paragraph" w:customStyle="1" w:styleId="正文缩进3">
    <w:name w:val="正文缩进3"/>
    <w:basedOn w:val="Normal"/>
    <w:qFormat/>
    <w:pPr>
      <w:spacing w:line="360" w:lineRule="atLeast"/>
      <w:ind w:firstLine="482"/>
    </w:pPr>
    <w:rPr>
      <w:sz w:val="24"/>
      <w:szCs w:val="20"/>
    </w:rPr>
  </w:style>
  <w:style w:type="paragraph" w:customStyle="1" w:styleId="文档结构图1">
    <w:name w:val="文档结构图1"/>
    <w:basedOn w:val="Normal"/>
    <w:qFormat/>
    <w:pPr>
      <w:shd w:val="clear" w:color="auto" w:fill="000080"/>
    </w:pPr>
    <w:rPr>
      <w:sz w:val="20"/>
      <w:shd w:val="clear" w:color="auto" w:fill="000080"/>
    </w:rPr>
  </w:style>
  <w:style w:type="paragraph" w:customStyle="1" w:styleId="正文_1">
    <w:name w:val="正文_1"/>
    <w:qFormat/>
    <w:rPr>
      <w:rFonts w:ascii="Times New Roman" w:eastAsia="宋体" w:hAnsi="Times New Roman" w:cs="Times New Roman" w:hint="default"/>
      <w:sz w:val="21"/>
      <w:szCs w:val="22"/>
      <w:lang w:val="en-US" w:eastAsia="zh-CN" w:bidi="ar-SA"/>
    </w:rPr>
  </w:style>
  <w:style w:type="paragraph" w:customStyle="1" w:styleId="批注主题1">
    <w:name w:val="批注主题1"/>
    <w:basedOn w:val="批注文字1"/>
    <w:next w:val="批注文字1"/>
    <w:qFormat/>
    <w:rPr>
      <w:rFonts w:ascii="宋体"/>
      <w:b/>
      <w:bCs/>
      <w:sz w:val="28"/>
      <w:szCs w:val="20"/>
    </w:rPr>
  </w:style>
  <w:style w:type="paragraph" w:customStyle="1" w:styleId="修订2">
    <w:name w:val="修订2"/>
    <w:qFormat/>
    <w:rPr>
      <w:rFonts w:ascii="Times New Roman" w:eastAsia="宋体" w:hAnsi="Times New Roman" w:cs="Times New Roman" w:hint="default"/>
      <w:sz w:val="21"/>
      <w:szCs w:val="24"/>
      <w:lang w:val="en-US" w:eastAsia="zh-CN" w:bidi="ar-SA"/>
    </w:rPr>
  </w:style>
  <w:style w:type="paragraph" w:customStyle="1" w:styleId="日期2">
    <w:name w:val="日期2"/>
    <w:basedOn w:val="Normal"/>
    <w:next w:val="Normal"/>
    <w:qFormat/>
    <w:pPr>
      <w:ind w:left="100"/>
    </w:pPr>
    <w:rPr>
      <w:rFonts w:ascii="宋体"/>
      <w:sz w:val="28"/>
      <w:szCs w:val="20"/>
    </w:rPr>
  </w:style>
  <w:style w:type="paragraph" w:customStyle="1" w:styleId="无间隔2">
    <w:name w:val="无间隔2"/>
    <w:qFormat/>
    <w:pPr>
      <w:widowControl w:val="0"/>
      <w:jc w:val="both"/>
    </w:pPr>
    <w:rPr>
      <w:rFonts w:ascii="Calibri" w:eastAsia="宋体" w:hAnsi="Calibri" w:cs="Times New Roman" w:hint="default"/>
      <w:sz w:val="21"/>
      <w:szCs w:val="22"/>
      <w:lang w:val="en-US" w:eastAsia="zh-CN" w:bidi="ar-SA"/>
    </w:rPr>
  </w:style>
  <w:style w:type="paragraph" w:customStyle="1" w:styleId="批注主题2">
    <w:name w:val="批注主题2"/>
    <w:basedOn w:val="批注文字1"/>
    <w:next w:val="批注文字1"/>
    <w:qFormat/>
    <w:rPr>
      <w:rFonts w:ascii="宋体"/>
      <w:b/>
      <w:bCs/>
      <w:sz w:val="28"/>
      <w:szCs w:val="20"/>
    </w:rPr>
  </w:style>
  <w:style w:type="paragraph" w:customStyle="1" w:styleId="1">
    <w:name w:val="1"/>
    <w:basedOn w:val="Normal"/>
    <w:next w:val="Normal"/>
    <w:qFormat/>
    <w:rPr/>
  </w:style>
  <w:style w:type="paragraph" w:customStyle="1" w:styleId="CharChar14CharChar">
    <w:name w:val="Char Char14 Char Char"/>
    <w:basedOn w:val="Normal"/>
    <w:qFormat/>
    <w:rPr/>
  </w:style>
  <w:style w:type="paragraph" w:customStyle="1" w:styleId="样式1">
    <w:name w:val="样式1"/>
    <w:basedOn w:val="Normal"/>
    <w:next w:val="标题41"/>
    <w:qFormat/>
    <w:pPr>
      <w:spacing w:line="360" w:lineRule="auto"/>
      <w:ind w:firstLine="420"/>
    </w:pPr>
    <w:rPr>
      <w:rFonts w:ascii="宋体" w:hAnsi="宋体"/>
      <w:szCs w:val="21"/>
    </w:rPr>
  </w:style>
  <w:style w:type="paragraph" w:customStyle="1" w:styleId="样式标题1+黑体三号非加粗居中段前:6磅段后:6磅行距:固定值20磅">
    <w:name w:val="样式 标题 1 + 黑体 三号 非加粗 居中 段前: 6 磅 段后: 6 磅 行距: 固定值 20 磅"/>
    <w:basedOn w:val="标题111"/>
    <w:qFormat/>
    <w:pPr>
      <w:tabs>
        <w:tab w:val="clear" w:pos="432"/>
      </w:tabs>
      <w:spacing w:before="120" w:after="120" w:line="400" w:lineRule="exact"/>
      <w:ind w:left="0" w:firstLine="0"/>
      <w:jc w:val="center"/>
    </w:pPr>
    <w:rPr>
      <w:rFonts w:ascii="黑体" w:eastAsia="黑体" w:hAnsi="黑体" w:cs="宋体"/>
      <w:b w:val="0"/>
      <w:color w:val="000000"/>
      <w:sz w:val="32"/>
    </w:rPr>
  </w:style>
  <w:style w:type="paragraph" w:customStyle="1" w:styleId="修订111">
    <w:name w:val="修订111"/>
    <w:qFormat/>
    <w:rPr>
      <w:rFonts w:ascii="Times New Roman" w:eastAsia="宋体" w:hAnsi="Times New Roman" w:cs="Times New Roman" w:hint="default"/>
      <w:sz w:val="21"/>
      <w:szCs w:val="24"/>
      <w:lang w:val="en-US" w:eastAsia="zh-CN" w:bidi="ar-SA"/>
    </w:rPr>
  </w:style>
  <w:style w:type="paragraph" w:customStyle="1" w:styleId="CharCharCharCharCharCharCharCharCharCharCharCharChar2">
    <w:name w:val="Char Char Char Char Char Char Char Char Char Char Char Char Char2"/>
    <w:basedOn w:val="Normal"/>
    <w:qFormat/>
    <w:pPr>
      <w:widowControl/>
      <w:spacing w:after="160" w:line="240" w:lineRule="exact"/>
      <w:jc w:val="left"/>
    </w:pPr>
    <w:rPr>
      <w:rFonts w:ascii="Verdana" w:hAnsi="Verdana"/>
      <w:sz w:val="20"/>
      <w:szCs w:val="20"/>
      <w:lang w:eastAsia="en-US"/>
    </w:rPr>
  </w:style>
  <w:style w:type="paragraph" w:customStyle="1" w:styleId="批注主题11">
    <w:name w:val="批注主题11"/>
    <w:basedOn w:val="批注文字1"/>
    <w:next w:val="批注文字1"/>
    <w:qFormat/>
    <w:rPr>
      <w:b/>
      <w:bCs/>
    </w:rPr>
  </w:style>
  <w:style w:type="paragraph" w:customStyle="1" w:styleId="6'">
    <w:name w:val="6'"/>
    <w:basedOn w:val="Normal"/>
    <w:qFormat/>
    <w:pPr>
      <w:spacing w:line="320" w:lineRule="exact"/>
      <w:jc w:val="center"/>
    </w:pPr>
    <w:rPr>
      <w:spacing w:val="20"/>
      <w:szCs w:val="20"/>
    </w:rPr>
  </w:style>
  <w:style w:type="paragraph" w:customStyle="1" w:styleId="标题_0">
    <w:name w:val="标题_0"/>
    <w:basedOn w:val="正文_1"/>
    <w:qFormat/>
    <w:pPr>
      <w:spacing w:before="120" w:after="120" w:line="360" w:lineRule="auto"/>
      <w:jc w:val="center"/>
      <w:outlineLvl w:val="0"/>
    </w:pPr>
    <w:rPr>
      <w:rFonts w:ascii="黑体" w:eastAsia="黑体" w:hAnsi="Arial"/>
      <w:b/>
      <w:bCs/>
      <w:sz w:val="32"/>
      <w:szCs w:val="32"/>
    </w:rPr>
  </w:style>
  <w:style w:type="paragraph" w:customStyle="1" w:styleId="无间隔3">
    <w:name w:val="无间隔3"/>
    <w:qFormat/>
    <w:pPr>
      <w:widowControl w:val="0"/>
      <w:jc w:val="both"/>
    </w:pPr>
    <w:rPr>
      <w:rFonts w:ascii="Calibri" w:eastAsia="宋体" w:hAnsi="Calibri" w:cs="Times New Roman" w:hint="default"/>
      <w:sz w:val="21"/>
      <w:szCs w:val="22"/>
      <w:lang w:val="en-US" w:eastAsia="zh-CN" w:bidi="ar-SA"/>
    </w:rPr>
  </w:style>
  <w:style w:type="paragraph" w:customStyle="1" w:styleId="TOC标题2">
    <w:name w:val="TOC 标题2"/>
    <w:basedOn w:val="标题111"/>
    <w:next w:val="Normal"/>
    <w:qFormat/>
    <w:pPr>
      <w:tabs>
        <w:tab w:val="clear" w:pos="432"/>
      </w:tabs>
      <w:spacing w:line="576" w:lineRule="auto"/>
      <w:ind w:left="0" w:firstLine="0"/>
      <w:outlineLvl w:val="9"/>
    </w:pPr>
    <w:rPr>
      <w:rFonts w:ascii="Calibri" w:eastAsia="黑体" w:hAnsi="Calibri"/>
      <w:bCs/>
      <w:color w:val="000000"/>
      <w:szCs w:val="44"/>
    </w:rPr>
  </w:style>
  <w:style w:type="paragraph" w:customStyle="1" w:styleId="文档结构图3">
    <w:name w:val="文档结构图3"/>
    <w:basedOn w:val="Normal"/>
    <w:qFormat/>
    <w:pPr>
      <w:shd w:val="clear" w:color="auto" w:fill="000080"/>
    </w:pPr>
    <w:rPr>
      <w:sz w:val="20"/>
      <w:shd w:val="clear" w:color="auto" w:fill="000080"/>
    </w:rPr>
  </w:style>
  <w:style w:type="paragraph" w:customStyle="1" w:styleId="列出段落4">
    <w:name w:val="列出段落4"/>
    <w:basedOn w:val="Normal"/>
    <w:qFormat/>
    <w:pPr>
      <w:ind w:firstLine="420"/>
    </w:pPr>
    <w:rPr>
      <w:rFonts w:ascii="Calibri" w:hAnsi="Calibri"/>
      <w:szCs w:val="22"/>
    </w:rPr>
  </w:style>
  <w:style w:type="paragraph" w:customStyle="1" w:styleId="标题4_0">
    <w:name w:val="标题 4_0"/>
    <w:basedOn w:val="正文_0"/>
    <w:next w:val="正文_0"/>
    <w:qFormat/>
    <w:pPr>
      <w:keepNext/>
      <w:keepLines/>
      <w:widowControl w:val="0"/>
      <w:spacing w:before="280" w:after="290" w:line="372" w:lineRule="auto"/>
      <w:outlineLvl w:val="3"/>
    </w:pPr>
    <w:rPr>
      <w:rFonts w:ascii="Cambria" w:hAnsi="Cambria"/>
      <w:b/>
      <w:bCs/>
      <w:sz w:val="28"/>
      <w:szCs w:val="28"/>
    </w:rPr>
  </w:style>
  <w:style w:type="paragraph" w:customStyle="1" w:styleId="日期21">
    <w:name w:val="日期21"/>
    <w:basedOn w:val="Normal"/>
    <w:next w:val="Normal"/>
    <w:qFormat/>
    <w:pPr>
      <w:ind w:left="100"/>
    </w:pPr>
    <w:rPr>
      <w:rFonts w:ascii="宋体"/>
      <w:sz w:val="28"/>
      <w:szCs w:val="20"/>
    </w:rPr>
  </w:style>
  <w:style w:type="paragraph" w:customStyle="1" w:styleId="普通(网站)2">
    <w:name w:val="普通(网站)2"/>
    <w:basedOn w:val="Normal"/>
    <w:qFormat/>
    <w:pPr>
      <w:widowControl/>
      <w:spacing w:before="100" w:beforeAutospacing="1" w:after="100" w:afterAutospacing="1" w:line="320" w:lineRule="atLeast"/>
      <w:jc w:val="left"/>
    </w:pPr>
    <w:rPr>
      <w:rFonts w:ascii="宋体" w:hAnsi="宋体"/>
      <w:sz w:val="18"/>
      <w:szCs w:val="18"/>
    </w:rPr>
  </w:style>
  <w:style w:type="paragraph" w:customStyle="1" w:styleId="CharChar14CharChar1">
    <w:name w:val="Char Char14 Char Char1"/>
    <w:basedOn w:val="Normal"/>
    <w:qFormat/>
    <w:rPr/>
  </w:style>
  <w:style w:type="paragraph" w:customStyle="1" w:styleId="文档结构图2">
    <w:name w:val="文档结构图2"/>
    <w:basedOn w:val="Normal"/>
    <w:qFormat/>
    <w:pPr>
      <w:shd w:val="clear" w:color="auto" w:fill="000080"/>
    </w:pPr>
    <w:rPr>
      <w:sz w:val="20"/>
      <w:shd w:val="clear" w:color="auto" w:fill="000080"/>
    </w:rPr>
  </w:style>
  <w:style w:type="paragraph" w:customStyle="1" w:styleId="表格">
    <w:name w:val="表格"/>
    <w:basedOn w:val="Normal"/>
    <w:qFormat/>
    <w:pPr>
      <w:jc w:val="center"/>
    </w:pPr>
    <w:rPr>
      <w:rFonts w:ascii="华文细黑" w:hAnsi="华文细黑"/>
      <w:szCs w:val="20"/>
    </w:rPr>
  </w:style>
  <w:style w:type="paragraph" w:customStyle="1" w:styleId="修订3">
    <w:name w:val="修订3"/>
    <w:qFormat/>
    <w:rPr>
      <w:rFonts w:ascii="Times New Roman" w:eastAsia="宋体" w:hAnsi="Times New Roman" w:cs="Times New Roman" w:hint="default"/>
      <w:sz w:val="21"/>
      <w:szCs w:val="24"/>
      <w:lang w:val="en-US" w:eastAsia="zh-CN" w:bidi="ar-SA"/>
    </w:rPr>
  </w:style>
  <w:style w:type="paragraph" w:customStyle="1" w:styleId="普通(网站)1">
    <w:name w:val="普通(网站)1"/>
    <w:basedOn w:val="Normal"/>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CharCharCharCharCharCharCharCharCharCharChar">
    <w:name w:val="Char Char Char Char Char Char Char Char Char Char Char Char Char Char Char Char Char Char"/>
    <w:basedOn w:val="Normal"/>
    <w:qFormat/>
    <w:pPr>
      <w:spacing w:line="360" w:lineRule="atLeast"/>
    </w:pPr>
    <w:rPr>
      <w:sz w:val="20"/>
      <w:szCs w:val="20"/>
    </w:rPr>
  </w:style>
  <w:style w:type="paragraph" w:customStyle="1" w:styleId="日期4">
    <w:name w:val="日期4"/>
    <w:basedOn w:val="Normal"/>
    <w:next w:val="Normal"/>
    <w:qFormat/>
    <w:pPr>
      <w:ind w:left="100"/>
    </w:pPr>
    <w:rPr>
      <w:rFonts w:ascii="宋体"/>
      <w:sz w:val="28"/>
      <w:szCs w:val="20"/>
    </w:rPr>
  </w:style>
  <w:style w:type="paragraph" w:customStyle="1" w:styleId="flNote">
    <w:name w:val="flNote"/>
    <w:basedOn w:val="Normal"/>
    <w:qFormat/>
    <w:pPr>
      <w:spacing w:before="320" w:after="160" w:line="360" w:lineRule="atLeast"/>
      <w:jc w:val="center"/>
    </w:pPr>
    <w:rPr>
      <w:rFonts w:ascii="Arial" w:eastAsia="黑体"/>
      <w:sz w:val="30"/>
      <w:szCs w:val="20"/>
    </w:rPr>
  </w:style>
  <w:style w:type="paragraph" w:customStyle="1" w:styleId="_Style7">
    <w:name w:val="_Style 7"/>
    <w:qFormat/>
    <w:pPr>
      <w:widowControl w:val="0"/>
      <w:jc w:val="both"/>
    </w:pPr>
    <w:rPr>
      <w:rFonts w:ascii="Calibri" w:eastAsia="宋体" w:hAnsi="Calibri" w:cs="Times New Roman" w:hint="default"/>
      <w:sz w:val="21"/>
      <w:szCs w:val="24"/>
      <w:lang w:val="en-US" w:eastAsia="zh-CN" w:bidi="ar-SA"/>
    </w:rPr>
  </w:style>
  <w:style w:type="paragraph" w:customStyle="1" w:styleId="reader-word-layer">
    <w:name w:val="reader-word-layer"/>
    <w:basedOn w:val="Normal"/>
    <w:qFormat/>
    <w:pPr>
      <w:widowControl/>
      <w:spacing w:before="100" w:beforeAutospacing="1" w:after="100" w:afterAutospacing="1"/>
      <w:jc w:val="left"/>
    </w:pPr>
    <w:rPr>
      <w:rFonts w:ascii="宋体" w:hAnsi="宋体" w:cs="宋体"/>
      <w:sz w:val="24"/>
    </w:rPr>
  </w:style>
  <w:style w:type="paragraph" w:customStyle="1" w:styleId="Char1">
    <w:name w:val="Char1"/>
    <w:basedOn w:val="Normal"/>
    <w:qFormat/>
    <w:pPr>
      <w:widowControl/>
      <w:spacing w:after="160" w:line="240" w:lineRule="exact"/>
      <w:jc w:val="left"/>
    </w:pPr>
    <w:rPr/>
  </w:style>
  <w:style w:type="paragraph" w:customStyle="1" w:styleId="明显引用1">
    <w:name w:val="明显引用1"/>
    <w:basedOn w:val="Normal"/>
    <w:next w:val="Normal"/>
    <w:qFormat/>
    <w:pPr>
      <w:pBdr>
        <w:bottom w:val="single" w:sz="4" w:space="4" w:color="4F81BD"/>
      </w:pBdr>
      <w:spacing w:before="200" w:after="280"/>
      <w:ind w:left="936" w:right="936"/>
    </w:pPr>
    <w:rPr>
      <w:b/>
      <w:bCs/>
      <w:i/>
      <w:iCs/>
      <w:color w:val="4F81BD"/>
      <w:szCs w:val="22"/>
    </w:rPr>
  </w:style>
  <w:style w:type="paragraph" w:customStyle="1" w:styleId="明显引用11">
    <w:name w:val="明显引用11"/>
    <w:basedOn w:val="Normal"/>
    <w:next w:val="Normal"/>
    <w:qFormat/>
    <w:pPr>
      <w:pBdr>
        <w:bottom w:val="single" w:sz="4" w:space="4" w:color="4F81BD"/>
      </w:pBdr>
      <w:spacing w:before="200" w:after="280"/>
      <w:ind w:left="936" w:right="936"/>
    </w:pPr>
    <w:rPr>
      <w:rFonts w:ascii="Calibri" w:hAnsi="Calibri"/>
      <w:b/>
      <w:bCs/>
      <w:i/>
      <w:iCs/>
      <w:color w:val="4F81BD"/>
      <w:szCs w:val="22"/>
    </w:rPr>
  </w:style>
  <w:style w:type="paragraph" w:customStyle="1" w:styleId="_Style26">
    <w:name w:val="_Style 26"/>
    <w:basedOn w:val="Normal"/>
    <w:qFormat/>
    <w:rPr/>
  </w:style>
  <w:style w:type="paragraph" w:customStyle="1" w:styleId="正文缩进1">
    <w:name w:val="正文缩进1"/>
    <w:basedOn w:val="Normal"/>
    <w:qFormat/>
    <w:pPr>
      <w:spacing w:line="360" w:lineRule="atLeast"/>
      <w:ind w:firstLine="482"/>
    </w:pPr>
    <w:rPr>
      <w:sz w:val="24"/>
      <w:szCs w:val="20"/>
    </w:rPr>
  </w:style>
  <w:style w:type="paragraph" w:customStyle="1" w:styleId="TOC标题11">
    <w:name w:val="TOC 标题11"/>
    <w:basedOn w:val="标题111"/>
    <w:next w:val="Normal"/>
    <w:qFormat/>
    <w:pPr>
      <w:tabs>
        <w:tab w:val="clear" w:pos="432"/>
      </w:tabs>
      <w:spacing w:line="576" w:lineRule="auto"/>
      <w:ind w:left="0" w:firstLine="0"/>
      <w:outlineLvl w:val="9"/>
    </w:pPr>
    <w:rPr>
      <w:rFonts w:ascii="Calibri" w:hAnsi="Calibri"/>
      <w:bCs/>
      <w:color w:val="000000"/>
      <w:szCs w:val="44"/>
    </w:rPr>
  </w:style>
  <w:style w:type="paragraph" w:customStyle="1" w:styleId="TOC标题21">
    <w:name w:val="TOC 标题21"/>
    <w:basedOn w:val="标题111"/>
    <w:next w:val="Normal"/>
    <w:qFormat/>
    <w:pPr>
      <w:tabs>
        <w:tab w:val="clear" w:pos="432"/>
      </w:tabs>
      <w:spacing w:line="576" w:lineRule="auto"/>
      <w:ind w:left="0" w:firstLine="0"/>
      <w:outlineLvl w:val="9"/>
    </w:pPr>
    <w:rPr>
      <w:rFonts w:ascii="Calibri" w:hAnsi="Calibri"/>
      <w:bCs/>
      <w:color w:val="000000"/>
      <w:szCs w:val="44"/>
    </w:rPr>
  </w:style>
  <w:style w:type="paragraph" w:customStyle="1" w:styleId="列出段落1">
    <w:name w:val="列出段落1"/>
    <w:basedOn w:val="Normal"/>
    <w:qFormat/>
    <w:pPr>
      <w:ind w:firstLine="420"/>
    </w:pPr>
    <w:rPr>
      <w:rFonts w:ascii="Calibri" w:hAnsi="Calibri"/>
      <w:szCs w:val="22"/>
    </w:rPr>
  </w:style>
  <w:style w:type="paragraph" w:customStyle="1" w:styleId="列出段落3">
    <w:name w:val="列出段落3"/>
    <w:basedOn w:val="Normal"/>
    <w:qFormat/>
    <w:pPr>
      <w:ind w:firstLine="420"/>
    </w:pPr>
    <w:rPr>
      <w:rFonts w:ascii="Calibri" w:hAnsi="Calibri"/>
      <w:szCs w:val="22"/>
    </w:rPr>
  </w:style>
  <w:style w:type="paragraph" w:customStyle="1" w:styleId="普通(网站)4">
    <w:name w:val="普通(网站)4"/>
    <w:basedOn w:val="Normal"/>
    <w:qFormat/>
    <w:pPr>
      <w:widowControl/>
      <w:spacing w:before="100" w:beforeAutospacing="1" w:after="100" w:afterAutospacing="1" w:line="320" w:lineRule="atLeast"/>
      <w:jc w:val="left"/>
    </w:pPr>
    <w:rPr>
      <w:rFonts w:ascii="宋体" w:hAnsi="宋体"/>
      <w:sz w:val="18"/>
      <w:szCs w:val="18"/>
    </w:rPr>
  </w:style>
  <w:style w:type="paragraph" w:customStyle="1" w:styleId="普通(网站)11">
    <w:name w:val="普通(网站)11"/>
    <w:basedOn w:val="Normal"/>
    <w:qFormat/>
    <w:pPr>
      <w:widowControl/>
      <w:spacing w:before="100" w:beforeAutospacing="1" w:after="100" w:afterAutospacing="1" w:line="320" w:lineRule="atLeast"/>
      <w:jc w:val="left"/>
    </w:pPr>
    <w:rPr>
      <w:rFonts w:ascii="宋体" w:hAnsi="宋体"/>
      <w:sz w:val="18"/>
      <w:szCs w:val="18"/>
    </w:rPr>
  </w:style>
  <w:style w:type="paragraph" w:customStyle="1" w:styleId="正文缩进11">
    <w:name w:val="正文缩进11"/>
    <w:basedOn w:val="Normal"/>
    <w:qFormat/>
    <w:pPr>
      <w:spacing w:line="360" w:lineRule="atLeast"/>
      <w:ind w:firstLine="482"/>
    </w:pPr>
    <w:rPr>
      <w:sz w:val="24"/>
      <w:szCs w:val="20"/>
    </w:rPr>
  </w:style>
  <w:style w:type="paragraph" w:customStyle="1" w:styleId="_Style37">
    <w:name w:val="_Style 37"/>
    <w:basedOn w:val="Normal"/>
    <w:next w:val="Normal"/>
    <w:qFormat/>
    <w:rPr/>
  </w:style>
  <w:style w:type="paragraph" w:customStyle="1" w:styleId="TOC标题3">
    <w:name w:val="TOC 标题3"/>
    <w:basedOn w:val="标题111"/>
    <w:next w:val="Normal"/>
    <w:qFormat/>
    <w:pPr>
      <w:tabs>
        <w:tab w:val="clear" w:pos="432"/>
      </w:tabs>
      <w:spacing w:line="576" w:lineRule="auto"/>
      <w:ind w:left="0" w:firstLine="0"/>
      <w:outlineLvl w:val="9"/>
    </w:pPr>
    <w:rPr>
      <w:rFonts w:ascii="Calibri" w:hAnsi="Calibri"/>
      <w:bCs/>
      <w:color w:val="000000"/>
      <w:szCs w:val="44"/>
    </w:rPr>
  </w:style>
  <w:style w:type="paragraph" w:customStyle="1" w:styleId="正文文本_0">
    <w:name w:val="正文文本_0"/>
    <w:basedOn w:val="正文_0"/>
    <w:qFormat/>
    <w:pPr>
      <w:widowControl w:val="0"/>
      <w:spacing w:after="60" w:line="360" w:lineRule="atLeast"/>
      <w:ind w:left="72" w:right="30"/>
      <w:jc w:val="center"/>
    </w:pPr>
    <w:rPr>
      <w:rFonts w:ascii="Times New Roman" w:hAnsi="Times New Roman"/>
      <w:sz w:val="20"/>
      <w:szCs w:val="20"/>
    </w:rPr>
  </w:style>
  <w:style w:type="paragraph" w:customStyle="1" w:styleId="aa">
    <w:name w:val="aa"/>
    <w:basedOn w:val="Normal"/>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1">
    <w:name w:val="Char Char Char Char Char Char Char Char Char Char Char Char Char Char Char Char Char Char1"/>
    <w:basedOn w:val="Normal"/>
    <w:qFormat/>
    <w:pPr>
      <w:spacing w:line="360" w:lineRule="atLeast"/>
    </w:pPr>
    <w:rPr>
      <w:sz w:val="20"/>
      <w:szCs w:val="20"/>
    </w:rPr>
  </w:style>
  <w:style w:type="paragraph" w:customStyle="1" w:styleId="无间隔4">
    <w:name w:val="无间隔4"/>
    <w:qFormat/>
    <w:pPr>
      <w:widowControl w:val="0"/>
      <w:jc w:val="both"/>
    </w:pPr>
    <w:rPr>
      <w:rFonts w:ascii="Calibri" w:eastAsia="宋体" w:hAnsi="Calibri" w:cs="Times New Roman" w:hint="default"/>
      <w:sz w:val="21"/>
      <w:szCs w:val="22"/>
      <w:lang w:val="en-US" w:eastAsia="zh-CN" w:bidi="ar-SA"/>
    </w:rPr>
  </w:style>
  <w:style w:type="paragraph" w:customStyle="1" w:styleId="索引42">
    <w:name w:val="索引 42"/>
    <w:basedOn w:val="Normal"/>
    <w:next w:val="Normal"/>
    <w:qFormat/>
    <w:pPr>
      <w:ind w:left="600"/>
    </w:pPr>
    <w:rPr/>
  </w:style>
  <w:style w:type="paragraph" w:customStyle="1" w:styleId="索引421">
    <w:name w:val="索引 421"/>
    <w:basedOn w:val="Normal"/>
    <w:next w:val="Normal"/>
    <w:qFormat/>
    <w:pPr>
      <w:ind w:left="600"/>
    </w:pPr>
    <w:rPr/>
  </w:style>
  <w:style w:type="paragraph" w:customStyle="1" w:styleId="正文缩进4">
    <w:name w:val="正文缩进4"/>
    <w:basedOn w:val="Normal"/>
    <w:qFormat/>
    <w:pPr>
      <w:spacing w:line="360" w:lineRule="atLeast"/>
      <w:ind w:firstLine="482"/>
    </w:pPr>
    <w:rPr>
      <w:sz w:val="24"/>
      <w:szCs w:val="20"/>
    </w:rPr>
  </w:style>
  <w:style w:type="paragraph" w:customStyle="1" w:styleId="Blockquote">
    <w:name w:val="Blockquote"/>
    <w:basedOn w:val="Normal"/>
    <w:uiPriority w:val="99"/>
    <w:qFormat/>
    <w:pPr>
      <w:spacing w:before="100" w:after="100"/>
      <w:ind w:left="360" w:right="360"/>
      <w:jc w:val="left"/>
    </w:pPr>
    <w:rPr>
      <w:sz w:val="24"/>
      <w:szCs w:val="20"/>
    </w:rPr>
  </w:style>
  <w:style w:type="paragraph" w:customStyle="1" w:styleId="普通(网站)3">
    <w:name w:val="普通(网站)3"/>
    <w:basedOn w:val="Normal"/>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
    <w:name w:val="Char Char Char Char Char Char Char"/>
    <w:basedOn w:val="Normal"/>
    <w:qFormat/>
    <w:pPr>
      <w:widowControl/>
      <w:spacing w:after="160" w:line="240" w:lineRule="exact"/>
      <w:jc w:val="left"/>
    </w:pPr>
    <w:rPr/>
  </w:style>
  <w:style w:type="paragraph" w:customStyle="1" w:styleId="正文缩进_0">
    <w:name w:val="正文缩进_0"/>
    <w:basedOn w:val="正文_1"/>
    <w:qFormat/>
    <w:pPr>
      <w:widowControl w:val="0"/>
      <w:ind w:firstLine="420"/>
      <w:jc w:val="both"/>
    </w:pPr>
    <w:rPr>
      <w:u w:val="single"/>
    </w:rPr>
  </w:style>
  <w:style w:type="paragraph" w:customStyle="1" w:styleId="列出段落11">
    <w:name w:val="列出段落11"/>
    <w:basedOn w:val="Normal"/>
    <w:qFormat/>
    <w:pPr>
      <w:ind w:firstLine="420"/>
    </w:pPr>
    <w:rPr>
      <w:rFonts w:ascii="Calibri" w:hAnsi="Calibri"/>
      <w:szCs w:val="22"/>
    </w:rPr>
  </w:style>
  <w:style w:type="paragraph" w:customStyle="1" w:styleId="修订11">
    <w:name w:val="修订11"/>
    <w:qFormat/>
    <w:rPr>
      <w:rFonts w:ascii="Times New Roman" w:eastAsia="宋体" w:hAnsi="Times New Roman" w:cs="Times New Roman" w:hint="default"/>
      <w:sz w:val="21"/>
      <w:szCs w:val="24"/>
      <w:lang w:val="en-US" w:eastAsia="zh-CN" w:bidi="ar-SA"/>
    </w:rPr>
  </w:style>
  <w:style w:type="paragraph" w:customStyle="1" w:styleId="文档结构图11">
    <w:name w:val="文档结构图11"/>
    <w:basedOn w:val="Normal"/>
    <w:qFormat/>
    <w:pPr>
      <w:shd w:val="clear" w:color="auto" w:fill="000080"/>
    </w:pPr>
    <w:rPr>
      <w:rFonts w:ascii="宋体"/>
      <w:sz w:val="18"/>
      <w:szCs w:val="18"/>
    </w:rPr>
  </w:style>
  <w:style w:type="paragraph" w:customStyle="1" w:styleId="无间隔21">
    <w:name w:val="无间隔21"/>
    <w:qFormat/>
    <w:pPr>
      <w:widowControl w:val="0"/>
      <w:jc w:val="both"/>
    </w:pPr>
    <w:rPr>
      <w:rFonts w:ascii="Calibri" w:eastAsia="宋体" w:hAnsi="Calibri" w:cs="Times New Roman" w:hint="default"/>
      <w:sz w:val="21"/>
      <w:szCs w:val="22"/>
      <w:lang w:val="en-US" w:eastAsia="zh-CN" w:bidi="ar-SA"/>
    </w:rPr>
  </w:style>
  <w:style w:type="paragraph" w:customStyle="1" w:styleId="明显引用2">
    <w:name w:val="明显引用2"/>
    <w:basedOn w:val="Normal"/>
    <w:next w:val="Normal"/>
    <w:qFormat/>
    <w:pPr>
      <w:pBdr>
        <w:bottom w:val="single" w:sz="4" w:space="4" w:color="4F81BD"/>
      </w:pBdr>
      <w:spacing w:before="200" w:after="280"/>
      <w:ind w:left="936" w:right="936"/>
    </w:pPr>
    <w:rPr>
      <w:b/>
      <w:bCs/>
      <w:i/>
      <w:iCs/>
      <w:color w:val="4F81BD"/>
      <w:szCs w:val="22"/>
    </w:rPr>
  </w:style>
  <w:style w:type="paragraph" w:customStyle="1" w:styleId="正文缩进2">
    <w:name w:val="正文缩进2"/>
    <w:basedOn w:val="Normal"/>
    <w:qFormat/>
    <w:pPr>
      <w:spacing w:line="360" w:lineRule="atLeast"/>
      <w:ind w:firstLine="482"/>
    </w:pPr>
    <w:rPr>
      <w:sz w:val="24"/>
      <w:szCs w:val="20"/>
    </w:rPr>
  </w:style>
  <w:style w:type="paragraph" w:customStyle="1" w:styleId="2-2ji">
    <w:name w:val="2-2ji"/>
    <w:basedOn w:val="标题211"/>
    <w:qFormat/>
    <w:pPr>
      <w:spacing w:before="0" w:after="0" w:line="360" w:lineRule="auto"/>
      <w:jc w:val="center"/>
    </w:pPr>
    <w:rPr>
      <w:rFonts w:ascii="宋体" w:eastAsia="宋体" w:hAnsi="宋体"/>
      <w:sz w:val="36"/>
      <w:szCs w:val="24"/>
    </w:rPr>
  </w:style>
  <w:style w:type="paragraph" w:customStyle="1" w:styleId="p0">
    <w:name w:val="p0"/>
    <w:basedOn w:val="Normal"/>
    <w:qFormat/>
    <w:pPr>
      <w:widowControl/>
    </w:pPr>
    <w:rPr>
      <w:rFonts w:ascii="Calibri" w:hAnsi="Calibri" w:cs="宋体"/>
      <w:szCs w:val="21"/>
    </w:rPr>
  </w:style>
  <w:style w:type="paragraph" w:customStyle="1" w:styleId="正文2">
    <w:name w:val="正文2"/>
    <w:qFormat/>
    <w:rPr>
      <w:rFonts w:ascii="Times New Roman" w:eastAsia="Times New Roman" w:hAnsi="Times New Roman" w:cs="Times New Roman" w:hint="default"/>
      <w:sz w:val="24"/>
      <w:szCs w:val="24"/>
      <w:lang w:val="en-US" w:eastAsia="zh-CN" w:bidi="ar-SA"/>
    </w:rPr>
  </w:style>
  <w:style w:type="paragraph" w:customStyle="1" w:styleId="纯文本_0">
    <w:name w:val="纯文本_0"/>
    <w:basedOn w:val="正文_2"/>
    <w:link w:val="纯文本Char1_0"/>
    <w:qFormat/>
    <w:rPr>
      <w:rFonts w:ascii="宋体" w:hAnsi="Courier New" w:cs="Times New Roman"/>
      <w:color w:val="000000"/>
      <w:sz w:val="20"/>
      <w:szCs w:val="24"/>
    </w:rPr>
  </w:style>
  <w:style w:type="character" w:customStyle="1" w:styleId="纯文本Char1_0">
    <w:name w:val="纯文本 Char1_0"/>
    <w:link w:val="纯文本_0"/>
    <w:qFormat/>
    <w:rPr>
      <w:rFonts w:ascii="宋体" w:eastAsia="宋体" w:hAnsi="Courier New" w:cs="Times New Roman"/>
      <w:sz w:val="20"/>
      <w:szCs w:val="24"/>
    </w:rPr>
  </w:style>
  <w:style w:type="paragraph" w:customStyle="1" w:styleId="WPSOffice手动目录1">
    <w:name w:val="WPSOffice手动目录 1"/>
    <w:qFormat/>
    <w:rPr>
      <w:rFonts w:ascii="Times New Roman" w:eastAsia="宋体" w:hAnsi="Times New Roman" w:cs="Times New Roman" w:hint="default"/>
      <w:lang w:val="en-US" w:eastAsia="zh-CN" w:bidi="ar-SA"/>
    </w:rPr>
  </w:style>
  <w:style w:type="paragraph" w:customStyle="1" w:styleId="正文文本31">
    <w:name w:val="正文文本 31"/>
    <w:basedOn w:val="Normal"/>
    <w:qFormat/>
    <w:pPr>
      <w:jc w:val="center"/>
    </w:pPr>
    <w:rPr>
      <w:rFonts w:eastAsia="黑体"/>
      <w:sz w:val="72"/>
    </w:rPr>
  </w:style>
  <w:style w:type="paragraph" w:customStyle="1" w:styleId="标题21">
    <w:name w:val="标题 21"/>
    <w:basedOn w:val="Normal"/>
    <w:next w:val="Normal"/>
    <w:qFormat/>
    <w:pPr>
      <w:keepNext/>
      <w:keepLines/>
      <w:spacing w:before="260" w:after="260" w:line="413" w:lineRule="auto"/>
      <w:outlineLvl w:val="1"/>
    </w:pPr>
    <w:rPr>
      <w:rFonts w:ascii="Arial" w:eastAsia="黑体" w:hAnsi="Arial"/>
      <w:b/>
      <w:sz w:val="32"/>
      <w:szCs w:val="20"/>
    </w:rPr>
  </w:style>
  <w:style w:type="numbering" w:styleId="NoList">
    <w:name w:val="No List"/>
    <w:uiPriority w:val="99"/>
    <w:semiHidden/>
    <w:unhideWhenUse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10"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header" Target="header1.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 Id="rId8"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C7C3BA46AD874B9C863FEE7E029BB081_13</vt:lpwstr>
  </property>
</Propertie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vt="http://schemas.openxmlformats.org/officeDocument/2006/docPropsVTypes" xmlns="http://schemas.openxmlformats.org/officeDocument/2006/extended-properties">
  <Template>Nor</Template>
  <Application>ONLYOFFICE/7.2.1.34</Application>
  <DocSecurity>0</DocSecurity>
  <Company>Micor</Company>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淮安-程守成</cp:lastModifiedBy>
  <cp:revision>6</cp:revision>
  <dcterms:created xsi:type="dcterms:W3CDTF">2022-08-11T07:23:00Z</dcterms:created>
  <dcterms:modified xsi:type="dcterms:W3CDTF">2024-07-16T03:13:32Z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2052-12.1.0.16417</vt:lpwstr>
  </property>
  <property fmtid="{D5CDD505-2E9C-101B-9397-08002B2CF9AE}" pid="3" name="ICV">
    <vt:lpwstr>C7C3BA46AD874B9C863FEE7E029BB081_13</vt:lpwstr>
  </property>
</Properties>
</file>