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both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关于印发《淮安市级普惠金融风险补偿基金管理办法》的通知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各有关部门、金融机构、各县区财政局：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一步引导金融加大对实体经济支持力度，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我市经济社会发展重点领域和薄弱环节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融资服务的可得性、普惠性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，强化资金管理规范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，提高风险补偿基金使用绩效，现将《淮安市级普惠金融风险补偿基金管理办法》印发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给你们，请遵照执行。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附件：淮安市级普惠金融风险补偿基金管理办法</w:t>
      </w:r>
    </w:p>
    <w:p>
      <w:pPr>
        <w:spacing w:line="560" w:lineRule="exact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b/>
          <w:bCs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right"/>
        <w:rPr>
          <w:rFonts w:ascii="Times New Roman" w:hAnsi="Times New Roman" w:eastAsia="方正仿宋_GBK"/>
          <w:b/>
          <w:bCs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淮安市财政局                    淮安市政府办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44" w:firstLineChars="200"/>
        <w:jc w:val="left"/>
        <w:rPr>
          <w:rFonts w:ascii="Times New Roman" w:hAnsi="Times New Roman" w:eastAsia="方正仿宋_GBK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ascii="Times New Roman" w:hAnsi="Times New Roman" w:eastAsia="方正仿宋_GBK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 xml:space="preserve">人民银行淮安市分行   </w:t>
      </w:r>
      <w:r>
        <w:rPr>
          <w:rFonts w:hint="eastAsia" w:ascii="Times New Roman" w:hAnsi="Times New Roman" w:eastAsia="方正仿宋_GBK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>国家金融监督管理总局</w:t>
      </w:r>
      <w:r>
        <w:rPr>
          <w:rFonts w:ascii="Times New Roman" w:hAnsi="Times New Roman" w:eastAsia="方正仿宋_GBK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>淮安</w:t>
      </w:r>
      <w:r>
        <w:rPr>
          <w:rFonts w:hint="eastAsia" w:ascii="Times New Roman" w:hAnsi="Times New Roman" w:eastAsia="方正仿宋_GBK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>监管</w:t>
      </w:r>
      <w:r>
        <w:rPr>
          <w:rFonts w:ascii="Times New Roman" w:hAnsi="Times New Roman" w:eastAsia="方正仿宋_GBK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>分局</w:t>
      </w:r>
    </w:p>
    <w:p>
      <w:pPr>
        <w:ind w:firstLine="640" w:firstLineChars="200"/>
        <w:jc w:val="righ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righ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2025年月日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left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淮安市级普惠金融风险补偿基金管理办法</w:t>
      </w:r>
    </w:p>
    <w:p>
      <w:pPr>
        <w:spacing w:line="560" w:lineRule="exact"/>
        <w:jc w:val="center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第一章 总 则</w:t>
      </w:r>
    </w:p>
    <w:p>
      <w:pPr>
        <w:spacing w:line="560" w:lineRule="exact"/>
        <w:jc w:val="center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为进一步引导金融加大对实体经济的支持力度，缓解企业融资难、融资贵问题，根据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财政部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《普惠金融发展专项资金管理办法》（财金〔2023〕75号）、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省财政厅、等四部门《关于印发江苏省普惠金融风险补偿基金管理办法》（苏财规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14号）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等相关文件，结合本市实际，整合现有市级财政各风险补偿资金，设立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市级普惠金融风险补偿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（以下简称“风险补偿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”）。为规范风险补偿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管理，提高绩效，特制定本办法。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通过政银担合作等方式，发挥增信作用，引导银行等金融机构开发低门槛、低成本、高效率的专项产品，为符合条件的企业和个人提供融资服务。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遵循“政府引导、市场运作、公开透明、风险共担”的原则，充分发挥财政资金杠杆作用，增强金融服务实体经济发展能力，营造健康良好金融生态环境，促进地方经济高质量发展。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由市财政局牵头设立，资金来源主要包括：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（一）现有市级政银担合作产品风险补偿资金；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（二）市级财政预算安排资金；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收益和存款利息；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（四）上级财政部门相关转移支付资金；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（五）其他来源。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本办法所称政银担合作是指政府、银行、担保机构三方合作。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本办法所称的合作银行是指自愿遵守本办法有关规定，并签订合作协议的银行机构。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本办法所称的担保机构是指从事融资担保（保险）业务、自愿遵守本办法有关规定，并签订合作协议的担保机构（保险公司）。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本办法所称的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管理人是指受市财政局委托，承担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日常管理职责的管理机构。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本办法所称专项子产品是指风险补偿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项下分别设立的支持不同领域的专项子产品。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原则上，同一领域、行业风险补偿基金原则上支持一个产品。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>
      <w:pPr>
        <w:spacing w:line="560" w:lineRule="exact"/>
        <w:jc w:val="center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第二章 组织架构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市财政局作为风险补偿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的主管部门，牵头组建市级普惠金融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”），研究讨论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相关重大事项。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成员单位包括：市财政局、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市政府办（地方金融管理部门）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、中国人民银行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市分行（以下简称“人行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淮安市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分行”）、国家金融监督管理总局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监管分局（以下简称“国家金融监管局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分局”）及相关业务主管部门。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研究讨论的主要内容包括：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及专项子产品的发展规划、管理制度和支持政策；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财务及代偿追偿、专项子产品新设方案等事项报告；相关年度绩效考评和年度评价汇报；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及专项子产品年度风险补偿额度设定；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成员单位认为有必要研究解决的其他事项。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市财政局职责：制定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的管理办法和相关制度；研究可在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项下列支的财政支持政策及“免申即享”操作机制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，发挥“江苏省普惠金融发展风险补偿基金服务平台”作用；负责遴选风险补偿基金管理人和托管银行；按照相关规定筹措安排风险补偿基金的资金，监督基金管理人做好风险补偿基金拨付；组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织开展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管理人的年度绩效考评；指导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日常业务管理，协调解决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管理中的其他问题。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第十三条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政府办（地方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监管部门）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职责：引导合作金融机构加大对小微企业贷款的支持；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推进合作融资担保公司发挥担保增信功能，运用风险补偿基金子产品持续加大支农支小力度；加强对合作融资担保公司的监管指导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，统筹运用现场检查、非现场检查等手段对支农支小规模、担保费率、放大倍数等指标加强监控。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淮安市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分行职责：负责将相关合作银行贷款产品效果纳入信贷政策导向评估，对于实施效果好的合作银行，视情况将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支持的贷款产品纳入再贷款、再贴现等货币政策工具支持范围。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淮安金融监管分局职责：负责将风险补偿基金支持的贷款产品效果纳入普惠金融监测、评价范围等，监督合作银行履职尽职，开展风险防范和化解信贷风险。协助财政部门推动合作银行开展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风险补偿项目的追偿，督促合作银行及时将追偿款返还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各主管部门职责：负责提出本部门主管领域相关专项子产品的设立建议，明确产品的支持方向、运作方式等；宣传、指导、推动专项子产品合作银行开展业务；审核提交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的风险补偿资金申请项目，并提出意见和建议；对相关专项子产品开展年度绩效考评等。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管理人职责：根据主管部门专项子产品设立需要，提出专项子产品新设方案风险补偿相关建议；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财政部门委托，承担基金日常管理职责；依据财政部门要求设立风险补偿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专户，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对基金实行专户管理、专账核算；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负责政银产品代偿申请的初审工作；按照财政部门批准的补偿文件要求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拨付风险补偿基金；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督促银行和政府性融资担保机构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履行代偿追偿职责，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配合银行和政府性融资担保机构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积极开展追偿相关工作；建立风险补偿基金工作台账，核算基金的收支情况，如实记录并定期核对风险补偿基金拨付、逾期贷款追偿进展、追偿资金清算返还等事项；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在依法合规、确保安全并满足流动性的前提下，对闲置资金进行运作和管理，提高资金收益；每年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向财政部门提交基金年度运行和财务情况等。</w:t>
      </w:r>
    </w:p>
    <w:p>
      <w:pPr>
        <w:spacing w:line="560" w:lineRule="exact"/>
        <w:jc w:val="center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第三章 运行管理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由一个受托管理机构管理，项下分别设立若干专项子产品，专项子产品资金用途由其相关规定明确。现有市级专项子产品风险补偿资金统一纳入该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根据产品管理模式，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下设的专项子产品分为省与市合作子产品、市级子产品。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合作银行应具有相应的专业服务能力和较好的经营业绩，配置专职人员对接风险补偿平台，实行相应的信贷评审制度和业务流程等。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专项子产品支持的贷款应实施优惠贷款利率或优惠政策条款。优惠贷款利率可采用同档次贷款市场报价利率（LPR）加减点进行调整的方式确定。不另外收取保证金、中间业务费等其他费用。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第二十二条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专项子产品由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提供增信支持，对融资方原则上采用无抵押、无质押的信用方式。确有需要的，可根据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子产品特点，适当追加知识产权、应收账款、股权、保险保单等担保方式。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第二十三条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各合作银行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、担保机构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按协议要求组织各专项子产品的信贷投放。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第二十四条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专项子产品存续期限一般不超过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年，到期后，由市财政局商市级主管部门确定延续或取消。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第二十五条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省市联动产品的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对接联动省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普惠金融发展风险补偿基金服务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平台”，实现省、市合作支持的专项子产品数据同步。市级子产品根据产品实际，对接惠企“码上贷”、“淮信融”等信息平台，实现数据共享。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第二十六条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专户，实施运营管理，按规定审核、拨付补偿资金等。</w:t>
      </w: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第四章 风险管理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第二十七条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、合作银行、担保机构等共担贷款风险。对专项子产品贷款逾期并符合补偿条件的，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可对该贷款本金提供补偿，补偿对象为合作银行，补偿比例原则上不高于未偿还本金的80%。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第二十八条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风险补偿资金额度管理。在省“综合金融服务平台”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惠企“码上贷”、“淮信融”等平台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登记注册的单户企业和个人，使用风险补偿资金总额度累计最高为人民币1000万元。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贷款发放后，合作银行需及时在风险补偿平台进行贷款发放备案。贷款发生逾期后，合作银行提出风险补偿申请的，以平台备案的贷款实际发放时间先后排序累计补偿，实行总额度控制，用完为止。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第二十九条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专项子产品风险补偿额度管理。该额度的具体计算方法由各主管部门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与财政部门商榷，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根据专项子产品操作细则设置。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当专项子产品年度风险实际补偿总额达到其年度风险补偿额度的50%时，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向相关主管部门进行风险提示；当专项子产品年度风险实际补偿总额达到其年度风险补偿额度的100%时，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暂停对该项子产品的补偿。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应查清原因，落实风险管控措施，向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报告后，再行恢复该专项子产品业务。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第三十一条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实行总补偿额度管理。当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实际补偿总额达到上年度末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余额的50%时，暂停所有新增业务。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应查清原因，落实风险管控措施，向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报告后，再行分别恢复各专项子产品业务。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第三十二条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专项子产品贷款发生逾期或欠息，合作银行应根据专项子产品操作细则要求向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报送风险补偿申请材料。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第三十三条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收到风险补偿申请后，应在规定时间内，根据专项子产品管理办法对相关材料进行审核，并委托第三方中介机构进行专项审计，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应就审计提出疑义的事项开展尽职调查。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第三十四条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对于符合补偿条件的，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基金管理人按程序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划拨补偿资金；不符合补偿条件的，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退回相关申请材料。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定期将补偿申请、划拨等相关情况向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第三十五条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的补偿，作为对合作银行损失的弥补，不改变合作银行与借款人的借贷关系，借款人仍按贷款合同约定承担全部责任。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第三十六条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有以下列情形之一的，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不予补偿：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（一）贷款授信审查时，根据人民银行征信记录，企业或其法定代表人、控股股东、实际控制人在其他贷款机构有未偿还逾期贷款；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（二）相关贷款业务未在“风险补偿平台”等平台上进行信息化管理，或线上线下数据不一致；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（三）贷款逾期后，合作银行未按规定及时进行催收，未向法院提起借款合同纠纷诉讼并立案；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（四）贷款授信审查时，企业或其法定代表人、控股股东、实际控制人被列入人民法院失信被执行人名单；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（五）贷款授信审查时，企业环评信用等级结果红色（含）以下；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（六）贷款授信审查时，企业纳税信用评级D级；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（七）其他未按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管理办法、各子产品操作细则和合作协议要求发放的贷款。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第三十七条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完成补偿后，合作银行或担保机构应继续对贷款追偿，追偿所得扣除合理追偿费用后，按补偿比例的同比例返还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。合作银行或担保机构对追偿、处置、返还情况报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备案，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基金管理人定期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与合作银行或担保机构进行核对。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定期将追偿、处置、返还等情况形成分析报告后向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于合作银行或担保机构怠于追偿或者追偿资金未及时返还至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的，市财政局应当依法要求合作银行或担保机构及时整改。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第三十八条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根据各子产品实施方案，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对于符合核销条件的贷款，合作银行或担保机构可按规定核销，并由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备案。贷款核销后追偿回来的资金，按补偿比例的同比例返还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第三十九条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对于省与市合作子产品，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由市级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对不良贷款根据业务要求予以补偿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，再由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市财政局按照规定比例向省级风险补偿基金申请风险分担。对于合作银行通过追偿等方式收回的资金，按规定比例返还省级与市级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>
      <w:pPr>
        <w:spacing w:line="560" w:lineRule="exact"/>
        <w:jc w:val="center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第五章 绩效管理与监督检查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第四十条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风险补偿基金合作金融机构、受托管理机构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接受省级部门、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财政部门、市级主管部门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监督检查、绩效考评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。市政府办（地方金融监管部门）、人行淮安市分行、淮安金融监管分局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金融管理部门按照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分工做好有关工作协同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第四十一条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市财政局应当与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签订委托管理协议，根据协议约定对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进行年度绩效考评，并根据考评结果给予一定的管理费用。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第四十二条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市财政局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牵头会同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主管部门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对金融机构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专项子产品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年度绩效考评，考评内容包括信贷业务规模、客户数量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、利率、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贷款不良率、风险补偿及追偿情况等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考评结果报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工作小组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讨论增加或减少该专项子产品规模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，调整风险补偿额度。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基金管理人对托管银行的业务规模、服务质量、风险控制、投资收益等开展绩效评价，其评价结果报市财政局部门备案。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合作银行、合作担保机构违反财经纪律、提供虚假信息、与企业合谋套取风险补偿资金、不按要求将收回的资金返还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的，一经核实，全额收回已拨付的风险补偿资金并取消其合作资格。由此引发的相关法律责任及经济损失均由上述合作银行、合作担保机构承担。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借款人以虚假手段骗取贷款、改变贷款资金用途或通过不法手段造成贷款损失的，取消其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支持资格，不得申报市级各类财政支持项目，按照《财政违法行为处罚处分条例》等规定予以处理。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各有关单位、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基金管理人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及其工作人员在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运行管理中，存在滥用职权、玩忽职守、徇私舞弊等违纪违法行为的，按照国家有关法律法规追究责任。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>
      <w:pPr>
        <w:spacing w:line="560" w:lineRule="exact"/>
        <w:jc w:val="center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第六章 附 则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风险补偿基金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与国家、省级合作开展专项子产品的，按照国家、省相关规定执行。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日起施行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由市财政局负责解释。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2322830</wp:posOffset>
              </wp:positionH>
              <wp:positionV relativeFrom="paragraph">
                <wp:posOffset>0</wp:posOffset>
              </wp:positionV>
              <wp:extent cx="740410" cy="1828800"/>
              <wp:effectExtent l="0" t="0" r="2540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404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.9pt;margin-top:0pt;height:144pt;width:58.3pt;mso-position-horizontal-relative:margin;z-index:251659264;mso-width-relative:page;mso-height-relative:page;" filled="f" stroked="f" coordsize="21600,21600" o:gfxdata="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6OMTHtcAAAAIAQAADwAAAAAAAAABACAAAAA4AAAAZHJzL2Rvd25yZXYueG1sUEsB&#10;AhQAFAAAAAgAh07iQL3sT8AZAgAAGgQAAA4AAAAAAAAAAQAgAAAAP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D0F"/>
    <w:rsid w:val="00063433"/>
    <w:rsid w:val="00081160"/>
    <w:rsid w:val="00132491"/>
    <w:rsid w:val="00150040"/>
    <w:rsid w:val="002159A2"/>
    <w:rsid w:val="0022348E"/>
    <w:rsid w:val="002D061D"/>
    <w:rsid w:val="002E35E8"/>
    <w:rsid w:val="00407440"/>
    <w:rsid w:val="004D0945"/>
    <w:rsid w:val="0052154E"/>
    <w:rsid w:val="005770FB"/>
    <w:rsid w:val="00577B46"/>
    <w:rsid w:val="00587688"/>
    <w:rsid w:val="00592A1D"/>
    <w:rsid w:val="005979D6"/>
    <w:rsid w:val="005D7E37"/>
    <w:rsid w:val="00614CD0"/>
    <w:rsid w:val="006B1334"/>
    <w:rsid w:val="006C466C"/>
    <w:rsid w:val="007C15F0"/>
    <w:rsid w:val="008002E1"/>
    <w:rsid w:val="008350E3"/>
    <w:rsid w:val="00897FCE"/>
    <w:rsid w:val="00A8174D"/>
    <w:rsid w:val="00AA49F2"/>
    <w:rsid w:val="00C5441E"/>
    <w:rsid w:val="00C751BA"/>
    <w:rsid w:val="00CF0552"/>
    <w:rsid w:val="00D34880"/>
    <w:rsid w:val="00D962E7"/>
    <w:rsid w:val="00DF1227"/>
    <w:rsid w:val="00E16B1E"/>
    <w:rsid w:val="00ED73E1"/>
    <w:rsid w:val="00F112BD"/>
    <w:rsid w:val="00FC3ED4"/>
    <w:rsid w:val="1AFA515C"/>
    <w:rsid w:val="20375E25"/>
    <w:rsid w:val="38002D6E"/>
    <w:rsid w:val="57647CB8"/>
    <w:rsid w:val="5E856106"/>
    <w:rsid w:val="6BAC40F1"/>
    <w:rsid w:val="6CE69926"/>
    <w:rsid w:val="72FF5752"/>
    <w:rsid w:val="7E32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Strong"/>
    <w:basedOn w:val="16"/>
    <w:qFormat/>
    <w:uiPriority w:val="22"/>
    <w:rPr>
      <w:b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5412</Words>
  <Characters>5474</Characters>
  <Lines>145</Lines>
  <Paragraphs>91</Paragraphs>
  <TotalTime>378</TotalTime>
  <ScaleCrop>false</ScaleCrop>
  <LinksUpToDate>false</LinksUpToDate>
  <CharactersWithSpaces>5549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2025-03-15T18:19:00Z</dcterms:created>
  <dc:creator>苏婉 于</dc:creator>
  <cp:lastModifiedBy>taiji</cp:lastModifiedBy>
  <cp:lastPrinted>2025-06-24T17:50:00Z</cp:lastPrinted>
  <dcterms:modified xsi:type="dcterms:W3CDTF">2025-08-25T09:57:17Z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eyJoZGlkIjoiYTU4YzFjMzcyMWYyZjNlZjI2NThkOTU4ZThhYTE5YzkifQ==</vt:lpwstr>
  </property>
  <property fmtid="{D5CDD505-2E9C-101B-9397-08002B2CF9AE}" pid="3" name="KSOProductBuildVer">
    <vt:lpwstr>2052-11.8.2.9849</vt:lpwstr>
  </property>
  <property fmtid="{D5CDD505-2E9C-101B-9397-08002B2CF9AE}" pid="4" name="ICV">
    <vt:lpwstr>33779D0821104C8CB486D8150DF50193_12</vt:lpwstr>
  </property>
</Properties>
</file>