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52534">
      <w:pPr>
        <w:tabs>
          <w:tab w:val="center" w:pos="4621"/>
        </w:tabs>
        <w:spacing w:line="360" w:lineRule="auto"/>
        <w:jc w:val="center"/>
        <w:rPr>
          <w:rFonts w:hint="eastAsia" w:ascii="宋体" w:hAnsi="宋体" w:eastAsia="宋体" w:cs="宋体"/>
          <w:color w:val="000000"/>
          <w:spacing w:val="24"/>
          <w:sz w:val="72"/>
          <w:szCs w:val="72"/>
          <w:highlight w:val="none"/>
        </w:rPr>
      </w:pPr>
      <w:bookmarkStart w:id="52" w:name="_GoBack"/>
      <w:bookmarkEnd w:id="52"/>
    </w:p>
    <w:p w14:paraId="39BC7A61">
      <w:pPr>
        <w:spacing w:line="1040" w:lineRule="exact"/>
        <w:ind w:firstLine="1205"/>
        <w:jc w:val="left"/>
        <w:rPr>
          <w:rFonts w:hint="eastAsia" w:ascii="宋体" w:hAnsi="宋体" w:eastAsia="宋体" w:cs="宋体"/>
          <w:b/>
          <w:color w:val="000000"/>
          <w:sz w:val="40"/>
          <w:szCs w:val="40"/>
          <w:highlight w:val="none"/>
        </w:rPr>
      </w:pPr>
      <w:r>
        <w:rPr>
          <w:rFonts w:hint="eastAsia" w:ascii="宋体" w:hAnsi="宋体" w:eastAsia="宋体" w:cs="宋体"/>
          <w:b/>
          <w:color w:val="000000"/>
          <w:sz w:val="40"/>
          <w:szCs w:val="40"/>
          <w:highlight w:val="none"/>
        </w:rPr>
        <w:t>“全流程不见面交易”竞争性磋商文件</w:t>
      </w:r>
    </w:p>
    <w:p w14:paraId="7CA50668">
      <w:pPr>
        <w:jc w:val="center"/>
        <w:rPr>
          <w:rFonts w:hint="eastAsia" w:ascii="宋体" w:hAnsi="宋体" w:eastAsia="宋体" w:cs="宋体"/>
          <w:b/>
          <w:bCs/>
          <w:color w:val="000000"/>
          <w:sz w:val="72"/>
          <w:szCs w:val="72"/>
          <w:highlight w:val="none"/>
        </w:rPr>
      </w:pPr>
    </w:p>
    <w:p w14:paraId="6E757754">
      <w:pPr>
        <w:ind w:firstLine="1920"/>
        <w:rPr>
          <w:rFonts w:hint="eastAsia" w:ascii="宋体" w:hAnsi="宋体" w:eastAsia="宋体" w:cs="宋体"/>
          <w:color w:val="000000"/>
          <w:sz w:val="32"/>
          <w:szCs w:val="32"/>
          <w:highlight w:val="none"/>
        </w:rPr>
      </w:pPr>
    </w:p>
    <w:p w14:paraId="2A2A80DB">
      <w:pPr>
        <w:spacing w:line="360" w:lineRule="auto"/>
        <w:jc w:val="center"/>
        <w:rPr>
          <w:rFonts w:hint="eastAsia" w:ascii="宋体" w:hAnsi="宋体" w:eastAsia="宋体" w:cs="宋体"/>
          <w:color w:val="000000"/>
          <w:sz w:val="36"/>
          <w:szCs w:val="36"/>
          <w:highlight w:val="none"/>
        </w:rPr>
      </w:pPr>
    </w:p>
    <w:p w14:paraId="5EEAD40F">
      <w:pPr>
        <w:spacing w:line="360" w:lineRule="auto"/>
        <w:jc w:val="center"/>
        <w:rPr>
          <w:rFonts w:hint="eastAsia" w:ascii="宋体" w:hAnsi="宋体" w:eastAsia="宋体" w:cs="宋体"/>
          <w:color w:val="000000"/>
          <w:sz w:val="36"/>
          <w:szCs w:val="36"/>
          <w:highlight w:val="none"/>
        </w:rPr>
      </w:pPr>
    </w:p>
    <w:p w14:paraId="7441121A">
      <w:pPr>
        <w:spacing w:line="360" w:lineRule="auto"/>
        <w:ind w:firstLine="1446"/>
        <w:jc w:val="both"/>
        <w:rPr>
          <w:rFonts w:hint="eastAsia" w:ascii="宋体" w:hAnsi="宋体" w:eastAsia="宋体" w:cs="宋体"/>
          <w:color w:val="000000"/>
          <w:sz w:val="36"/>
          <w:szCs w:val="36"/>
          <w:highlight w:val="none"/>
          <w:lang w:val="en-US" w:eastAsia="zh-CN"/>
        </w:rPr>
      </w:pPr>
      <w:r>
        <w:rPr>
          <w:rFonts w:hint="eastAsia" w:ascii="宋体" w:hAnsi="宋体" w:eastAsia="宋体" w:cs="宋体"/>
          <w:b/>
          <w:color w:val="000000"/>
          <w:sz w:val="36"/>
          <w:szCs w:val="36"/>
          <w:highlight w:val="none"/>
        </w:rPr>
        <w:t>项目编号</w:t>
      </w:r>
      <w:r>
        <w:rPr>
          <w:rFonts w:hint="eastAsia" w:ascii="宋体" w:hAnsi="宋体" w:eastAsia="宋体" w:cs="宋体"/>
          <w:b/>
          <w:color w:val="000000"/>
          <w:sz w:val="36"/>
          <w:szCs w:val="36"/>
          <w:highlight w:val="none"/>
          <w:lang w:eastAsia="zh-CN"/>
        </w:rPr>
        <w:t>：</w:t>
      </w:r>
      <w:r>
        <w:rPr>
          <w:rFonts w:hint="eastAsia" w:ascii="宋体" w:hAnsi="宋体" w:eastAsia="宋体" w:cs="宋体"/>
          <w:b/>
          <w:color w:val="000000"/>
          <w:sz w:val="36"/>
          <w:szCs w:val="36"/>
          <w:highlight w:val="none"/>
          <w:lang w:val="en-US" w:eastAsia="zh-CN"/>
        </w:rPr>
        <w:t xml:space="preserve"> </w:t>
      </w:r>
      <w:r>
        <w:rPr>
          <w:rFonts w:hint="eastAsia" w:ascii="宋体" w:hAnsi="宋体" w:eastAsia="宋体" w:cs="宋体"/>
          <w:b/>
          <w:color w:val="000000"/>
          <w:sz w:val="36"/>
          <w:szCs w:val="36"/>
          <w:highlight w:val="none"/>
        </w:rPr>
        <w:t>JSZC-320830-HADY-C2024-0015</w:t>
      </w:r>
    </w:p>
    <w:p w14:paraId="5A62D0C1">
      <w:pPr>
        <w:spacing w:line="360" w:lineRule="auto"/>
        <w:jc w:val="center"/>
        <w:rPr>
          <w:rFonts w:hint="eastAsia" w:ascii="宋体" w:hAnsi="宋体" w:eastAsia="宋体" w:cs="宋体"/>
          <w:color w:val="000000"/>
          <w:sz w:val="36"/>
          <w:szCs w:val="36"/>
          <w:highlight w:val="none"/>
        </w:rPr>
      </w:pPr>
    </w:p>
    <w:p w14:paraId="4620E24B">
      <w:pPr>
        <w:spacing w:line="360" w:lineRule="auto"/>
        <w:jc w:val="center"/>
        <w:rPr>
          <w:rFonts w:hint="eastAsia" w:ascii="宋体" w:hAnsi="宋体" w:eastAsia="宋体" w:cs="宋体"/>
          <w:color w:val="000000"/>
          <w:sz w:val="36"/>
          <w:szCs w:val="36"/>
          <w:highlight w:val="none"/>
        </w:rPr>
      </w:pPr>
    </w:p>
    <w:p w14:paraId="285EBDCC">
      <w:pPr>
        <w:spacing w:line="360" w:lineRule="auto"/>
        <w:jc w:val="center"/>
        <w:rPr>
          <w:rFonts w:hint="eastAsia" w:ascii="宋体" w:hAnsi="宋体" w:eastAsia="宋体" w:cs="宋体"/>
          <w:color w:val="000000"/>
          <w:sz w:val="36"/>
          <w:szCs w:val="36"/>
          <w:highlight w:val="none"/>
        </w:rPr>
      </w:pPr>
    </w:p>
    <w:p w14:paraId="7737AF92">
      <w:pPr>
        <w:spacing w:line="360" w:lineRule="auto"/>
        <w:jc w:val="both"/>
        <w:rPr>
          <w:rFonts w:hint="eastAsia" w:ascii="宋体" w:hAnsi="宋体" w:eastAsia="宋体" w:cs="宋体"/>
          <w:color w:val="000000"/>
          <w:sz w:val="36"/>
          <w:szCs w:val="36"/>
          <w:highlight w:val="none"/>
        </w:rPr>
      </w:pPr>
    </w:p>
    <w:p w14:paraId="18122A88">
      <w:pPr>
        <w:rPr>
          <w:rFonts w:hint="eastAsia"/>
        </w:rPr>
      </w:pPr>
    </w:p>
    <w:p w14:paraId="2AA83A5E">
      <w:pPr>
        <w:spacing w:line="360" w:lineRule="auto"/>
        <w:jc w:val="center"/>
        <w:rPr>
          <w:rFonts w:hint="eastAsia" w:ascii="宋体" w:hAnsi="宋体" w:eastAsia="宋体" w:cs="宋体"/>
          <w:color w:val="000000"/>
          <w:sz w:val="36"/>
          <w:szCs w:val="36"/>
          <w:highlight w:val="none"/>
        </w:rPr>
      </w:pPr>
    </w:p>
    <w:p w14:paraId="18E28C56">
      <w:pPr>
        <w:spacing w:line="760" w:lineRule="exact"/>
        <w:ind w:firstLine="1084"/>
        <w:rPr>
          <w:rFonts w:hint="eastAsia" w:asciiTheme="minorEastAsia" w:hAnsiTheme="minorEastAsia" w:eastAsiaTheme="minorEastAsia" w:cstheme="minorEastAsia"/>
          <w:b/>
          <w:bCs/>
          <w:color w:val="FF0000"/>
          <w:sz w:val="32"/>
          <w:szCs w:val="32"/>
          <w:lang w:eastAsia="zh-CN"/>
        </w:rPr>
      </w:pPr>
      <w:r>
        <w:rPr>
          <w:rFonts w:hint="eastAsia" w:asciiTheme="minorEastAsia" w:hAnsiTheme="minorEastAsia" w:eastAsiaTheme="minorEastAsia" w:cstheme="minorEastAsia"/>
          <w:b/>
          <w:bCs/>
          <w:color w:val="000000"/>
          <w:sz w:val="32"/>
          <w:szCs w:val="32"/>
          <w:lang w:eastAsia="zh-CN"/>
        </w:rPr>
        <w:t>项目名称</w:t>
      </w:r>
      <w:bookmarkStart w:id="0" w:name="OLE_LINK16"/>
      <w:r>
        <w:rPr>
          <w:rFonts w:hint="eastAsia" w:asciiTheme="minorEastAsia" w:hAnsiTheme="minorEastAsia" w:eastAsiaTheme="minorEastAsia" w:cstheme="minorEastAsia"/>
          <w:b/>
          <w:bCs/>
          <w:color w:val="FF0000"/>
          <w:sz w:val="32"/>
          <w:szCs w:val="32"/>
          <w:lang w:eastAsia="zh-CN"/>
        </w:rPr>
        <w:t>：</w:t>
      </w:r>
      <w:bookmarkStart w:id="1" w:name="OLE_LINK17"/>
      <w:r>
        <w:rPr>
          <w:rFonts w:hint="eastAsia" w:asciiTheme="minorEastAsia" w:hAnsiTheme="minorEastAsia" w:eastAsiaTheme="minorEastAsia" w:cstheme="minorEastAsia"/>
          <w:b/>
          <w:bCs/>
          <w:color w:val="FF0000"/>
          <w:sz w:val="32"/>
          <w:szCs w:val="32"/>
          <w:lang w:eastAsia="zh-CN"/>
        </w:rPr>
        <w:t>盱城街道石牛社区农产品批发市场建设项目监理</w:t>
      </w:r>
    </w:p>
    <w:bookmarkEnd w:id="0"/>
    <w:bookmarkEnd w:id="1"/>
    <w:p w14:paraId="3571CFA2">
      <w:pPr>
        <w:spacing w:line="760" w:lineRule="exact"/>
        <w:ind w:firstLine="1084"/>
        <w:rPr>
          <w:rFonts w:hint="eastAsia" w:asciiTheme="minorEastAsia" w:hAnsiTheme="minorEastAsia" w:eastAsiaTheme="minorEastAsia" w:cstheme="minorEastAsia"/>
          <w:b/>
          <w:sz w:val="32"/>
          <w:szCs w:val="32"/>
          <w:lang w:eastAsia="zh-CN"/>
        </w:rPr>
      </w:pPr>
      <w:bookmarkStart w:id="2" w:name="OLE_LINK18"/>
      <w:r>
        <w:rPr>
          <w:rFonts w:hint="eastAsia" w:asciiTheme="minorEastAsia" w:hAnsiTheme="minorEastAsia" w:eastAsiaTheme="minorEastAsia" w:cstheme="minorEastAsia"/>
          <w:b/>
          <w:sz w:val="32"/>
          <w:szCs w:val="32"/>
        </w:rPr>
        <w:t>采</w:t>
      </w:r>
      <w:r>
        <w:rPr>
          <w:rFonts w:hint="eastAsia" w:asciiTheme="minorEastAsia" w:hAnsiTheme="minorEastAsia" w:eastAsiaTheme="minorEastAsia" w:cstheme="minorEastAsia"/>
          <w:b/>
          <w:sz w:val="32"/>
          <w:szCs w:val="32"/>
          <w:lang w:val="en-US" w:eastAsia="zh-CN"/>
        </w:rPr>
        <w:t xml:space="preserve"> </w:t>
      </w:r>
      <w:r>
        <w:rPr>
          <w:rFonts w:hint="eastAsia" w:asciiTheme="minorEastAsia" w:hAnsiTheme="minorEastAsia" w:eastAsiaTheme="minorEastAsia" w:cstheme="minorEastAsia"/>
          <w:b/>
          <w:sz w:val="32"/>
          <w:szCs w:val="32"/>
        </w:rPr>
        <w:t>购</w:t>
      </w:r>
      <w:r>
        <w:rPr>
          <w:rFonts w:hint="eastAsia" w:asciiTheme="minorEastAsia" w:hAnsiTheme="minorEastAsia" w:eastAsiaTheme="minorEastAsia" w:cstheme="minorEastAsia"/>
          <w:b/>
          <w:sz w:val="32"/>
          <w:szCs w:val="32"/>
          <w:lang w:val="en-US" w:eastAsia="zh-CN"/>
        </w:rPr>
        <w:t xml:space="preserve"> </w:t>
      </w:r>
      <w:r>
        <w:rPr>
          <w:rFonts w:hint="eastAsia" w:asciiTheme="minorEastAsia" w:hAnsiTheme="minorEastAsia" w:eastAsiaTheme="minorEastAsia" w:cstheme="minorEastAsia"/>
          <w:b/>
          <w:sz w:val="32"/>
          <w:szCs w:val="32"/>
        </w:rPr>
        <w:t>人：</w:t>
      </w:r>
      <w:bookmarkStart w:id="3" w:name="OLE_LINK15"/>
      <w:r>
        <w:rPr>
          <w:rFonts w:hint="eastAsia" w:asciiTheme="minorEastAsia" w:hAnsiTheme="minorEastAsia" w:eastAsiaTheme="minorEastAsia" w:cstheme="minorEastAsia"/>
          <w:b/>
          <w:color w:val="FF0000"/>
          <w:sz w:val="32"/>
          <w:szCs w:val="32"/>
          <w:lang w:eastAsia="zh-CN"/>
        </w:rPr>
        <w:t>盱眙县盱城街道办事处</w:t>
      </w:r>
      <w:bookmarkEnd w:id="3"/>
    </w:p>
    <w:bookmarkEnd w:id="2"/>
    <w:p w14:paraId="266954A9">
      <w:pPr>
        <w:spacing w:line="760" w:lineRule="exact"/>
        <w:ind w:firstLine="1084"/>
        <w:rPr>
          <w:rFonts w:hint="eastAsia" w:ascii="宋体" w:hAnsi="宋体" w:eastAsia="宋体" w:cs="宋体"/>
          <w:b/>
          <w:bCs/>
          <w:color w:val="000000"/>
          <w:sz w:val="32"/>
          <w:szCs w:val="32"/>
          <w:highlight w:val="none"/>
          <w:lang w:eastAsia="zh-CN"/>
        </w:rPr>
      </w:pPr>
      <w:r>
        <w:rPr>
          <w:rFonts w:hint="eastAsia" w:asciiTheme="minorEastAsia" w:hAnsiTheme="minorEastAsia" w:eastAsiaTheme="minorEastAsia" w:cstheme="minorEastAsia"/>
          <w:b/>
          <w:sz w:val="32"/>
          <w:szCs w:val="32"/>
        </w:rPr>
        <w:t>采购代理机构：</w:t>
      </w:r>
      <w:r>
        <w:rPr>
          <w:rFonts w:hint="eastAsia" w:asciiTheme="minorEastAsia" w:hAnsiTheme="minorEastAsia" w:eastAsiaTheme="minorEastAsia" w:cstheme="minorEastAsia"/>
          <w:b/>
          <w:bCs/>
          <w:color w:val="000000"/>
          <w:sz w:val="32"/>
          <w:szCs w:val="32"/>
          <w:lang w:eastAsia="zh-CN"/>
        </w:rPr>
        <w:t>淮安德誉工程项目管理有限公司</w:t>
      </w:r>
    </w:p>
    <w:p w14:paraId="2B6DADEC">
      <w:pPr>
        <w:keepNext w:val="0"/>
        <w:keepLines w:val="0"/>
        <w:pageBreakBefore w:val="0"/>
        <w:widowControl w:val="0"/>
        <w:spacing w:line="480" w:lineRule="auto"/>
        <w:jc w:val="left"/>
        <w:rPr>
          <w:rFonts w:hint="eastAsia" w:ascii="宋体" w:hAnsi="宋体" w:eastAsia="宋体" w:cs="宋体"/>
          <w:b/>
          <w:bCs/>
          <w:color w:val="000000"/>
          <w:sz w:val="32"/>
          <w:szCs w:val="32"/>
          <w:highlight w:val="none"/>
          <w:lang w:eastAsia="zh-CN"/>
        </w:rPr>
      </w:pPr>
      <w:r>
        <w:rPr>
          <w:rFonts w:hint="eastAsia" w:ascii="宋体" w:hAnsi="宋体" w:eastAsia="宋体" w:cs="宋体"/>
          <w:b/>
          <w:bCs/>
          <w:color w:val="000000"/>
          <w:sz w:val="32"/>
          <w:szCs w:val="32"/>
          <w:highlight w:val="none"/>
          <w:lang w:eastAsia="zh-CN"/>
        </w:rPr>
        <w:t xml:space="preserve">             </w:t>
      </w:r>
      <w:r>
        <w:rPr>
          <w:rFonts w:hint="eastAsia" w:ascii="宋体" w:hAnsi="宋体" w:eastAsia="宋体" w:cs="宋体"/>
          <w:b/>
          <w:bCs/>
          <w:color w:val="000000"/>
          <w:sz w:val="32"/>
          <w:szCs w:val="32"/>
          <w:highlight w:val="none"/>
          <w:lang w:val="en-US" w:eastAsia="zh-CN"/>
        </w:rPr>
        <w:t xml:space="preserve">       </w:t>
      </w:r>
      <w:r>
        <w:rPr>
          <w:rFonts w:hint="eastAsia" w:ascii="宋体" w:hAnsi="宋体" w:cs="宋体"/>
          <w:b/>
          <w:bCs/>
          <w:color w:val="000000"/>
          <w:sz w:val="32"/>
          <w:szCs w:val="32"/>
          <w:highlight w:val="none"/>
          <w:lang w:val="en-US" w:eastAsia="zh-CN"/>
        </w:rPr>
        <w:t xml:space="preserve"> </w:t>
      </w:r>
      <w:r>
        <w:rPr>
          <w:rFonts w:hint="eastAsia" w:ascii="宋体" w:hAnsi="宋体" w:eastAsia="宋体" w:cs="宋体"/>
          <w:b/>
          <w:bCs/>
          <w:color w:val="000000"/>
          <w:sz w:val="32"/>
          <w:szCs w:val="32"/>
          <w:highlight w:val="none"/>
          <w:lang w:val="en-US" w:eastAsia="zh-CN"/>
        </w:rPr>
        <w:t xml:space="preserve"> 2024</w:t>
      </w:r>
      <w:r>
        <w:rPr>
          <w:rFonts w:hint="eastAsia" w:ascii="宋体" w:hAnsi="宋体" w:eastAsia="宋体" w:cs="宋体"/>
          <w:b/>
          <w:bCs/>
          <w:color w:val="000000"/>
          <w:sz w:val="32"/>
          <w:szCs w:val="32"/>
          <w:highlight w:val="none"/>
          <w:lang w:eastAsia="zh-CN"/>
        </w:rPr>
        <w:t>年</w:t>
      </w:r>
      <w:r>
        <w:rPr>
          <w:rFonts w:hint="eastAsia" w:ascii="宋体" w:hAnsi="宋体" w:cs="宋体"/>
          <w:b/>
          <w:bCs/>
          <w:color w:val="000000"/>
          <w:sz w:val="32"/>
          <w:szCs w:val="32"/>
          <w:highlight w:val="none"/>
          <w:lang w:val="en-US" w:eastAsia="zh-CN"/>
        </w:rPr>
        <w:t>9</w:t>
      </w:r>
      <w:r>
        <w:rPr>
          <w:rFonts w:hint="eastAsia" w:ascii="宋体" w:hAnsi="宋体" w:eastAsia="宋体" w:cs="宋体"/>
          <w:b/>
          <w:bCs/>
          <w:color w:val="000000"/>
          <w:sz w:val="32"/>
          <w:szCs w:val="32"/>
          <w:highlight w:val="none"/>
          <w:lang w:eastAsia="zh-CN"/>
        </w:rPr>
        <w:t>月</w:t>
      </w:r>
    </w:p>
    <w:p w14:paraId="6C8CE073">
      <w:pPr>
        <w:spacing w:line="360" w:lineRule="auto"/>
        <w:jc w:val="center"/>
        <w:rPr>
          <w:rFonts w:hint="eastAsia" w:ascii="宋体" w:hAnsi="宋体" w:eastAsia="宋体" w:cs="宋体"/>
          <w:b/>
          <w:bCs/>
          <w:color w:val="000000"/>
          <w:sz w:val="30"/>
          <w:szCs w:val="30"/>
          <w:highlight w:val="none"/>
        </w:rPr>
        <w:sectPr>
          <w:pgSz w:w="11906" w:h="16838" w:orient="landscape"/>
          <w:pgMar w:top="1440" w:right="1474" w:bottom="1440" w:left="1474" w:header="851" w:footer="992" w:gutter="0"/>
          <w:cols w:space="720" w:num="1"/>
        </w:sectPr>
      </w:pPr>
    </w:p>
    <w:p w14:paraId="0C0AAB1B">
      <w:pPr>
        <w:spacing w:line="360" w:lineRule="auto"/>
        <w:jc w:val="center"/>
        <w:rPr>
          <w:rFonts w:hint="eastAsia" w:ascii="宋体" w:hAnsi="宋体" w:eastAsia="宋体" w:cs="宋体"/>
          <w:color w:val="000000"/>
          <w:sz w:val="32"/>
          <w:highlight w:val="none"/>
        </w:rPr>
      </w:pPr>
      <w:r>
        <w:rPr>
          <w:rFonts w:hint="eastAsia" w:ascii="宋体" w:hAnsi="宋体" w:eastAsia="宋体" w:cs="宋体"/>
          <w:b/>
          <w:color w:val="000000"/>
          <w:sz w:val="30"/>
          <w:szCs w:val="30"/>
          <w:highlight w:val="none"/>
        </w:rPr>
        <w:t>前附表</w:t>
      </w:r>
    </w:p>
    <w:tbl>
      <w:tblPr>
        <w:tblStyle w:val="36"/>
        <w:tblW w:w="931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1"/>
        <w:gridCol w:w="2038"/>
        <w:gridCol w:w="6522"/>
      </w:tblGrid>
      <w:tr w14:paraId="38156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10" w:hRule="atLeast"/>
          <w:jc w:val="center"/>
        </w:trPr>
        <w:tc>
          <w:tcPr>
            <w:tcW w:w="751" w:type="dxa"/>
            <w:tcBorders>
              <w:top w:val="single" w:color="auto" w:sz="6" w:space="0"/>
              <w:left w:val="single" w:color="auto" w:sz="6" w:space="0"/>
              <w:bottom w:val="single" w:color="auto" w:sz="6" w:space="0"/>
              <w:right w:val="single" w:color="auto" w:sz="6" w:space="0"/>
            </w:tcBorders>
            <w:noWrap w:val="0"/>
            <w:vAlign w:val="center"/>
          </w:tcPr>
          <w:p w14:paraId="7F9C1F59">
            <w:pPr>
              <w:spacing w:line="32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lang w:val="zh-CN"/>
              </w:rPr>
              <w:t>项号</w:t>
            </w:r>
          </w:p>
        </w:tc>
        <w:tc>
          <w:tcPr>
            <w:tcW w:w="2038" w:type="dxa"/>
            <w:tcBorders>
              <w:top w:val="single" w:color="auto" w:sz="6" w:space="0"/>
              <w:left w:val="single" w:color="auto" w:sz="6" w:space="0"/>
              <w:bottom w:val="single" w:color="auto" w:sz="6" w:space="0"/>
              <w:right w:val="single" w:color="auto" w:sz="6" w:space="0"/>
            </w:tcBorders>
            <w:noWrap w:val="0"/>
            <w:vAlign w:val="center"/>
          </w:tcPr>
          <w:p w14:paraId="2E5DC8C3">
            <w:pPr>
              <w:spacing w:line="320" w:lineRule="exact"/>
              <w:jc w:val="center"/>
              <w:rPr>
                <w:rFonts w:hint="eastAsia" w:ascii="宋体" w:hAnsi="宋体" w:eastAsia="宋体" w:cs="宋体"/>
                <w:b/>
                <w:color w:val="000000"/>
                <w:sz w:val="24"/>
                <w:highlight w:val="none"/>
                <w:lang w:val="zh-CN"/>
              </w:rPr>
            </w:pPr>
            <w:r>
              <w:rPr>
                <w:rFonts w:hint="eastAsia" w:ascii="宋体" w:hAnsi="宋体" w:eastAsia="宋体" w:cs="宋体"/>
                <w:b/>
                <w:color w:val="000000"/>
                <w:sz w:val="24"/>
                <w:highlight w:val="none"/>
                <w:lang w:val="zh-CN"/>
              </w:rPr>
              <w:t>名称</w:t>
            </w:r>
          </w:p>
        </w:tc>
        <w:tc>
          <w:tcPr>
            <w:tcW w:w="6522" w:type="dxa"/>
            <w:tcBorders>
              <w:top w:val="single" w:color="auto" w:sz="6" w:space="0"/>
              <w:left w:val="single" w:color="auto" w:sz="6" w:space="0"/>
              <w:bottom w:val="single" w:color="auto" w:sz="6" w:space="0"/>
              <w:right w:val="single" w:color="auto" w:sz="6" w:space="0"/>
            </w:tcBorders>
            <w:noWrap w:val="0"/>
            <w:vAlign w:val="center"/>
          </w:tcPr>
          <w:p w14:paraId="2D03483D">
            <w:pPr>
              <w:spacing w:line="32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lang w:val="zh-CN"/>
              </w:rPr>
              <w:t>内      容</w:t>
            </w:r>
          </w:p>
        </w:tc>
      </w:tr>
      <w:tr w14:paraId="3153C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1" w:type="dxa"/>
            <w:tcBorders>
              <w:top w:val="single" w:color="auto" w:sz="6" w:space="0"/>
              <w:left w:val="single" w:color="auto" w:sz="6" w:space="0"/>
              <w:bottom w:val="single" w:color="auto" w:sz="6" w:space="0"/>
              <w:right w:val="single" w:color="auto" w:sz="6" w:space="0"/>
            </w:tcBorders>
            <w:noWrap w:val="0"/>
            <w:vAlign w:val="center"/>
          </w:tcPr>
          <w:p w14:paraId="2D2F107E">
            <w:pPr>
              <w:spacing w:line="312" w:lineRule="auto"/>
              <w:jc w:val="center"/>
              <w:rPr>
                <w:rFonts w:hint="eastAsia" w:ascii="宋体" w:hAnsi="宋体" w:eastAsia="宋体" w:cs="宋体"/>
                <w:color w:val="000000"/>
                <w:sz w:val="24"/>
                <w:highlight w:val="none"/>
              </w:rPr>
            </w:pPr>
            <w:r>
              <w:rPr>
                <w:rFonts w:hint="eastAsia" w:ascii="宋体" w:hAnsi="宋体" w:cs="宋体"/>
                <w:color w:val="000000"/>
                <w:sz w:val="24"/>
                <w:highlight w:val="none"/>
              </w:rPr>
              <w:t>1</w:t>
            </w:r>
          </w:p>
        </w:tc>
        <w:tc>
          <w:tcPr>
            <w:tcW w:w="2038" w:type="dxa"/>
            <w:tcBorders>
              <w:top w:val="single" w:color="auto" w:sz="6" w:space="0"/>
              <w:left w:val="single" w:color="auto" w:sz="6" w:space="0"/>
              <w:bottom w:val="single" w:color="auto" w:sz="6" w:space="0"/>
              <w:right w:val="single" w:color="auto" w:sz="6" w:space="0"/>
            </w:tcBorders>
            <w:noWrap w:val="0"/>
            <w:vAlign w:val="center"/>
          </w:tcPr>
          <w:p w14:paraId="546B33B8">
            <w:pPr>
              <w:spacing w:line="312" w:lineRule="auto"/>
              <w:jc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采购人</w:t>
            </w:r>
          </w:p>
        </w:tc>
        <w:tc>
          <w:tcPr>
            <w:tcW w:w="6522" w:type="dxa"/>
            <w:tcBorders>
              <w:top w:val="single" w:color="auto" w:sz="6" w:space="0"/>
              <w:left w:val="single" w:color="auto" w:sz="6" w:space="0"/>
              <w:bottom w:val="single" w:color="auto" w:sz="6" w:space="0"/>
              <w:right w:val="single" w:color="auto" w:sz="6" w:space="0"/>
            </w:tcBorders>
            <w:noWrap w:val="0"/>
            <w:vAlign w:val="center"/>
          </w:tcPr>
          <w:p w14:paraId="4BAF55AC">
            <w:pPr>
              <w:spacing w:line="312" w:lineRule="auto"/>
              <w:jc w:val="both"/>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盱眙县盱城街道办事处</w:t>
            </w:r>
          </w:p>
        </w:tc>
      </w:tr>
      <w:tr w14:paraId="38C2A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1" w:type="dxa"/>
            <w:tcBorders>
              <w:top w:val="single" w:color="auto" w:sz="6" w:space="0"/>
              <w:left w:val="single" w:color="auto" w:sz="6" w:space="0"/>
              <w:bottom w:val="single" w:color="auto" w:sz="6" w:space="0"/>
              <w:right w:val="single" w:color="auto" w:sz="6" w:space="0"/>
            </w:tcBorders>
            <w:noWrap w:val="0"/>
            <w:vAlign w:val="center"/>
          </w:tcPr>
          <w:p w14:paraId="29B2BEBD">
            <w:pPr>
              <w:spacing w:line="312" w:lineRule="auto"/>
              <w:jc w:val="center"/>
              <w:rPr>
                <w:rFonts w:hint="eastAsia" w:ascii="宋体" w:hAnsi="宋体" w:eastAsia="宋体" w:cs="宋体"/>
                <w:color w:val="000000"/>
                <w:sz w:val="24"/>
                <w:highlight w:val="none"/>
              </w:rPr>
            </w:pPr>
            <w:r>
              <w:rPr>
                <w:rFonts w:hint="eastAsia" w:ascii="宋体" w:hAnsi="宋体" w:cs="宋体"/>
                <w:color w:val="000000"/>
                <w:sz w:val="24"/>
                <w:highlight w:val="none"/>
              </w:rPr>
              <w:t>2</w:t>
            </w:r>
          </w:p>
        </w:tc>
        <w:tc>
          <w:tcPr>
            <w:tcW w:w="2038" w:type="dxa"/>
            <w:tcBorders>
              <w:top w:val="single" w:color="auto" w:sz="6" w:space="0"/>
              <w:left w:val="single" w:color="auto" w:sz="6" w:space="0"/>
              <w:bottom w:val="single" w:color="auto" w:sz="6" w:space="0"/>
              <w:right w:val="single" w:color="auto" w:sz="6" w:space="0"/>
            </w:tcBorders>
            <w:noWrap w:val="0"/>
            <w:vAlign w:val="center"/>
          </w:tcPr>
          <w:p w14:paraId="0348B389">
            <w:pPr>
              <w:spacing w:line="312"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采购代理机构</w:t>
            </w:r>
          </w:p>
        </w:tc>
        <w:tc>
          <w:tcPr>
            <w:tcW w:w="6522" w:type="dxa"/>
            <w:tcBorders>
              <w:top w:val="single" w:color="auto" w:sz="6" w:space="0"/>
              <w:left w:val="single" w:color="auto" w:sz="6" w:space="0"/>
              <w:bottom w:val="single" w:color="auto" w:sz="6" w:space="0"/>
              <w:right w:val="single" w:color="auto" w:sz="6" w:space="0"/>
            </w:tcBorders>
            <w:noWrap w:val="0"/>
            <w:vAlign w:val="center"/>
          </w:tcPr>
          <w:p w14:paraId="00728EE3">
            <w:pPr>
              <w:spacing w:line="312" w:lineRule="auto"/>
              <w:jc w:val="both"/>
              <w:rPr>
                <w:rFonts w:hint="eastAsia" w:ascii="宋体" w:hAnsi="宋体" w:eastAsia="宋体" w:cs="宋体"/>
                <w:color w:val="000000"/>
                <w:sz w:val="24"/>
                <w:highlight w:val="none"/>
              </w:rPr>
            </w:pPr>
            <w:r>
              <w:rPr>
                <w:rFonts w:hint="eastAsia" w:ascii="宋体" w:hAnsi="宋体" w:cs="宋体"/>
                <w:color w:val="000000"/>
                <w:sz w:val="24"/>
                <w:highlight w:val="none"/>
                <w:lang w:eastAsia="zh-CN"/>
              </w:rPr>
              <w:t>淮安德誉工程项目管理有限公司</w:t>
            </w:r>
          </w:p>
        </w:tc>
      </w:tr>
      <w:tr w14:paraId="2ED86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1" w:type="dxa"/>
            <w:tcBorders>
              <w:top w:val="single" w:color="auto" w:sz="6" w:space="0"/>
              <w:left w:val="single" w:color="auto" w:sz="6" w:space="0"/>
              <w:bottom w:val="single" w:color="auto" w:sz="6" w:space="0"/>
              <w:right w:val="single" w:color="auto" w:sz="6" w:space="0"/>
            </w:tcBorders>
            <w:noWrap w:val="0"/>
            <w:vAlign w:val="center"/>
          </w:tcPr>
          <w:p w14:paraId="7834FF90">
            <w:pPr>
              <w:spacing w:line="312" w:lineRule="auto"/>
              <w:jc w:val="center"/>
              <w:rPr>
                <w:rFonts w:hint="eastAsia" w:ascii="宋体" w:hAnsi="宋体" w:eastAsia="宋体" w:cs="宋体"/>
                <w:color w:val="000000"/>
                <w:sz w:val="24"/>
                <w:highlight w:val="none"/>
              </w:rPr>
            </w:pPr>
            <w:r>
              <w:rPr>
                <w:rFonts w:hint="eastAsia" w:ascii="宋体" w:hAnsi="宋体" w:cs="宋体"/>
                <w:color w:val="000000"/>
                <w:sz w:val="24"/>
                <w:highlight w:val="none"/>
              </w:rPr>
              <w:t>3</w:t>
            </w:r>
          </w:p>
        </w:tc>
        <w:tc>
          <w:tcPr>
            <w:tcW w:w="2038" w:type="dxa"/>
            <w:tcBorders>
              <w:top w:val="single" w:color="auto" w:sz="6" w:space="0"/>
              <w:left w:val="single" w:color="auto" w:sz="6" w:space="0"/>
              <w:bottom w:val="single" w:color="auto" w:sz="6" w:space="0"/>
              <w:right w:val="single" w:color="auto" w:sz="6" w:space="0"/>
            </w:tcBorders>
            <w:noWrap w:val="0"/>
            <w:vAlign w:val="center"/>
          </w:tcPr>
          <w:p w14:paraId="06F2CA39">
            <w:pPr>
              <w:spacing w:line="312" w:lineRule="auto"/>
              <w:jc w:val="center"/>
              <w:rPr>
                <w:rFonts w:hint="eastAsia" w:ascii="宋体" w:hAnsi="宋体" w:eastAsia="宋体" w:cs="宋体"/>
                <w:color w:val="000000"/>
                <w:sz w:val="24"/>
                <w:highlight w:val="none"/>
              </w:rPr>
            </w:pPr>
            <w:bookmarkStart w:id="4" w:name="OLE_LINK8"/>
            <w:r>
              <w:rPr>
                <w:rFonts w:hint="eastAsia" w:ascii="宋体" w:hAnsi="宋体" w:eastAsia="宋体" w:cs="宋体"/>
                <w:color w:val="0000FF"/>
                <w:sz w:val="24"/>
                <w:highlight w:val="none"/>
                <w:lang w:eastAsia="zh-CN"/>
              </w:rPr>
              <w:t>项目编号</w:t>
            </w:r>
            <w:bookmarkEnd w:id="4"/>
          </w:p>
        </w:tc>
        <w:tc>
          <w:tcPr>
            <w:tcW w:w="6522" w:type="dxa"/>
            <w:tcBorders>
              <w:top w:val="single" w:color="auto" w:sz="6" w:space="0"/>
              <w:left w:val="single" w:color="auto" w:sz="6" w:space="0"/>
              <w:bottom w:val="single" w:color="auto" w:sz="6" w:space="0"/>
              <w:right w:val="single" w:color="auto" w:sz="6" w:space="0"/>
            </w:tcBorders>
            <w:noWrap w:val="0"/>
            <w:vAlign w:val="center"/>
          </w:tcPr>
          <w:p w14:paraId="2C82B460">
            <w:pPr>
              <w:spacing w:line="312" w:lineRule="auto"/>
              <w:jc w:val="both"/>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lang w:eastAsia="zh-CN"/>
              </w:rPr>
              <w:t>JSZC-320830-HADY-C2024-0015</w:t>
            </w:r>
          </w:p>
        </w:tc>
      </w:tr>
      <w:tr w14:paraId="2D6DC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1" w:type="dxa"/>
            <w:tcBorders>
              <w:top w:val="single" w:color="auto" w:sz="6" w:space="0"/>
              <w:left w:val="single" w:color="auto" w:sz="6" w:space="0"/>
              <w:bottom w:val="single" w:color="auto" w:sz="6" w:space="0"/>
              <w:right w:val="single" w:color="auto" w:sz="6" w:space="0"/>
            </w:tcBorders>
            <w:noWrap w:val="0"/>
            <w:vAlign w:val="center"/>
          </w:tcPr>
          <w:p w14:paraId="62E59ACF">
            <w:pPr>
              <w:spacing w:line="312" w:lineRule="auto"/>
              <w:jc w:val="center"/>
              <w:rPr>
                <w:rFonts w:hint="eastAsia" w:ascii="宋体" w:hAnsi="宋体" w:eastAsia="宋体" w:cs="宋体"/>
                <w:color w:val="000000"/>
                <w:sz w:val="24"/>
                <w:highlight w:val="none"/>
              </w:rPr>
            </w:pPr>
            <w:r>
              <w:rPr>
                <w:rFonts w:hint="eastAsia" w:ascii="宋体" w:hAnsi="宋体" w:cs="宋体"/>
                <w:color w:val="000000"/>
                <w:sz w:val="24"/>
                <w:highlight w:val="none"/>
              </w:rPr>
              <w:t>4</w:t>
            </w:r>
          </w:p>
        </w:tc>
        <w:tc>
          <w:tcPr>
            <w:tcW w:w="2038" w:type="dxa"/>
            <w:tcBorders>
              <w:top w:val="single" w:color="auto" w:sz="6" w:space="0"/>
              <w:left w:val="single" w:color="auto" w:sz="6" w:space="0"/>
              <w:bottom w:val="single" w:color="auto" w:sz="6" w:space="0"/>
              <w:right w:val="single" w:color="auto" w:sz="6" w:space="0"/>
            </w:tcBorders>
            <w:noWrap w:val="0"/>
            <w:vAlign w:val="center"/>
          </w:tcPr>
          <w:p w14:paraId="64DA1535">
            <w:pPr>
              <w:spacing w:line="312"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lang w:eastAsia="zh-CN"/>
              </w:rPr>
              <w:t>招标内容</w:t>
            </w:r>
          </w:p>
        </w:tc>
        <w:tc>
          <w:tcPr>
            <w:tcW w:w="6522" w:type="dxa"/>
            <w:tcBorders>
              <w:top w:val="single" w:color="auto" w:sz="6" w:space="0"/>
              <w:left w:val="single" w:color="auto" w:sz="6" w:space="0"/>
              <w:bottom w:val="single" w:color="auto" w:sz="6" w:space="0"/>
              <w:right w:val="single" w:color="auto" w:sz="6" w:space="0"/>
            </w:tcBorders>
            <w:noWrap w:val="0"/>
            <w:vAlign w:val="center"/>
          </w:tcPr>
          <w:p w14:paraId="7C36A6A8">
            <w:pPr>
              <w:keepNext w:val="0"/>
              <w:keepLines w:val="0"/>
              <w:widowControl/>
              <w:suppressLineNumbers w:val="0"/>
              <w:jc w:val="both"/>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施工监理服务，</w:t>
            </w:r>
            <w:r>
              <w:rPr>
                <w:rFonts w:hint="eastAsia" w:ascii="宋体" w:hAnsi="宋体" w:cs="宋体"/>
                <w:color w:val="000000"/>
                <w:sz w:val="24"/>
                <w:highlight w:val="none"/>
                <w:lang w:eastAsia="zh-CN"/>
              </w:rPr>
              <w:t>具体详见磋商文件第</w:t>
            </w:r>
            <w:r>
              <w:rPr>
                <w:rFonts w:hint="eastAsia" w:ascii="宋体" w:hAnsi="宋体" w:cs="宋体"/>
                <w:color w:val="000000"/>
                <w:sz w:val="24"/>
                <w:highlight w:val="none"/>
                <w:lang w:val="en-US" w:eastAsia="zh-CN"/>
              </w:rPr>
              <w:t>四</w:t>
            </w:r>
            <w:r>
              <w:rPr>
                <w:rFonts w:hint="eastAsia" w:ascii="宋体" w:hAnsi="宋体" w:cs="宋体"/>
                <w:color w:val="000000"/>
                <w:sz w:val="24"/>
                <w:highlight w:val="none"/>
                <w:lang w:eastAsia="zh-CN"/>
              </w:rPr>
              <w:t>章项目采购需求</w:t>
            </w:r>
          </w:p>
        </w:tc>
      </w:tr>
      <w:tr w14:paraId="53CC9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1" w:type="dxa"/>
            <w:tcBorders>
              <w:top w:val="single" w:color="auto" w:sz="6" w:space="0"/>
              <w:left w:val="single" w:color="auto" w:sz="6" w:space="0"/>
              <w:bottom w:val="single" w:color="auto" w:sz="6" w:space="0"/>
              <w:right w:val="single" w:color="auto" w:sz="6" w:space="0"/>
            </w:tcBorders>
            <w:noWrap w:val="0"/>
            <w:vAlign w:val="center"/>
          </w:tcPr>
          <w:p w14:paraId="3599B2CB">
            <w:pPr>
              <w:spacing w:line="312" w:lineRule="auto"/>
              <w:jc w:val="center"/>
              <w:rPr>
                <w:rFonts w:hint="eastAsia" w:ascii="宋体" w:hAnsi="宋体" w:eastAsia="宋体" w:cs="宋体"/>
                <w:color w:val="000000"/>
                <w:sz w:val="24"/>
                <w:highlight w:val="none"/>
              </w:rPr>
            </w:pPr>
            <w:r>
              <w:rPr>
                <w:rFonts w:hint="eastAsia" w:ascii="宋体" w:hAnsi="宋体" w:cs="宋体"/>
                <w:color w:val="000000"/>
                <w:sz w:val="24"/>
                <w:highlight w:val="none"/>
              </w:rPr>
              <w:t>5</w:t>
            </w:r>
          </w:p>
        </w:tc>
        <w:tc>
          <w:tcPr>
            <w:tcW w:w="2038" w:type="dxa"/>
            <w:tcBorders>
              <w:top w:val="single" w:color="auto" w:sz="6" w:space="0"/>
              <w:left w:val="single" w:color="auto" w:sz="6" w:space="0"/>
              <w:bottom w:val="single" w:color="auto" w:sz="6" w:space="0"/>
              <w:right w:val="single" w:color="auto" w:sz="6" w:space="0"/>
            </w:tcBorders>
            <w:noWrap w:val="0"/>
            <w:vAlign w:val="center"/>
          </w:tcPr>
          <w:p w14:paraId="35B16807">
            <w:pPr>
              <w:spacing w:line="312" w:lineRule="auto"/>
              <w:jc w:val="center"/>
              <w:rPr>
                <w:rFonts w:hint="eastAsia" w:ascii="宋体" w:hAnsi="宋体" w:eastAsia="宋体" w:cs="宋体"/>
                <w:color w:val="000000"/>
                <w:sz w:val="24"/>
                <w:highlight w:val="none"/>
              </w:rPr>
            </w:pPr>
            <w:r>
              <w:rPr>
                <w:rFonts w:hint="eastAsia" w:ascii="宋体" w:hAnsi="宋体" w:cs="宋体"/>
                <w:color w:val="000000"/>
                <w:sz w:val="24"/>
                <w:highlight w:val="none"/>
              </w:rPr>
              <w:t>采购预算价</w:t>
            </w:r>
          </w:p>
        </w:tc>
        <w:tc>
          <w:tcPr>
            <w:tcW w:w="6522" w:type="dxa"/>
            <w:tcBorders>
              <w:top w:val="single" w:color="auto" w:sz="6" w:space="0"/>
              <w:left w:val="single" w:color="auto" w:sz="6" w:space="0"/>
              <w:bottom w:val="single" w:color="auto" w:sz="6" w:space="0"/>
              <w:right w:val="single" w:color="auto" w:sz="6" w:space="0"/>
            </w:tcBorders>
            <w:noWrap w:val="0"/>
            <w:vAlign w:val="center"/>
          </w:tcPr>
          <w:p w14:paraId="19D8D334">
            <w:pPr>
              <w:spacing w:line="312" w:lineRule="auto"/>
              <w:jc w:val="both"/>
              <w:rPr>
                <w:rFonts w:hint="eastAsia" w:ascii="宋体" w:hAnsi="宋体" w:eastAsia="宋体" w:cs="宋体"/>
                <w:b/>
                <w:color w:val="000000"/>
                <w:sz w:val="24"/>
                <w:highlight w:val="none"/>
                <w:lang w:eastAsia="zh-CN"/>
              </w:rPr>
            </w:pPr>
            <w:bookmarkStart w:id="5" w:name="OLE_LINK1"/>
            <w:r>
              <w:rPr>
                <w:rFonts w:hint="eastAsia" w:asciiTheme="minorEastAsia" w:hAnsiTheme="minorEastAsia" w:eastAsiaTheme="minorEastAsia" w:cstheme="minorEastAsia"/>
                <w:color w:val="0000FF"/>
                <w:sz w:val="24"/>
                <w:lang w:val="en-US" w:eastAsia="zh-CN"/>
              </w:rPr>
              <w:t>69万元</w:t>
            </w:r>
            <w:bookmarkEnd w:id="5"/>
          </w:p>
        </w:tc>
      </w:tr>
      <w:tr w14:paraId="03778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1" w:type="dxa"/>
            <w:tcBorders>
              <w:top w:val="single" w:color="auto" w:sz="6" w:space="0"/>
              <w:left w:val="single" w:color="auto" w:sz="6" w:space="0"/>
              <w:bottom w:val="single" w:color="auto" w:sz="6" w:space="0"/>
              <w:right w:val="single" w:color="auto" w:sz="6" w:space="0"/>
            </w:tcBorders>
            <w:noWrap w:val="0"/>
            <w:vAlign w:val="center"/>
          </w:tcPr>
          <w:p w14:paraId="25CAD9A5">
            <w:pPr>
              <w:spacing w:line="312" w:lineRule="auto"/>
              <w:jc w:val="center"/>
              <w:rPr>
                <w:rFonts w:hint="eastAsia" w:ascii="宋体" w:hAnsi="宋体" w:eastAsia="宋体" w:cs="宋体"/>
                <w:color w:val="000000"/>
                <w:sz w:val="24"/>
                <w:highlight w:val="none"/>
              </w:rPr>
            </w:pPr>
            <w:r>
              <w:rPr>
                <w:rFonts w:hint="eastAsia" w:ascii="宋体" w:hAnsi="宋体" w:cs="宋体"/>
                <w:color w:val="000000"/>
                <w:sz w:val="24"/>
                <w:highlight w:val="none"/>
              </w:rPr>
              <w:t>6</w:t>
            </w:r>
          </w:p>
        </w:tc>
        <w:tc>
          <w:tcPr>
            <w:tcW w:w="2038" w:type="dxa"/>
            <w:tcBorders>
              <w:top w:val="single" w:color="auto" w:sz="6" w:space="0"/>
              <w:left w:val="single" w:color="auto" w:sz="6" w:space="0"/>
              <w:bottom w:val="single" w:color="auto" w:sz="6" w:space="0"/>
              <w:right w:val="single" w:color="auto" w:sz="6" w:space="0"/>
            </w:tcBorders>
            <w:noWrap w:val="0"/>
            <w:vAlign w:val="center"/>
          </w:tcPr>
          <w:p w14:paraId="0EAEE498">
            <w:pPr>
              <w:spacing w:line="312" w:lineRule="auto"/>
              <w:jc w:val="center"/>
              <w:rPr>
                <w:rFonts w:hint="eastAsia" w:ascii="宋体" w:hAnsi="宋体" w:eastAsia="宋体" w:cs="宋体"/>
                <w:color w:val="000000"/>
                <w:sz w:val="24"/>
                <w:highlight w:val="none"/>
              </w:rPr>
            </w:pPr>
            <w:r>
              <w:rPr>
                <w:rFonts w:hint="eastAsia" w:ascii="宋体" w:hAnsi="宋体" w:cs="宋体"/>
                <w:color w:val="000000"/>
                <w:sz w:val="24"/>
                <w:highlight w:val="none"/>
              </w:rPr>
              <w:t>投标有效期</w:t>
            </w:r>
          </w:p>
        </w:tc>
        <w:tc>
          <w:tcPr>
            <w:tcW w:w="6522" w:type="dxa"/>
            <w:tcBorders>
              <w:top w:val="single" w:color="auto" w:sz="6" w:space="0"/>
              <w:left w:val="single" w:color="auto" w:sz="6" w:space="0"/>
              <w:bottom w:val="single" w:color="auto" w:sz="6" w:space="0"/>
              <w:right w:val="single" w:color="auto" w:sz="6" w:space="0"/>
            </w:tcBorders>
            <w:noWrap w:val="0"/>
            <w:vAlign w:val="center"/>
          </w:tcPr>
          <w:p w14:paraId="2CB1B589">
            <w:pPr>
              <w:spacing w:line="312" w:lineRule="auto"/>
              <w:jc w:val="both"/>
              <w:rPr>
                <w:rFonts w:hint="eastAsia" w:ascii="宋体" w:hAnsi="宋体" w:eastAsia="宋体" w:cs="宋体"/>
                <w:color w:val="000000"/>
                <w:sz w:val="24"/>
                <w:highlight w:val="none"/>
              </w:rPr>
            </w:pPr>
            <w:r>
              <w:rPr>
                <w:rFonts w:hint="eastAsia" w:ascii="宋体" w:hAnsi="宋体" w:cs="宋体"/>
                <w:color w:val="000000"/>
                <w:sz w:val="24"/>
                <w:highlight w:val="none"/>
              </w:rPr>
              <w:t>九十日历天</w:t>
            </w:r>
          </w:p>
        </w:tc>
      </w:tr>
      <w:tr w14:paraId="51FFA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1" w:type="dxa"/>
            <w:tcBorders>
              <w:top w:val="single" w:color="auto" w:sz="6" w:space="0"/>
              <w:left w:val="single" w:color="auto" w:sz="6" w:space="0"/>
              <w:bottom w:val="single" w:color="auto" w:sz="6" w:space="0"/>
              <w:right w:val="single" w:color="auto" w:sz="6" w:space="0"/>
            </w:tcBorders>
            <w:noWrap w:val="0"/>
            <w:vAlign w:val="center"/>
          </w:tcPr>
          <w:p w14:paraId="51942A5A">
            <w:pPr>
              <w:spacing w:line="312" w:lineRule="auto"/>
              <w:jc w:val="center"/>
              <w:rPr>
                <w:rFonts w:hint="eastAsia" w:ascii="宋体" w:hAnsi="宋体" w:eastAsia="宋体" w:cs="宋体"/>
                <w:color w:val="000000"/>
                <w:sz w:val="24"/>
                <w:highlight w:val="none"/>
              </w:rPr>
            </w:pPr>
            <w:r>
              <w:rPr>
                <w:rFonts w:hint="eastAsia" w:ascii="宋体" w:hAnsi="宋体" w:cs="宋体"/>
                <w:color w:val="000000"/>
                <w:sz w:val="24"/>
                <w:highlight w:val="none"/>
              </w:rPr>
              <w:t>7</w:t>
            </w:r>
          </w:p>
        </w:tc>
        <w:tc>
          <w:tcPr>
            <w:tcW w:w="2038" w:type="dxa"/>
            <w:tcBorders>
              <w:top w:val="single" w:color="auto" w:sz="6" w:space="0"/>
              <w:left w:val="single" w:color="auto" w:sz="6" w:space="0"/>
              <w:bottom w:val="single" w:color="auto" w:sz="6" w:space="0"/>
              <w:right w:val="single" w:color="auto" w:sz="6" w:space="0"/>
            </w:tcBorders>
            <w:noWrap w:val="0"/>
            <w:vAlign w:val="center"/>
          </w:tcPr>
          <w:p w14:paraId="0E0D8A1E">
            <w:pPr>
              <w:keepNext w:val="0"/>
              <w:keepLines w:val="0"/>
              <w:widowControl/>
              <w:suppressLineNumbers w:val="0"/>
              <w:jc w:val="center"/>
              <w:rPr>
                <w:rFonts w:hint="eastAsia" w:ascii="宋体" w:hAnsi="宋体" w:eastAsia="宋体" w:cs="宋体"/>
                <w:color w:val="000000"/>
                <w:sz w:val="24"/>
                <w:highlight w:val="none"/>
              </w:rPr>
            </w:pPr>
            <w:r>
              <w:rPr>
                <w:rFonts w:hint="eastAsia" w:asciiTheme="minorEastAsia" w:hAnsiTheme="minorEastAsia" w:eastAsiaTheme="minorEastAsia" w:cstheme="minorEastAsia"/>
                <w:sz w:val="24"/>
              </w:rPr>
              <w:t>履约保证金</w:t>
            </w:r>
          </w:p>
        </w:tc>
        <w:tc>
          <w:tcPr>
            <w:tcW w:w="6522" w:type="dxa"/>
            <w:tcBorders>
              <w:top w:val="single" w:color="auto" w:sz="6" w:space="0"/>
              <w:left w:val="single" w:color="auto" w:sz="6" w:space="0"/>
              <w:bottom w:val="single" w:color="auto" w:sz="6" w:space="0"/>
              <w:right w:val="single" w:color="auto" w:sz="6" w:space="0"/>
            </w:tcBorders>
            <w:noWrap w:val="0"/>
            <w:vAlign w:val="center"/>
          </w:tcPr>
          <w:p w14:paraId="279ACF34">
            <w:pPr>
              <w:keepNext w:val="0"/>
              <w:keepLines w:val="0"/>
              <w:pageBreakBefore w:val="0"/>
              <w:widowControl w:val="0"/>
              <w:spacing w:line="400" w:lineRule="exact"/>
              <w:rPr>
                <w:rFonts w:hint="default" w:ascii="宋体" w:hAnsi="宋体" w:eastAsia="宋体" w:cs="宋体"/>
                <w:color w:val="000000"/>
                <w:sz w:val="24"/>
                <w:highlight w:val="none"/>
                <w:lang w:val="en-US"/>
              </w:rPr>
            </w:pPr>
            <w:r>
              <w:rPr>
                <w:rFonts w:hint="eastAsia" w:ascii="宋体" w:hAnsi="宋体" w:eastAsia="宋体" w:cs="宋体"/>
                <w:sz w:val="24"/>
                <w:lang w:eastAsia="zh-CN"/>
              </w:rPr>
              <w:t>乙方交纳人民币_________元作为本合同的履约保证金。（不得超过合同金额的1%）</w:t>
            </w:r>
          </w:p>
        </w:tc>
      </w:tr>
      <w:tr w14:paraId="1ADED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1" w:type="dxa"/>
            <w:tcBorders>
              <w:top w:val="single" w:color="auto" w:sz="6" w:space="0"/>
              <w:left w:val="single" w:color="auto" w:sz="6" w:space="0"/>
              <w:bottom w:val="single" w:color="auto" w:sz="6" w:space="0"/>
              <w:right w:val="single" w:color="auto" w:sz="6" w:space="0"/>
            </w:tcBorders>
            <w:noWrap w:val="0"/>
            <w:vAlign w:val="center"/>
          </w:tcPr>
          <w:p w14:paraId="37013A7C">
            <w:pPr>
              <w:spacing w:line="312" w:lineRule="auto"/>
              <w:jc w:val="center"/>
              <w:rPr>
                <w:rFonts w:hint="eastAsia" w:ascii="宋体" w:hAnsi="宋体" w:eastAsia="宋体" w:cs="宋体"/>
                <w:color w:val="000000"/>
                <w:sz w:val="24"/>
                <w:highlight w:val="none"/>
              </w:rPr>
            </w:pPr>
            <w:r>
              <w:rPr>
                <w:rFonts w:hint="eastAsia" w:ascii="宋体" w:hAnsi="宋体" w:cs="宋体"/>
                <w:color w:val="000000"/>
                <w:sz w:val="24"/>
                <w:highlight w:val="none"/>
              </w:rPr>
              <w:t>8</w:t>
            </w:r>
          </w:p>
        </w:tc>
        <w:tc>
          <w:tcPr>
            <w:tcW w:w="2038" w:type="dxa"/>
            <w:tcBorders>
              <w:top w:val="single" w:color="auto" w:sz="6" w:space="0"/>
              <w:left w:val="single" w:color="auto" w:sz="6" w:space="0"/>
              <w:bottom w:val="single" w:color="auto" w:sz="6" w:space="0"/>
              <w:right w:val="single" w:color="auto" w:sz="6" w:space="0"/>
            </w:tcBorders>
            <w:noWrap w:val="0"/>
            <w:vAlign w:val="center"/>
          </w:tcPr>
          <w:p w14:paraId="62E2078E">
            <w:pPr>
              <w:spacing w:line="312" w:lineRule="auto"/>
              <w:jc w:val="center"/>
              <w:rPr>
                <w:rFonts w:hint="eastAsia" w:ascii="宋体" w:hAnsi="宋体" w:eastAsia="宋体" w:cs="宋体"/>
                <w:color w:val="000000"/>
                <w:sz w:val="24"/>
                <w:highlight w:val="none"/>
              </w:rPr>
            </w:pPr>
            <w:r>
              <w:rPr>
                <w:rFonts w:hint="eastAsia" w:ascii="宋体" w:hAnsi="宋体" w:cs="宋体"/>
                <w:color w:val="000000"/>
                <w:sz w:val="24"/>
                <w:highlight w:val="none"/>
              </w:rPr>
              <w:t>磋商文件获取</w:t>
            </w:r>
          </w:p>
        </w:tc>
        <w:tc>
          <w:tcPr>
            <w:tcW w:w="6522" w:type="dxa"/>
            <w:tcBorders>
              <w:top w:val="single" w:color="auto" w:sz="6" w:space="0"/>
              <w:left w:val="single" w:color="auto" w:sz="6" w:space="0"/>
              <w:bottom w:val="single" w:color="auto" w:sz="6" w:space="0"/>
              <w:right w:val="single" w:color="auto" w:sz="6" w:space="0"/>
            </w:tcBorders>
            <w:noWrap w:val="0"/>
            <w:vAlign w:val="center"/>
          </w:tcPr>
          <w:p w14:paraId="3B480A0B">
            <w:pPr>
              <w:spacing w:line="276" w:lineRule="auto"/>
              <w:jc w:val="both"/>
              <w:rPr>
                <w:rFonts w:hint="eastAsia" w:ascii="宋体" w:hAnsi="宋体" w:eastAsia="宋体" w:cs="宋体"/>
                <w:color w:val="000000"/>
                <w:sz w:val="24"/>
                <w:highlight w:val="none"/>
              </w:rPr>
            </w:pPr>
            <w:r>
              <w:rPr>
                <w:rFonts w:hint="eastAsia" w:ascii="宋体" w:hAnsi="宋体" w:cs="宋体"/>
                <w:color w:val="000000"/>
                <w:sz w:val="24"/>
                <w:highlight w:val="none"/>
              </w:rPr>
              <w:t>供应商登陆江苏省政府采购网或者淮安市政府采购网，在网站首页点击“苏采云”→使用CA锁登录系统（新用户需进行“平台用户注册”）→“项目参与”进行登记，在“可参与项目”中选择“我要参与”，参与成功后到“已参与项目”界面中找到该项目下载文件并进行操作</w:t>
            </w:r>
          </w:p>
        </w:tc>
      </w:tr>
      <w:tr w14:paraId="69EE7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1" w:type="dxa"/>
            <w:tcBorders>
              <w:top w:val="single" w:color="auto" w:sz="6" w:space="0"/>
              <w:left w:val="single" w:color="auto" w:sz="6" w:space="0"/>
              <w:bottom w:val="single" w:color="auto" w:sz="6" w:space="0"/>
              <w:right w:val="single" w:color="auto" w:sz="6" w:space="0"/>
            </w:tcBorders>
            <w:noWrap w:val="0"/>
            <w:vAlign w:val="center"/>
          </w:tcPr>
          <w:p w14:paraId="17B1D2EC">
            <w:pPr>
              <w:spacing w:line="312" w:lineRule="auto"/>
              <w:jc w:val="center"/>
              <w:rPr>
                <w:rFonts w:hint="eastAsia" w:ascii="宋体" w:hAnsi="宋体" w:eastAsia="宋体" w:cs="宋体"/>
                <w:color w:val="000000"/>
                <w:sz w:val="24"/>
                <w:highlight w:val="none"/>
              </w:rPr>
            </w:pPr>
            <w:r>
              <w:rPr>
                <w:rFonts w:hint="eastAsia" w:ascii="宋体" w:hAnsi="宋体" w:cs="宋体"/>
                <w:color w:val="000000"/>
                <w:sz w:val="24"/>
                <w:highlight w:val="none"/>
              </w:rPr>
              <w:t>9</w:t>
            </w:r>
          </w:p>
        </w:tc>
        <w:tc>
          <w:tcPr>
            <w:tcW w:w="2038" w:type="dxa"/>
            <w:tcBorders>
              <w:top w:val="single" w:color="auto" w:sz="6" w:space="0"/>
              <w:left w:val="single" w:color="auto" w:sz="6" w:space="0"/>
              <w:bottom w:val="single" w:color="auto" w:sz="6" w:space="0"/>
              <w:right w:val="single" w:color="auto" w:sz="6" w:space="0"/>
            </w:tcBorders>
            <w:noWrap w:val="0"/>
            <w:vAlign w:val="center"/>
          </w:tcPr>
          <w:p w14:paraId="16A3F493">
            <w:pPr>
              <w:spacing w:line="312" w:lineRule="auto"/>
              <w:jc w:val="center"/>
              <w:rPr>
                <w:rFonts w:hint="eastAsia" w:ascii="宋体" w:hAnsi="宋体" w:eastAsia="宋体" w:cs="宋体"/>
                <w:color w:val="000000"/>
                <w:sz w:val="24"/>
                <w:highlight w:val="none"/>
              </w:rPr>
            </w:pPr>
            <w:r>
              <w:rPr>
                <w:rFonts w:hint="eastAsia" w:ascii="宋体" w:hAnsi="宋体" w:cs="宋体"/>
                <w:color w:val="000000"/>
                <w:sz w:val="24"/>
                <w:highlight w:val="none"/>
              </w:rPr>
              <w:t>响应文件份数</w:t>
            </w:r>
          </w:p>
        </w:tc>
        <w:tc>
          <w:tcPr>
            <w:tcW w:w="6522" w:type="dxa"/>
            <w:tcBorders>
              <w:top w:val="single" w:color="auto" w:sz="6" w:space="0"/>
              <w:left w:val="single" w:color="auto" w:sz="6" w:space="0"/>
              <w:bottom w:val="single" w:color="auto" w:sz="6" w:space="0"/>
              <w:right w:val="single" w:color="auto" w:sz="6" w:space="0"/>
            </w:tcBorders>
            <w:noWrap w:val="0"/>
            <w:vAlign w:val="center"/>
          </w:tcPr>
          <w:p w14:paraId="23B0E0C4">
            <w:pPr>
              <w:spacing w:line="312" w:lineRule="auto"/>
              <w:jc w:val="both"/>
              <w:rPr>
                <w:rFonts w:hint="eastAsia" w:ascii="宋体" w:hAnsi="宋体" w:eastAsia="宋体" w:cs="宋体"/>
                <w:color w:val="000000"/>
                <w:sz w:val="24"/>
                <w:highlight w:val="none"/>
              </w:rPr>
            </w:pPr>
            <w:r>
              <w:rPr>
                <w:rFonts w:hint="eastAsia" w:ascii="宋体" w:hAnsi="宋体" w:cs="宋体"/>
                <w:color w:val="000000"/>
                <w:sz w:val="24"/>
                <w:highlight w:val="none"/>
              </w:rPr>
              <w:t>供应商在规定的投标截止时间前在江苏省政府采购网或者淮安市政府采购网全程电子化交易平台中上传加密电子投标文件一份。</w:t>
            </w:r>
            <w:r>
              <w:rPr>
                <w:rFonts w:hint="eastAsia" w:ascii="宋体" w:hAnsi="宋体" w:eastAsia="宋体" w:cs="宋体"/>
                <w:color w:val="000000"/>
                <w:sz w:val="24"/>
                <w:highlight w:val="none"/>
              </w:rPr>
              <w:t>（成交供应商须在成交公告结束后提交三份纸质投标文件，纸质文件必须由未加密的电子投标文件直接打印，成交供应商在成功打印后再行装订，不得缺页、漏页。）</w:t>
            </w:r>
          </w:p>
        </w:tc>
      </w:tr>
      <w:tr w14:paraId="354A3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1" w:type="dxa"/>
            <w:tcBorders>
              <w:top w:val="single" w:color="auto" w:sz="6" w:space="0"/>
              <w:left w:val="single" w:color="auto" w:sz="6" w:space="0"/>
              <w:bottom w:val="single" w:color="auto" w:sz="6" w:space="0"/>
              <w:right w:val="single" w:color="auto" w:sz="6" w:space="0"/>
            </w:tcBorders>
            <w:noWrap w:val="0"/>
            <w:vAlign w:val="center"/>
          </w:tcPr>
          <w:p w14:paraId="486157DF">
            <w:pPr>
              <w:spacing w:line="312" w:lineRule="auto"/>
              <w:jc w:val="center"/>
              <w:rPr>
                <w:rFonts w:hint="eastAsia" w:ascii="宋体" w:hAnsi="宋体" w:eastAsia="宋体" w:cs="宋体"/>
                <w:color w:val="000000"/>
                <w:sz w:val="24"/>
                <w:highlight w:val="none"/>
              </w:rPr>
            </w:pPr>
            <w:r>
              <w:rPr>
                <w:rFonts w:hint="eastAsia" w:ascii="宋体" w:hAnsi="宋体" w:cs="宋体"/>
                <w:color w:val="000000"/>
                <w:sz w:val="24"/>
                <w:highlight w:val="none"/>
              </w:rPr>
              <w:t>10</w:t>
            </w:r>
          </w:p>
        </w:tc>
        <w:tc>
          <w:tcPr>
            <w:tcW w:w="2038" w:type="dxa"/>
            <w:tcBorders>
              <w:top w:val="single" w:color="auto" w:sz="6" w:space="0"/>
              <w:left w:val="single" w:color="auto" w:sz="6" w:space="0"/>
              <w:bottom w:val="single" w:color="auto" w:sz="6" w:space="0"/>
              <w:right w:val="single" w:color="auto" w:sz="6" w:space="0"/>
            </w:tcBorders>
            <w:noWrap w:val="0"/>
            <w:vAlign w:val="center"/>
          </w:tcPr>
          <w:p w14:paraId="034732D4">
            <w:pPr>
              <w:spacing w:line="312" w:lineRule="auto"/>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开标时间</w:t>
            </w:r>
          </w:p>
        </w:tc>
        <w:tc>
          <w:tcPr>
            <w:tcW w:w="6522" w:type="dxa"/>
            <w:tcBorders>
              <w:top w:val="single" w:color="auto" w:sz="6" w:space="0"/>
              <w:left w:val="single" w:color="auto" w:sz="6" w:space="0"/>
              <w:bottom w:val="single" w:color="auto" w:sz="6" w:space="0"/>
              <w:right w:val="single" w:color="auto" w:sz="6" w:space="0"/>
            </w:tcBorders>
            <w:noWrap w:val="0"/>
            <w:vAlign w:val="center"/>
          </w:tcPr>
          <w:p w14:paraId="4FED47D3">
            <w:pPr>
              <w:spacing w:line="312" w:lineRule="auto"/>
              <w:jc w:val="both"/>
              <w:rPr>
                <w:rFonts w:hint="eastAsia" w:ascii="宋体" w:hAnsi="宋体" w:cs="宋体"/>
                <w:b/>
                <w:color w:val="000000"/>
                <w:sz w:val="24"/>
                <w:highlight w:val="none"/>
              </w:rPr>
            </w:pPr>
            <w:bookmarkStart w:id="6" w:name="OLE_LINK2"/>
            <w:r>
              <w:rPr>
                <w:rFonts w:hint="eastAsia" w:ascii="宋体" w:hAnsi="宋体" w:eastAsia="宋体" w:cs="宋体"/>
                <w:b/>
                <w:bCs w:val="0"/>
                <w:color w:val="333333"/>
                <w:sz w:val="24"/>
                <w:highlight w:val="none"/>
                <w:shd w:val="clear" w:color="auto" w:fill="FFFFFF"/>
              </w:rPr>
              <w:t>2024年</w:t>
            </w:r>
            <w:r>
              <w:rPr>
                <w:rFonts w:hint="eastAsia" w:ascii="宋体" w:hAnsi="宋体" w:cs="宋体"/>
                <w:b/>
                <w:bCs w:val="0"/>
                <w:color w:val="333333"/>
                <w:sz w:val="24"/>
                <w:highlight w:val="none"/>
                <w:shd w:val="clear" w:color="auto" w:fill="FFFFFF"/>
                <w:lang w:val="en-US" w:eastAsia="zh-CN"/>
              </w:rPr>
              <w:t>9</w:t>
            </w:r>
            <w:r>
              <w:rPr>
                <w:rFonts w:hint="eastAsia" w:ascii="宋体" w:hAnsi="宋体" w:eastAsia="宋体" w:cs="宋体"/>
                <w:b/>
                <w:bCs w:val="0"/>
                <w:color w:val="333333"/>
                <w:sz w:val="24"/>
                <w:highlight w:val="none"/>
                <w:shd w:val="clear" w:color="auto" w:fill="FFFFFF"/>
              </w:rPr>
              <w:t>月</w:t>
            </w:r>
            <w:r>
              <w:rPr>
                <w:rFonts w:hint="eastAsia" w:ascii="宋体" w:hAnsi="宋体" w:cs="宋体"/>
                <w:b/>
                <w:bCs w:val="0"/>
                <w:color w:val="333333"/>
                <w:sz w:val="24"/>
                <w:highlight w:val="none"/>
                <w:shd w:val="clear" w:color="auto" w:fill="FFFFFF"/>
                <w:lang w:val="en-US" w:eastAsia="zh-CN"/>
              </w:rPr>
              <w:t>29日</w:t>
            </w:r>
            <w:r>
              <w:rPr>
                <w:rFonts w:hint="eastAsia" w:ascii="宋体" w:hAnsi="宋体" w:eastAsia="宋体" w:cs="宋体"/>
                <w:b/>
                <w:bCs w:val="0"/>
                <w:color w:val="333333"/>
                <w:sz w:val="24"/>
                <w:highlight w:val="none"/>
                <w:shd w:val="clear" w:color="auto" w:fill="FFFFFF"/>
              </w:rPr>
              <w:t>09点00分</w:t>
            </w:r>
            <w:r>
              <w:rPr>
                <w:rFonts w:hint="eastAsia" w:ascii="宋体" w:hAnsi="宋体" w:cs="宋体"/>
                <w:b/>
                <w:color w:val="000000"/>
                <w:sz w:val="24"/>
                <w:highlight w:val="none"/>
              </w:rPr>
              <w:t>（北京时间）</w:t>
            </w:r>
          </w:p>
          <w:p w14:paraId="23DBA2BA">
            <w:pPr>
              <w:spacing w:line="312" w:lineRule="auto"/>
              <w:jc w:val="both"/>
              <w:rPr>
                <w:rFonts w:hint="eastAsia" w:ascii="宋体" w:hAnsi="宋体" w:cs="宋体"/>
                <w:b/>
                <w:color w:val="000000"/>
                <w:sz w:val="24"/>
                <w:highlight w:val="none"/>
              </w:rPr>
            </w:pPr>
            <w:r>
              <w:rPr>
                <w:rFonts w:hint="eastAsia" w:ascii="宋体" w:hAnsi="宋体" w:cs="宋体"/>
                <w:color w:val="0000FF"/>
                <w:sz w:val="24"/>
                <w:highlight w:val="none"/>
                <w:lang w:val="en-US" w:eastAsia="zh-CN"/>
              </w:rPr>
              <w:t>淮安市公共资源交易中心盱眙分中心</w:t>
            </w:r>
            <w:bookmarkEnd w:id="6"/>
            <w:r>
              <w:rPr>
                <w:rFonts w:hint="eastAsia" w:ascii="宋体" w:hAnsi="宋体" w:cs="宋体"/>
                <w:color w:val="0000FF"/>
                <w:sz w:val="24"/>
                <w:highlight w:val="none"/>
                <w:lang w:val="en-US" w:eastAsia="zh-CN"/>
              </w:rPr>
              <w:t>（江苏省政府采购一体化不见面开标（采购）大厅）</w:t>
            </w:r>
          </w:p>
        </w:tc>
      </w:tr>
      <w:tr w14:paraId="490D9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1" w:type="dxa"/>
            <w:tcBorders>
              <w:top w:val="single" w:color="auto" w:sz="6" w:space="0"/>
              <w:left w:val="single" w:color="auto" w:sz="6" w:space="0"/>
              <w:bottom w:val="single" w:color="auto" w:sz="6" w:space="0"/>
              <w:right w:val="single" w:color="auto" w:sz="6" w:space="0"/>
            </w:tcBorders>
            <w:noWrap w:val="0"/>
            <w:vAlign w:val="center"/>
          </w:tcPr>
          <w:p w14:paraId="3A528A76">
            <w:pPr>
              <w:spacing w:line="312" w:lineRule="auto"/>
              <w:jc w:val="center"/>
              <w:rPr>
                <w:rFonts w:hint="eastAsia" w:ascii="宋体" w:hAnsi="宋体" w:eastAsia="宋体" w:cs="宋体"/>
                <w:color w:val="000000"/>
                <w:sz w:val="24"/>
                <w:highlight w:val="none"/>
              </w:rPr>
            </w:pPr>
            <w:r>
              <w:rPr>
                <w:rFonts w:hint="eastAsia" w:ascii="宋体" w:hAnsi="宋体" w:cs="宋体"/>
                <w:color w:val="000000"/>
                <w:sz w:val="24"/>
                <w:highlight w:val="none"/>
              </w:rPr>
              <w:t>11</w:t>
            </w:r>
          </w:p>
        </w:tc>
        <w:tc>
          <w:tcPr>
            <w:tcW w:w="2038" w:type="dxa"/>
            <w:tcBorders>
              <w:top w:val="single" w:color="auto" w:sz="6" w:space="0"/>
              <w:left w:val="single" w:color="auto" w:sz="6" w:space="0"/>
              <w:bottom w:val="single" w:color="auto" w:sz="6" w:space="0"/>
              <w:right w:val="single" w:color="auto" w:sz="6" w:space="0"/>
            </w:tcBorders>
            <w:noWrap w:val="0"/>
            <w:vAlign w:val="center"/>
          </w:tcPr>
          <w:p w14:paraId="1D2E4EBF">
            <w:pPr>
              <w:spacing w:line="312" w:lineRule="auto"/>
              <w:jc w:val="center"/>
              <w:rPr>
                <w:rFonts w:hint="eastAsia" w:ascii="宋体" w:hAnsi="宋体" w:eastAsia="宋体" w:cs="宋体"/>
                <w:color w:val="000000"/>
                <w:sz w:val="24"/>
                <w:highlight w:val="none"/>
              </w:rPr>
            </w:pPr>
            <w:r>
              <w:rPr>
                <w:rFonts w:hint="eastAsia" w:ascii="宋体" w:hAnsi="宋体" w:cs="宋体"/>
                <w:color w:val="000000"/>
                <w:sz w:val="24"/>
                <w:highlight w:val="none"/>
              </w:rPr>
              <w:t>代理服务费</w:t>
            </w:r>
          </w:p>
        </w:tc>
        <w:tc>
          <w:tcPr>
            <w:tcW w:w="6522" w:type="dxa"/>
            <w:tcBorders>
              <w:top w:val="single" w:color="auto" w:sz="6" w:space="0"/>
              <w:left w:val="single" w:color="auto" w:sz="6" w:space="0"/>
              <w:bottom w:val="single" w:color="auto" w:sz="6" w:space="0"/>
              <w:right w:val="single" w:color="auto" w:sz="6" w:space="0"/>
            </w:tcBorders>
            <w:noWrap w:val="0"/>
            <w:vAlign w:val="center"/>
          </w:tcPr>
          <w:p w14:paraId="278FFD3C">
            <w:pPr>
              <w:spacing w:line="312" w:lineRule="auto"/>
              <w:jc w:val="both"/>
              <w:rPr>
                <w:rFonts w:hint="eastAsia" w:ascii="宋体" w:hAnsi="宋体" w:eastAsia="宋体" w:cs="宋体"/>
                <w:color w:val="000000"/>
                <w:sz w:val="24"/>
                <w:highlight w:val="none"/>
              </w:rPr>
            </w:pPr>
            <w:bookmarkStart w:id="7" w:name="OLE_LINK3"/>
            <w:bookmarkStart w:id="8" w:name="OLE_LINK4"/>
            <w:r>
              <w:rPr>
                <w:rFonts w:hint="eastAsia" w:ascii="宋体" w:hAnsi="宋体" w:cs="宋体"/>
                <w:color w:val="0000FF"/>
                <w:sz w:val="24"/>
                <w:highlight w:val="none"/>
              </w:rPr>
              <w:t>本次采购项目代理费</w:t>
            </w:r>
            <w:r>
              <w:rPr>
                <w:rFonts w:hint="eastAsia" w:ascii="宋体" w:hAnsi="宋体" w:cs="宋体"/>
                <w:color w:val="0000FF"/>
                <w:sz w:val="24"/>
                <w:highlight w:val="none"/>
                <w:lang w:val="en-US" w:eastAsia="zh-CN"/>
              </w:rPr>
              <w:t>按</w:t>
            </w:r>
            <w:r>
              <w:rPr>
                <w:rFonts w:hint="eastAsia" w:ascii="宋体" w:hAnsi="宋体" w:cs="宋体"/>
                <w:color w:val="0000FF"/>
                <w:sz w:val="24"/>
                <w:highlight w:val="none"/>
              </w:rPr>
              <w:t>计价格[2002]1980号文</w:t>
            </w:r>
            <w:r>
              <w:rPr>
                <w:rFonts w:hint="eastAsia" w:ascii="宋体" w:hAnsi="宋体" w:cs="宋体"/>
                <w:color w:val="0000FF"/>
                <w:sz w:val="24"/>
                <w:highlight w:val="none"/>
                <w:lang w:val="en-US" w:eastAsia="zh-CN"/>
              </w:rPr>
              <w:t>的收费标准收取</w:t>
            </w:r>
            <w:bookmarkEnd w:id="7"/>
            <w:r>
              <w:rPr>
                <w:rFonts w:hint="eastAsia" w:ascii="宋体" w:hAnsi="宋体" w:cs="宋体"/>
                <w:color w:val="0000FF"/>
                <w:sz w:val="24"/>
                <w:highlight w:val="none"/>
              </w:rPr>
              <w:t>。</w:t>
            </w:r>
            <w:bookmarkEnd w:id="8"/>
            <w:r>
              <w:rPr>
                <w:rFonts w:hint="eastAsia" w:ascii="宋体" w:hAnsi="宋体" w:cs="宋体"/>
                <w:color w:val="0000FF"/>
                <w:sz w:val="24"/>
                <w:highlight w:val="none"/>
                <w:lang w:val="en-US" w:eastAsia="zh-CN"/>
              </w:rPr>
              <w:t>成交供应商</w:t>
            </w:r>
            <w:r>
              <w:rPr>
                <w:rFonts w:hint="eastAsia" w:ascii="宋体" w:hAnsi="宋体" w:cs="宋体"/>
                <w:color w:val="0000FF"/>
                <w:sz w:val="24"/>
                <w:highlight w:val="none"/>
              </w:rPr>
              <w:t>必须在中标通知书发出前向</w:t>
            </w:r>
            <w:r>
              <w:rPr>
                <w:rFonts w:hint="eastAsia" w:ascii="宋体" w:hAnsi="宋体" w:cs="宋体"/>
                <w:color w:val="0000FF"/>
                <w:sz w:val="24"/>
                <w:highlight w:val="none"/>
                <w:lang w:eastAsia="zh-CN"/>
              </w:rPr>
              <w:t>淮安德誉工程项目管理有限公司</w:t>
            </w:r>
            <w:r>
              <w:rPr>
                <w:rFonts w:hint="eastAsia" w:ascii="宋体" w:hAnsi="宋体" w:eastAsia="宋体" w:cs="宋体"/>
                <w:color w:val="0000FF"/>
                <w:sz w:val="24"/>
                <w:highlight w:val="none"/>
              </w:rPr>
              <w:t>缴纳招标代理费</w:t>
            </w:r>
            <w:r>
              <w:rPr>
                <w:rFonts w:hint="eastAsia" w:ascii="宋体" w:hAnsi="宋体" w:eastAsia="宋体" w:cs="宋体"/>
                <w:color w:val="0000FF"/>
                <w:sz w:val="24"/>
                <w:highlight w:val="none"/>
                <w:lang w:eastAsia="zh-CN"/>
              </w:rPr>
              <w:t>。因此供应商在报价时须将代理服务费用等包含在响应报价中，但无需单独列项计取</w:t>
            </w:r>
          </w:p>
        </w:tc>
      </w:tr>
      <w:tr w14:paraId="03CDC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1" w:type="dxa"/>
            <w:tcBorders>
              <w:top w:val="single" w:color="auto" w:sz="6" w:space="0"/>
              <w:left w:val="single" w:color="auto" w:sz="6" w:space="0"/>
              <w:bottom w:val="single" w:color="auto" w:sz="6" w:space="0"/>
              <w:right w:val="single" w:color="auto" w:sz="6" w:space="0"/>
            </w:tcBorders>
            <w:noWrap w:val="0"/>
            <w:vAlign w:val="center"/>
          </w:tcPr>
          <w:p w14:paraId="257E6639">
            <w:pPr>
              <w:spacing w:line="312" w:lineRule="auto"/>
              <w:jc w:val="center"/>
              <w:rPr>
                <w:rFonts w:hint="eastAsia" w:ascii="宋体" w:hAnsi="宋体" w:eastAsia="宋体" w:cs="宋体"/>
                <w:color w:val="000000"/>
                <w:sz w:val="24"/>
                <w:highlight w:val="none"/>
              </w:rPr>
            </w:pPr>
            <w:r>
              <w:rPr>
                <w:rFonts w:hint="eastAsia" w:ascii="宋体" w:hAnsi="宋体" w:cs="宋体"/>
                <w:color w:val="000000"/>
                <w:sz w:val="24"/>
                <w:highlight w:val="none"/>
              </w:rPr>
              <w:t>13</w:t>
            </w:r>
          </w:p>
        </w:tc>
        <w:tc>
          <w:tcPr>
            <w:tcW w:w="2038" w:type="dxa"/>
            <w:tcBorders>
              <w:top w:val="single" w:color="auto" w:sz="6" w:space="0"/>
              <w:left w:val="single" w:color="auto" w:sz="6" w:space="0"/>
              <w:bottom w:val="single" w:color="auto" w:sz="6" w:space="0"/>
              <w:right w:val="single" w:color="auto" w:sz="6" w:space="0"/>
            </w:tcBorders>
            <w:noWrap w:val="0"/>
            <w:vAlign w:val="center"/>
          </w:tcPr>
          <w:p w14:paraId="4BFCE983">
            <w:pPr>
              <w:spacing w:line="312" w:lineRule="auto"/>
              <w:jc w:val="center"/>
              <w:rPr>
                <w:rFonts w:hint="eastAsia" w:ascii="宋体" w:hAnsi="宋体" w:eastAsia="宋体" w:cs="宋体"/>
                <w:color w:val="000000"/>
                <w:sz w:val="24"/>
                <w:highlight w:val="none"/>
              </w:rPr>
            </w:pPr>
            <w:r>
              <w:rPr>
                <w:rFonts w:hint="eastAsia" w:ascii="宋体" w:hAnsi="宋体" w:cs="宋体"/>
                <w:color w:val="000000"/>
                <w:sz w:val="24"/>
                <w:highlight w:val="none"/>
              </w:rPr>
              <w:t>中标通知书领取</w:t>
            </w:r>
          </w:p>
        </w:tc>
        <w:tc>
          <w:tcPr>
            <w:tcW w:w="6522" w:type="dxa"/>
            <w:tcBorders>
              <w:top w:val="single" w:color="auto" w:sz="6" w:space="0"/>
              <w:left w:val="single" w:color="auto" w:sz="6" w:space="0"/>
              <w:bottom w:val="single" w:color="auto" w:sz="6" w:space="0"/>
              <w:right w:val="single" w:color="auto" w:sz="6" w:space="0"/>
            </w:tcBorders>
            <w:noWrap w:val="0"/>
            <w:vAlign w:val="center"/>
          </w:tcPr>
          <w:p w14:paraId="41FE821C">
            <w:pPr>
              <w:spacing w:line="312" w:lineRule="auto"/>
              <w:jc w:val="both"/>
              <w:rPr>
                <w:rFonts w:hint="eastAsia" w:ascii="宋体" w:hAnsi="宋体" w:eastAsia="宋体" w:cs="宋体"/>
                <w:color w:val="000000"/>
                <w:sz w:val="24"/>
                <w:highlight w:val="none"/>
              </w:rPr>
            </w:pPr>
            <w:r>
              <w:rPr>
                <w:rFonts w:hint="eastAsia" w:ascii="宋体" w:hAnsi="宋体" w:cs="宋体"/>
                <w:color w:val="000000"/>
                <w:sz w:val="24"/>
              </w:rPr>
              <w:t>代理机构</w:t>
            </w:r>
            <w:r>
              <w:rPr>
                <w:rFonts w:hint="eastAsia" w:ascii="宋体" w:hAnsi="宋体" w:cs="宋体"/>
                <w:color w:val="000000"/>
                <w:sz w:val="24"/>
                <w:lang w:val="en-US" w:eastAsia="zh-CN"/>
              </w:rPr>
              <w:t>处</w:t>
            </w:r>
            <w:r>
              <w:rPr>
                <w:rFonts w:hint="eastAsia" w:ascii="宋体" w:hAnsi="宋体" w:cs="宋体"/>
                <w:color w:val="000000"/>
                <w:sz w:val="24"/>
              </w:rPr>
              <w:t>领取</w:t>
            </w:r>
          </w:p>
        </w:tc>
      </w:tr>
      <w:tr w14:paraId="54C59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1" w:type="dxa"/>
            <w:tcBorders>
              <w:top w:val="single" w:color="auto" w:sz="6" w:space="0"/>
              <w:left w:val="single" w:color="auto" w:sz="6" w:space="0"/>
              <w:bottom w:val="single" w:color="auto" w:sz="6" w:space="0"/>
              <w:right w:val="single" w:color="auto" w:sz="6" w:space="0"/>
            </w:tcBorders>
            <w:noWrap w:val="0"/>
            <w:vAlign w:val="center"/>
          </w:tcPr>
          <w:p w14:paraId="53E904C5">
            <w:pPr>
              <w:spacing w:line="312" w:lineRule="auto"/>
              <w:jc w:val="center"/>
              <w:rPr>
                <w:rFonts w:hint="eastAsia" w:ascii="宋体" w:hAnsi="宋体" w:eastAsia="宋体" w:cs="宋体"/>
                <w:color w:val="000000"/>
                <w:sz w:val="24"/>
                <w:highlight w:val="none"/>
              </w:rPr>
            </w:pPr>
            <w:r>
              <w:rPr>
                <w:rFonts w:hint="eastAsia" w:ascii="宋体" w:hAnsi="宋体" w:cs="宋体"/>
                <w:color w:val="000000"/>
                <w:sz w:val="24"/>
                <w:highlight w:val="none"/>
              </w:rPr>
              <w:t>14</w:t>
            </w:r>
          </w:p>
        </w:tc>
        <w:tc>
          <w:tcPr>
            <w:tcW w:w="2038" w:type="dxa"/>
            <w:tcBorders>
              <w:top w:val="single" w:color="auto" w:sz="6" w:space="0"/>
              <w:left w:val="single" w:color="auto" w:sz="6" w:space="0"/>
              <w:bottom w:val="single" w:color="auto" w:sz="6" w:space="0"/>
              <w:right w:val="single" w:color="auto" w:sz="6" w:space="0"/>
            </w:tcBorders>
            <w:noWrap w:val="0"/>
            <w:vAlign w:val="center"/>
          </w:tcPr>
          <w:p w14:paraId="05847BBA">
            <w:pPr>
              <w:spacing w:line="312" w:lineRule="auto"/>
              <w:jc w:val="center"/>
              <w:rPr>
                <w:rFonts w:hint="eastAsia" w:ascii="宋体" w:hAnsi="宋体" w:eastAsia="宋体" w:cs="宋体"/>
                <w:color w:val="000000"/>
                <w:sz w:val="24"/>
                <w:highlight w:val="none"/>
              </w:rPr>
            </w:pPr>
            <w:r>
              <w:rPr>
                <w:rFonts w:hint="eastAsia" w:ascii="宋体" w:hAnsi="宋体" w:cs="宋体"/>
                <w:color w:val="000000"/>
                <w:sz w:val="24"/>
                <w:highlight w:val="none"/>
              </w:rPr>
              <w:t>资质要求</w:t>
            </w:r>
          </w:p>
        </w:tc>
        <w:tc>
          <w:tcPr>
            <w:tcW w:w="6522" w:type="dxa"/>
            <w:tcBorders>
              <w:top w:val="single" w:color="auto" w:sz="6" w:space="0"/>
              <w:left w:val="single" w:color="auto" w:sz="6" w:space="0"/>
              <w:bottom w:val="single" w:color="auto" w:sz="6" w:space="0"/>
              <w:right w:val="single" w:color="auto" w:sz="6" w:space="0"/>
            </w:tcBorders>
            <w:noWrap w:val="0"/>
            <w:vAlign w:val="center"/>
          </w:tcPr>
          <w:p w14:paraId="4B212DB3">
            <w:pPr>
              <w:spacing w:line="312" w:lineRule="auto"/>
              <w:jc w:val="both"/>
              <w:rPr>
                <w:rFonts w:hint="eastAsia" w:ascii="宋体" w:hAnsi="宋体" w:eastAsia="宋体" w:cs="宋体"/>
                <w:color w:val="000000"/>
                <w:sz w:val="24"/>
                <w:highlight w:val="none"/>
              </w:rPr>
            </w:pPr>
            <w:r>
              <w:rPr>
                <w:rFonts w:hint="eastAsia" w:ascii="宋体" w:hAnsi="宋体" w:cs="宋体"/>
                <w:color w:val="000000"/>
                <w:sz w:val="24"/>
                <w:highlight w:val="none"/>
              </w:rPr>
              <w:t>详见采购公告要求</w:t>
            </w:r>
          </w:p>
        </w:tc>
      </w:tr>
      <w:tr w14:paraId="011C4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751" w:type="dxa"/>
            <w:tcBorders>
              <w:top w:val="single" w:color="auto" w:sz="6" w:space="0"/>
              <w:left w:val="single" w:color="auto" w:sz="6" w:space="0"/>
              <w:bottom w:val="single" w:color="auto" w:sz="6" w:space="0"/>
              <w:right w:val="single" w:color="auto" w:sz="6" w:space="0"/>
            </w:tcBorders>
            <w:noWrap w:val="0"/>
            <w:vAlign w:val="center"/>
          </w:tcPr>
          <w:p w14:paraId="64C48361">
            <w:pPr>
              <w:keepNext w:val="0"/>
              <w:keepLines w:val="0"/>
              <w:pageBreakBefore w:val="0"/>
              <w:spacing w:line="240" w:lineRule="auto"/>
              <w:jc w:val="center"/>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14</w:t>
            </w:r>
          </w:p>
        </w:tc>
        <w:tc>
          <w:tcPr>
            <w:tcW w:w="2038" w:type="dxa"/>
            <w:tcBorders>
              <w:top w:val="single" w:color="auto" w:sz="6" w:space="0"/>
              <w:left w:val="single" w:color="auto" w:sz="6" w:space="0"/>
              <w:bottom w:val="single" w:color="auto" w:sz="6" w:space="0"/>
              <w:right w:val="single" w:color="auto" w:sz="6" w:space="0"/>
            </w:tcBorders>
            <w:noWrap w:val="0"/>
            <w:vAlign w:val="center"/>
          </w:tcPr>
          <w:p w14:paraId="743B432E">
            <w:pPr>
              <w:keepNext w:val="0"/>
              <w:keepLines w:val="0"/>
              <w:pageBreakBefore w:val="0"/>
              <w:spacing w:line="240" w:lineRule="auto"/>
              <w:jc w:val="center"/>
              <w:rPr>
                <w:rFonts w:hint="eastAsia" w:ascii="宋体" w:hAnsi="宋体" w:eastAsia="宋体" w:cs="宋体"/>
                <w:color w:val="000000"/>
                <w:sz w:val="24"/>
                <w:highlight w:val="none"/>
              </w:rPr>
            </w:pPr>
            <w:r>
              <w:rPr>
                <w:rFonts w:hint="eastAsia" w:ascii="宋体" w:hAnsi="宋体" w:cs="宋体"/>
                <w:color w:val="000000"/>
                <w:sz w:val="24"/>
                <w:highlight w:val="none"/>
              </w:rPr>
              <w:t>评标方法</w:t>
            </w:r>
          </w:p>
        </w:tc>
        <w:tc>
          <w:tcPr>
            <w:tcW w:w="6522" w:type="dxa"/>
            <w:tcBorders>
              <w:top w:val="single" w:color="auto" w:sz="6" w:space="0"/>
              <w:left w:val="single" w:color="auto" w:sz="6" w:space="0"/>
              <w:bottom w:val="single" w:color="auto" w:sz="6" w:space="0"/>
              <w:right w:val="single" w:color="auto" w:sz="6" w:space="0"/>
            </w:tcBorders>
            <w:noWrap w:val="0"/>
            <w:vAlign w:val="center"/>
          </w:tcPr>
          <w:p w14:paraId="559BA88D">
            <w:pPr>
              <w:keepNext w:val="0"/>
              <w:keepLines w:val="0"/>
              <w:pageBreakBefore w:val="0"/>
              <w:spacing w:line="240" w:lineRule="auto"/>
              <w:jc w:val="left"/>
              <w:rPr>
                <w:rFonts w:hint="eastAsia" w:ascii="宋体" w:hAnsi="宋体" w:eastAsia="宋体" w:cs="宋体"/>
                <w:color w:val="000000"/>
                <w:sz w:val="24"/>
                <w:highlight w:val="none"/>
              </w:rPr>
            </w:pPr>
            <w:r>
              <w:rPr>
                <w:rFonts w:hint="eastAsia" w:ascii="宋体" w:hAnsi="宋体" w:cs="宋体"/>
                <w:color w:val="000000"/>
                <w:sz w:val="24"/>
                <w:highlight w:val="none"/>
              </w:rPr>
              <w:t>综合评</w:t>
            </w:r>
            <w:r>
              <w:rPr>
                <w:rFonts w:hint="eastAsia" w:ascii="宋体" w:hAnsi="宋体" w:cs="宋体"/>
                <w:color w:val="000000"/>
                <w:sz w:val="24"/>
                <w:highlight w:val="none"/>
                <w:lang w:val="en-US" w:eastAsia="zh-CN"/>
              </w:rPr>
              <w:t>分</w:t>
            </w:r>
            <w:r>
              <w:rPr>
                <w:rFonts w:hint="eastAsia" w:ascii="宋体" w:hAnsi="宋体" w:cs="宋体"/>
                <w:color w:val="000000"/>
                <w:sz w:val="24"/>
                <w:highlight w:val="none"/>
              </w:rPr>
              <w:t>法</w:t>
            </w:r>
          </w:p>
        </w:tc>
      </w:tr>
    </w:tbl>
    <w:p w14:paraId="4316D9AC">
      <w:pPr>
        <w:widowControl/>
        <w:spacing w:after="100" w:afterAutospacing="1" w:line="360" w:lineRule="exact"/>
        <w:jc w:val="both"/>
        <w:outlineLvl w:val="0"/>
        <w:rPr>
          <w:rFonts w:hint="eastAsia" w:ascii="宋体" w:hAnsi="宋体" w:eastAsia="宋体" w:cs="宋体"/>
          <w:b/>
          <w:color w:val="000000"/>
          <w:sz w:val="30"/>
          <w:szCs w:val="30"/>
          <w:highlight w:val="none"/>
        </w:rPr>
        <w:sectPr>
          <w:footerReference r:id="rId3" w:type="default"/>
          <w:pgSz w:w="11906" w:h="16838" w:orient="landscape"/>
          <w:pgMar w:top="1440" w:right="1474" w:bottom="1440" w:left="1474" w:header="851" w:footer="992" w:gutter="0"/>
          <w:pgNumType w:start="1"/>
          <w:cols w:space="720" w:num="1"/>
        </w:sectPr>
      </w:pPr>
    </w:p>
    <w:p w14:paraId="656D093D">
      <w:pPr>
        <w:widowControl/>
        <w:spacing w:after="100" w:afterAutospacing="1" w:line="360" w:lineRule="exact"/>
        <w:jc w:val="center"/>
        <w:outlineLvl w:val="0"/>
        <w:rPr>
          <w:rFonts w:hint="eastAsia" w:ascii="宋体" w:hAnsi="宋体" w:eastAsia="宋体" w:cs="宋体"/>
          <w:b/>
          <w:bCs/>
          <w:sz w:val="24"/>
        </w:rPr>
      </w:pPr>
      <w:r>
        <w:rPr>
          <w:rFonts w:hint="eastAsia" w:ascii="宋体" w:hAnsi="宋体" w:eastAsia="宋体" w:cs="宋体"/>
          <w:b/>
          <w:color w:val="000000"/>
          <w:sz w:val="30"/>
          <w:szCs w:val="30"/>
          <w:highlight w:val="none"/>
        </w:rPr>
        <w:t>第一章  磋商邀请</w:t>
      </w:r>
    </w:p>
    <w:tbl>
      <w:tblPr>
        <w:tblStyle w:val="37"/>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0"/>
      </w:tblGrid>
      <w:tr w14:paraId="0D557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40" w:type="dxa"/>
          </w:tcPr>
          <w:p w14:paraId="3E231C99">
            <w:pPr>
              <w:pStyle w:val="33"/>
              <w:keepNext w:val="0"/>
              <w:keepLines w:val="0"/>
              <w:widowControl/>
              <w:suppressLineNumbers w:val="0"/>
              <w:pBdr>
                <w:left w:val="none" w:color="auto" w:sz="0" w:space="0"/>
              </w:pBdr>
              <w:shd w:val="clear" w:fill="FFFFFF"/>
              <w:spacing w:before="0" w:beforeAutospacing="0" w:after="210" w:afterAutospacing="0"/>
              <w:ind w:left="0" w:firstLine="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项目概况</w:t>
            </w:r>
          </w:p>
          <w:p w14:paraId="4AA6A474">
            <w:pPr>
              <w:pStyle w:val="33"/>
              <w:keepNext w:val="0"/>
              <w:keepLines w:val="0"/>
              <w:widowControl/>
              <w:suppressLineNumbers w:val="0"/>
              <w:pBdr>
                <w:left w:val="none" w:color="auto" w:sz="0" w:space="0"/>
              </w:pBdr>
              <w:shd w:val="clear" w:fill="FFFFFF"/>
              <w:spacing w:before="0" w:beforeAutospacing="0" w:after="210" w:afterAutospacing="0"/>
              <w:ind w:left="0" w:firstLine="0"/>
              <w:rPr>
                <w:rFonts w:hint="eastAsia" w:ascii="宋体" w:hAnsi="宋体" w:eastAsia="宋体" w:cs="宋体"/>
                <w:sz w:val="24"/>
                <w:szCs w:val="24"/>
                <w:vertAlign w:val="baseline"/>
                <w:lang w:val="en-US" w:eastAsia="zh-CN" w:bidi="ar-SA"/>
              </w:rPr>
            </w:pPr>
            <w:r>
              <w:rPr>
                <w:rFonts w:hint="eastAsia" w:ascii="宋体" w:hAnsi="宋体" w:eastAsia="宋体" w:cs="宋体"/>
                <w:sz w:val="24"/>
                <w:szCs w:val="24"/>
                <w:lang w:val="en-US" w:eastAsia="zh-CN" w:bidi="ar-SA"/>
              </w:rPr>
              <w:t>盱城街道石牛社区农产品批发市场建设项目监理 JSZC-320830-HADY-C2024-0015采购项目的潜在供应商应在江苏省政府采购网或淮安市政府采购网获取采购文件，并于2024-09-29  09:00 （北京时间）前提交响应文件。</w:t>
            </w:r>
          </w:p>
        </w:tc>
      </w:tr>
    </w:tbl>
    <w:p w14:paraId="02FD75E4">
      <w:pPr>
        <w:keepNext w:val="0"/>
        <w:keepLines w:val="0"/>
        <w:pageBreakBefore w:val="0"/>
        <w:widowControl w:val="0"/>
        <w:spacing w:line="400" w:lineRule="exact"/>
        <w:ind w:firstLine="482"/>
        <w:rPr>
          <w:rFonts w:hint="eastAsia" w:ascii="宋体" w:hAnsi="宋体" w:eastAsia="宋体" w:cs="宋体"/>
          <w:b/>
          <w:bCs/>
          <w:sz w:val="24"/>
        </w:rPr>
      </w:pPr>
      <w:r>
        <w:rPr>
          <w:rFonts w:hint="eastAsia" w:ascii="宋体" w:hAnsi="宋体" w:eastAsia="宋体" w:cs="宋体"/>
          <w:b/>
          <w:bCs/>
          <w:sz w:val="24"/>
        </w:rPr>
        <w:t>一、项目基本情况</w:t>
      </w:r>
    </w:p>
    <w:p w14:paraId="7D02F0A0">
      <w:pPr>
        <w:keepNext w:val="0"/>
        <w:keepLines w:val="0"/>
        <w:pageBreakBefore w:val="0"/>
        <w:widowControl w:val="0"/>
        <w:spacing w:line="400" w:lineRule="exact"/>
        <w:ind w:firstLine="480"/>
        <w:rPr>
          <w:rFonts w:hint="default" w:ascii="宋体" w:hAnsi="宋体" w:eastAsia="宋体" w:cs="宋体"/>
          <w:sz w:val="24"/>
          <w:highlight w:val="yellow"/>
          <w:lang w:val="en-US" w:eastAsia="zh-CN"/>
        </w:rPr>
      </w:pPr>
      <w:r>
        <w:rPr>
          <w:rFonts w:hint="eastAsia" w:ascii="宋体" w:hAnsi="宋体" w:eastAsia="宋体" w:cs="宋体"/>
          <w:sz w:val="24"/>
          <w:highlight w:val="none"/>
        </w:rPr>
        <w:t>项目编</w:t>
      </w:r>
      <w:r>
        <w:rPr>
          <w:rFonts w:hint="eastAsia" w:ascii="宋体" w:hAnsi="宋体" w:cs="宋体"/>
          <w:sz w:val="24"/>
          <w:highlight w:val="none"/>
          <w:lang w:eastAsia="zh-CN"/>
        </w:rPr>
        <w:t>号：</w:t>
      </w:r>
      <w:r>
        <w:rPr>
          <w:rFonts w:hint="eastAsia" w:ascii="宋体" w:hAnsi="宋体" w:eastAsia="宋体" w:cs="宋体"/>
          <w:sz w:val="24"/>
          <w:highlight w:val="none"/>
          <w:lang w:eastAsia="zh-CN"/>
        </w:rPr>
        <w:t>JSZC-320830-HADY-C2024-0015</w:t>
      </w:r>
      <w:r>
        <w:rPr>
          <w:rFonts w:hint="eastAsia" w:ascii="宋体" w:hAnsi="宋体" w:cs="宋体"/>
          <w:sz w:val="24"/>
          <w:lang w:val="en-US" w:eastAsia="zh-CN"/>
        </w:rPr>
        <w:t xml:space="preserve"> </w:t>
      </w:r>
    </w:p>
    <w:p w14:paraId="230DF7C6">
      <w:pPr>
        <w:keepNext w:val="0"/>
        <w:keepLines w:val="0"/>
        <w:pageBreakBefore w:val="0"/>
        <w:widowControl w:val="0"/>
        <w:spacing w:line="400" w:lineRule="exact"/>
        <w:ind w:firstLine="480"/>
        <w:rPr>
          <w:rFonts w:hint="eastAsia" w:ascii="宋体" w:hAnsi="宋体" w:eastAsia="宋体" w:cs="宋体"/>
          <w:bCs/>
          <w:sz w:val="24"/>
        </w:rPr>
      </w:pPr>
      <w:r>
        <w:rPr>
          <w:rFonts w:hint="eastAsia" w:ascii="宋体" w:hAnsi="宋体" w:eastAsia="宋体" w:cs="宋体"/>
          <w:sz w:val="24"/>
        </w:rPr>
        <w:t>项目名称</w:t>
      </w:r>
      <w:r>
        <w:rPr>
          <w:rFonts w:hint="eastAsia" w:ascii="宋体" w:hAnsi="宋体" w:eastAsia="宋体" w:cs="宋体"/>
          <w:bCs/>
          <w:sz w:val="24"/>
          <w:lang w:eastAsia="zh-CN"/>
        </w:rPr>
        <w:t>：</w:t>
      </w:r>
      <w:r>
        <w:rPr>
          <w:rFonts w:hint="eastAsia" w:ascii="宋体" w:hAnsi="宋体" w:cs="宋体"/>
          <w:sz w:val="24"/>
          <w:lang w:eastAsia="zh-CN"/>
        </w:rPr>
        <w:t>盱城街道石牛</w:t>
      </w:r>
      <w:bookmarkStart w:id="9" w:name="OLE_LINK25"/>
      <w:r>
        <w:rPr>
          <w:rFonts w:hint="eastAsia" w:ascii="宋体" w:hAnsi="宋体" w:cs="宋体"/>
          <w:sz w:val="24"/>
          <w:lang w:eastAsia="zh-CN"/>
        </w:rPr>
        <w:t>社区农产品批发市场建设项目监理</w:t>
      </w:r>
      <w:bookmarkEnd w:id="9"/>
      <w:r>
        <w:rPr>
          <w:rFonts w:hint="eastAsia" w:ascii="宋体" w:hAnsi="宋体" w:eastAsia="宋体" w:cs="宋体"/>
          <w:sz w:val="24"/>
        </w:rPr>
        <w:t xml:space="preserve">  </w:t>
      </w:r>
      <w:r>
        <w:rPr>
          <w:rFonts w:hint="eastAsia" w:ascii="宋体" w:hAnsi="宋体" w:eastAsia="宋体" w:cs="宋体"/>
          <w:bCs/>
          <w:sz w:val="24"/>
        </w:rPr>
        <w:t xml:space="preserve"> </w:t>
      </w:r>
    </w:p>
    <w:p w14:paraId="2D60BA3A">
      <w:pPr>
        <w:keepNext w:val="0"/>
        <w:keepLines w:val="0"/>
        <w:pageBreakBefore w:val="0"/>
        <w:widowControl w:val="0"/>
        <w:spacing w:line="400" w:lineRule="exact"/>
        <w:ind w:firstLine="480"/>
        <w:rPr>
          <w:rFonts w:hint="eastAsia" w:ascii="宋体" w:hAnsi="宋体" w:cs="宋体"/>
          <w:sz w:val="24"/>
          <w:lang w:eastAsia="zh-CN"/>
        </w:rPr>
      </w:pPr>
      <w:r>
        <w:rPr>
          <w:rFonts w:hint="eastAsia" w:ascii="宋体" w:hAnsi="宋体" w:eastAsia="宋体" w:cs="宋体"/>
          <w:bCs/>
          <w:sz w:val="24"/>
        </w:rPr>
        <w:t>采购方式</w:t>
      </w:r>
      <w:r>
        <w:rPr>
          <w:rFonts w:hint="eastAsia" w:ascii="宋体" w:hAnsi="宋体" w:eastAsia="宋体" w:cs="宋体"/>
          <w:bCs/>
          <w:sz w:val="24"/>
          <w:lang w:eastAsia="zh-CN"/>
        </w:rPr>
        <w:t>：</w:t>
      </w:r>
      <w:r>
        <w:rPr>
          <w:rFonts w:hint="eastAsia" w:ascii="宋体" w:hAnsi="宋体" w:eastAsia="宋体" w:cs="宋体"/>
          <w:bCs/>
          <w:sz w:val="24"/>
        </w:rPr>
        <w:t>竞争性磋商</w:t>
      </w:r>
    </w:p>
    <w:p w14:paraId="4C45FADD">
      <w:pPr>
        <w:keepNext w:val="0"/>
        <w:keepLines w:val="0"/>
        <w:pageBreakBefore w:val="0"/>
        <w:widowControl w:val="0"/>
        <w:spacing w:line="400" w:lineRule="exact"/>
        <w:ind w:firstLine="480"/>
        <w:rPr>
          <w:rFonts w:hint="eastAsia" w:ascii="宋体" w:hAnsi="宋体" w:eastAsia="宋体" w:cs="宋体"/>
          <w:color w:val="FF0000"/>
          <w:sz w:val="24"/>
        </w:rPr>
      </w:pPr>
      <w:r>
        <w:rPr>
          <w:rFonts w:hint="eastAsia" w:ascii="宋体" w:hAnsi="宋体" w:eastAsia="宋体" w:cs="宋体"/>
          <w:sz w:val="24"/>
        </w:rPr>
        <w:t>预算金额</w:t>
      </w:r>
      <w:r>
        <w:rPr>
          <w:rFonts w:hint="eastAsia" w:ascii="宋体" w:hAnsi="宋体" w:eastAsia="宋体" w:cs="宋体"/>
          <w:bCs/>
          <w:sz w:val="24"/>
          <w:lang w:eastAsia="zh-CN"/>
        </w:rPr>
        <w:t>：</w:t>
      </w:r>
      <w:r>
        <w:rPr>
          <w:rFonts w:hint="eastAsia" w:ascii="宋体" w:hAnsi="宋体" w:cs="宋体"/>
          <w:color w:val="FF0000"/>
          <w:sz w:val="24"/>
          <w:lang w:val="en-US" w:eastAsia="zh-CN"/>
        </w:rPr>
        <w:t>69万元</w:t>
      </w:r>
      <w:r>
        <w:rPr>
          <w:rFonts w:hint="eastAsia" w:ascii="宋体" w:hAnsi="宋体" w:eastAsia="宋体" w:cs="宋体"/>
          <w:color w:val="FF0000"/>
          <w:sz w:val="24"/>
        </w:rPr>
        <w:t>；</w:t>
      </w:r>
    </w:p>
    <w:p w14:paraId="40FC8628">
      <w:pPr>
        <w:keepNext w:val="0"/>
        <w:keepLines w:val="0"/>
        <w:pageBreakBefore w:val="0"/>
        <w:widowControl w:val="0"/>
        <w:spacing w:line="400" w:lineRule="exact"/>
        <w:ind w:firstLine="480"/>
        <w:rPr>
          <w:rFonts w:hint="eastAsia" w:ascii="宋体" w:hAnsi="宋体" w:eastAsia="宋体" w:cs="宋体"/>
          <w:sz w:val="24"/>
        </w:rPr>
      </w:pPr>
      <w:r>
        <w:rPr>
          <w:rFonts w:hint="eastAsia" w:ascii="宋体" w:hAnsi="宋体" w:eastAsia="宋体" w:cs="宋体"/>
          <w:color w:val="FF0000"/>
          <w:sz w:val="24"/>
        </w:rPr>
        <w:t>最高限价</w:t>
      </w:r>
      <w:r>
        <w:rPr>
          <w:rFonts w:hint="eastAsia" w:ascii="宋体" w:hAnsi="宋体" w:eastAsia="宋体" w:cs="宋体"/>
          <w:bCs/>
          <w:color w:val="FF0000"/>
          <w:sz w:val="24"/>
          <w:lang w:eastAsia="zh-CN"/>
        </w:rPr>
        <w:t>：</w:t>
      </w:r>
      <w:r>
        <w:rPr>
          <w:rFonts w:hint="eastAsia" w:ascii="宋体" w:hAnsi="宋体" w:cs="宋体"/>
          <w:color w:val="FF0000"/>
          <w:sz w:val="24"/>
          <w:lang w:val="en-US" w:eastAsia="zh-CN"/>
        </w:rPr>
        <w:t>69万元</w:t>
      </w:r>
      <w:r>
        <w:rPr>
          <w:rFonts w:hint="eastAsia" w:ascii="宋体" w:hAnsi="宋体" w:eastAsia="宋体" w:cs="宋体"/>
          <w:color w:val="FF0000"/>
          <w:sz w:val="24"/>
        </w:rPr>
        <w:t>；</w:t>
      </w:r>
    </w:p>
    <w:p w14:paraId="4F1B7492">
      <w:pPr>
        <w:keepNext w:val="0"/>
        <w:keepLines w:val="0"/>
        <w:pageBreakBefore w:val="0"/>
        <w:widowControl w:val="0"/>
        <w:spacing w:line="400" w:lineRule="exact"/>
        <w:ind w:firstLine="480"/>
        <w:rPr>
          <w:rFonts w:hint="eastAsia" w:ascii="宋体" w:hAnsi="宋体" w:eastAsia="宋体" w:cs="宋体"/>
          <w:sz w:val="24"/>
        </w:rPr>
      </w:pPr>
      <w:r>
        <w:rPr>
          <w:rFonts w:hint="eastAsia" w:ascii="宋体" w:hAnsi="宋体" w:eastAsia="宋体" w:cs="宋体"/>
          <w:sz w:val="24"/>
        </w:rPr>
        <w:t>项目简要说明：</w:t>
      </w:r>
      <w:r>
        <w:rPr>
          <w:rFonts w:hint="eastAsia" w:ascii="宋体" w:hAnsi="宋体" w:eastAsia="宋体" w:cs="宋体"/>
          <w:sz w:val="24"/>
          <w:lang w:val="en-US" w:eastAsia="zh-CN"/>
        </w:rPr>
        <w:t>施工监理服务，</w:t>
      </w:r>
      <w:r>
        <w:rPr>
          <w:rFonts w:hint="eastAsia" w:ascii="宋体" w:hAnsi="宋体" w:eastAsia="宋体" w:cs="宋体"/>
          <w:sz w:val="24"/>
        </w:rPr>
        <w:t>具体详见磋商文件第</w:t>
      </w:r>
      <w:r>
        <w:rPr>
          <w:rFonts w:hint="eastAsia" w:ascii="宋体" w:hAnsi="宋体" w:eastAsia="宋体" w:cs="宋体"/>
          <w:sz w:val="24"/>
          <w:lang w:val="en-US" w:eastAsia="zh-CN"/>
        </w:rPr>
        <w:t>四</w:t>
      </w:r>
      <w:r>
        <w:rPr>
          <w:rFonts w:hint="eastAsia" w:ascii="宋体" w:hAnsi="宋体" w:eastAsia="宋体" w:cs="宋体"/>
          <w:sz w:val="24"/>
        </w:rPr>
        <w:t>章项目采购需求；</w:t>
      </w:r>
    </w:p>
    <w:p w14:paraId="5FB2E142">
      <w:pPr>
        <w:keepNext w:val="0"/>
        <w:keepLines w:val="0"/>
        <w:pageBreakBefore w:val="0"/>
        <w:widowControl w:val="0"/>
        <w:spacing w:line="400" w:lineRule="exact"/>
        <w:ind w:firstLine="480"/>
        <w:rPr>
          <w:rFonts w:hint="eastAsia" w:ascii="宋体" w:hAnsi="宋体" w:eastAsia="宋体" w:cs="宋体"/>
          <w:color w:val="FF0000"/>
          <w:sz w:val="24"/>
          <w:lang w:eastAsia="zh-CN"/>
        </w:rPr>
      </w:pPr>
      <w:bookmarkStart w:id="10" w:name="OLE_LINK9"/>
      <w:r>
        <w:rPr>
          <w:rFonts w:hint="eastAsia" w:ascii="宋体" w:hAnsi="宋体" w:eastAsia="宋体" w:cs="宋体"/>
          <w:sz w:val="24"/>
        </w:rPr>
        <w:t>合同履行期限</w:t>
      </w:r>
      <w:bookmarkEnd w:id="10"/>
      <w:r>
        <w:rPr>
          <w:rFonts w:hint="eastAsia" w:ascii="宋体" w:hAnsi="宋体" w:eastAsia="宋体" w:cs="宋体"/>
          <w:sz w:val="24"/>
          <w:lang w:eastAsia="zh-CN"/>
        </w:rPr>
        <w:t>：</w:t>
      </w:r>
      <w:r>
        <w:rPr>
          <w:rFonts w:hint="eastAsia" w:ascii="宋体" w:hAnsi="宋体" w:eastAsia="宋体" w:cs="宋体"/>
          <w:color w:val="0000FF"/>
          <w:sz w:val="24"/>
        </w:rPr>
        <w:t>计划施工工期</w:t>
      </w:r>
      <w:r>
        <w:rPr>
          <w:rFonts w:hint="eastAsia" w:ascii="宋体" w:hAnsi="宋体" w:cs="宋体"/>
          <w:color w:val="0000FF"/>
          <w:sz w:val="24"/>
          <w:lang w:val="en-US" w:eastAsia="zh-CN"/>
        </w:rPr>
        <w:t>300</w:t>
      </w:r>
      <w:r>
        <w:rPr>
          <w:rFonts w:hint="eastAsia" w:ascii="宋体" w:hAnsi="宋体" w:eastAsia="宋体" w:cs="宋体"/>
          <w:color w:val="0000FF"/>
          <w:sz w:val="24"/>
        </w:rPr>
        <w:t>日</w:t>
      </w:r>
      <w:bookmarkStart w:id="11" w:name="OLE_LINK21"/>
      <w:r>
        <w:rPr>
          <w:rFonts w:hint="eastAsia" w:ascii="宋体" w:hAnsi="宋体" w:eastAsia="宋体" w:cs="宋体"/>
          <w:color w:val="0000FF"/>
          <w:sz w:val="24"/>
        </w:rPr>
        <w:t>历天；监理服务期包括施工阶段、缺陷责任阶段，施工阶段监理服务期与施工</w:t>
      </w:r>
      <w:bookmarkEnd w:id="11"/>
      <w:r>
        <w:rPr>
          <w:rFonts w:hint="eastAsia" w:ascii="宋体" w:hAnsi="宋体" w:eastAsia="宋体" w:cs="宋体"/>
          <w:color w:val="0000FF"/>
          <w:sz w:val="24"/>
        </w:rPr>
        <w:t>工期同步，缺陷责任阶段监理服务期（即保修期）为自工程竣工验收合格后12个月</w:t>
      </w:r>
      <w:r>
        <w:rPr>
          <w:rFonts w:hint="eastAsia" w:ascii="宋体" w:hAnsi="宋体" w:cs="宋体"/>
          <w:color w:val="0000FF"/>
          <w:sz w:val="24"/>
          <w:lang w:eastAsia="zh-CN"/>
        </w:rPr>
        <w:t>，</w:t>
      </w:r>
      <w:r>
        <w:rPr>
          <w:rFonts w:hint="eastAsia" w:ascii="宋体" w:hAnsi="宋体" w:eastAsia="宋体" w:cs="宋体"/>
          <w:color w:val="FF0000"/>
          <w:sz w:val="24"/>
        </w:rPr>
        <w:t>监理服务期延长不增加监理费用。</w:t>
      </w:r>
    </w:p>
    <w:p w14:paraId="7ADFF037">
      <w:pPr>
        <w:keepNext w:val="0"/>
        <w:keepLines w:val="0"/>
        <w:pageBreakBefore w:val="0"/>
        <w:widowControl w:val="0"/>
        <w:spacing w:line="400" w:lineRule="exact"/>
        <w:ind w:firstLine="480"/>
        <w:rPr>
          <w:rFonts w:hint="eastAsia" w:ascii="宋体" w:hAnsi="宋体" w:eastAsia="宋体" w:cs="宋体"/>
          <w:color w:val="0000FF"/>
          <w:sz w:val="24"/>
        </w:rPr>
      </w:pPr>
      <w:r>
        <w:rPr>
          <w:rFonts w:hint="eastAsia" w:ascii="宋体" w:hAnsi="宋体" w:eastAsia="宋体" w:cs="宋体"/>
          <w:color w:val="0000FF"/>
          <w:sz w:val="24"/>
        </w:rPr>
        <w:t>本项目</w:t>
      </w:r>
      <w:r>
        <w:rPr>
          <w:rFonts w:hint="eastAsia" w:ascii="宋体" w:hAnsi="宋体" w:eastAsia="宋体" w:cs="宋体"/>
          <w:color w:val="0000FF"/>
          <w:sz w:val="24"/>
          <w:lang w:val="en-US" w:eastAsia="zh-CN"/>
        </w:rPr>
        <w:t>不</w:t>
      </w:r>
      <w:r>
        <w:rPr>
          <w:rFonts w:hint="eastAsia" w:ascii="宋体" w:hAnsi="宋体" w:eastAsia="宋体" w:cs="宋体"/>
          <w:color w:val="0000FF"/>
          <w:sz w:val="24"/>
        </w:rPr>
        <w:t>接受联合体投标。</w:t>
      </w:r>
    </w:p>
    <w:p w14:paraId="2F51E4CB">
      <w:pPr>
        <w:keepNext w:val="0"/>
        <w:keepLines w:val="0"/>
        <w:pageBreakBefore w:val="0"/>
        <w:widowControl w:val="0"/>
        <w:spacing w:line="400" w:lineRule="exact"/>
        <w:ind w:firstLine="482"/>
        <w:rPr>
          <w:rFonts w:hint="eastAsia" w:ascii="宋体" w:hAnsi="宋体" w:eastAsia="宋体" w:cs="宋体"/>
          <w:b/>
          <w:sz w:val="24"/>
        </w:rPr>
      </w:pPr>
      <w:r>
        <w:rPr>
          <w:rFonts w:hint="eastAsia" w:ascii="宋体" w:hAnsi="宋体" w:eastAsia="宋体" w:cs="宋体"/>
          <w:b/>
          <w:sz w:val="24"/>
        </w:rPr>
        <w:t>二、申请人的资格要求</w:t>
      </w:r>
      <w:r>
        <w:rPr>
          <w:rFonts w:hint="eastAsia" w:ascii="宋体" w:hAnsi="宋体" w:eastAsia="宋体" w:cs="宋体"/>
          <w:b/>
          <w:sz w:val="24"/>
          <w:lang w:eastAsia="zh-CN"/>
        </w:rPr>
        <w:t>：</w:t>
      </w:r>
    </w:p>
    <w:p w14:paraId="22F558A5">
      <w:pPr>
        <w:keepNext w:val="0"/>
        <w:keepLines w:val="0"/>
        <w:pageBreakBefore w:val="0"/>
        <w:widowControl w:val="0"/>
        <w:spacing w:line="400" w:lineRule="exact"/>
        <w:ind w:firstLine="480"/>
        <w:rPr>
          <w:rFonts w:hint="eastAsia" w:ascii="宋体" w:hAnsi="宋体" w:cs="宋体"/>
          <w:sz w:val="24"/>
          <w:lang w:eastAsia="zh-CN"/>
        </w:rPr>
      </w:pPr>
      <w:r>
        <w:rPr>
          <w:rFonts w:hint="eastAsia" w:ascii="宋体" w:hAnsi="宋体" w:eastAsia="宋体" w:cs="宋体"/>
          <w:sz w:val="24"/>
        </w:rPr>
        <w:t>（一）符合《中华人民共和国政府采购法》第二十二条规定</w:t>
      </w:r>
      <w:r>
        <w:rPr>
          <w:rFonts w:hint="eastAsia" w:ascii="宋体" w:hAnsi="宋体" w:cs="宋体"/>
          <w:sz w:val="24"/>
          <w:lang w:eastAsia="zh-CN"/>
        </w:rPr>
        <w:t>：</w:t>
      </w:r>
    </w:p>
    <w:p w14:paraId="72B37B3A">
      <w:pPr>
        <w:keepNext w:val="0"/>
        <w:keepLines w:val="0"/>
        <w:pageBreakBefore w:val="0"/>
        <w:widowControl w:val="0"/>
        <w:spacing w:line="400" w:lineRule="exact"/>
        <w:ind w:firstLine="480"/>
        <w:rPr>
          <w:rFonts w:hint="eastAsia" w:ascii="宋体" w:hAnsi="宋体" w:cs="宋体"/>
          <w:sz w:val="24"/>
          <w:lang w:eastAsia="zh-CN"/>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lang w:val="zh-CN"/>
        </w:rPr>
        <w:t>符合《中华人民共和国政府采购法》第二十二条规定条件的声明函</w:t>
      </w:r>
      <w:r>
        <w:rPr>
          <w:rFonts w:hint="eastAsia" w:ascii="宋体" w:hAnsi="宋体" w:cs="宋体"/>
          <w:sz w:val="24"/>
          <w:highlight w:val="none"/>
          <w:lang w:val="zh-CN"/>
        </w:rPr>
        <w:t>。</w:t>
      </w:r>
    </w:p>
    <w:p w14:paraId="5AC23815">
      <w:pPr>
        <w:keepNext w:val="0"/>
        <w:keepLines w:val="0"/>
        <w:pageBreakBefore w:val="0"/>
        <w:widowControl w:val="0"/>
        <w:spacing w:line="400" w:lineRule="exact"/>
        <w:ind w:firstLine="480"/>
        <w:rPr>
          <w:rFonts w:hint="eastAsia" w:ascii="宋体" w:hAnsi="宋体" w:eastAsia="宋体" w:cs="宋体"/>
          <w:color w:val="000000"/>
          <w:sz w:val="24"/>
        </w:rPr>
      </w:pPr>
      <w:r>
        <w:rPr>
          <w:rFonts w:hint="eastAsia" w:ascii="宋体" w:hAnsi="宋体" w:eastAsia="宋体" w:cs="宋体"/>
          <w:color w:val="000000"/>
          <w:sz w:val="24"/>
        </w:rPr>
        <w:t>（二）落实政府采购政策需满足的资格要求：</w:t>
      </w:r>
    </w:p>
    <w:p w14:paraId="5FBBEA7F">
      <w:pPr>
        <w:keepNext w:val="0"/>
        <w:keepLines w:val="0"/>
        <w:pageBreakBefore w:val="0"/>
        <w:widowControl w:val="0"/>
        <w:spacing w:line="400" w:lineRule="exact"/>
        <w:ind w:firstLine="480"/>
        <w:rPr>
          <w:rFonts w:hint="eastAsia" w:ascii="宋体" w:hAnsi="宋体" w:eastAsia="宋体" w:cs="宋体"/>
          <w:color w:val="000000"/>
          <w:sz w:val="24"/>
          <w:lang w:val="zh-CN"/>
        </w:rPr>
      </w:pPr>
      <w:r>
        <w:rPr>
          <w:rFonts w:hint="eastAsia" w:ascii="宋体" w:hAnsi="宋体" w:eastAsia="宋体" w:cs="宋体"/>
          <w:color w:val="000000"/>
          <w:sz w:val="24"/>
          <w:lang w:val="zh-CN"/>
        </w:rPr>
        <w:t>本项目</w:t>
      </w:r>
      <w:r>
        <w:rPr>
          <w:rFonts w:hint="eastAsia" w:ascii="宋体" w:hAnsi="宋体" w:eastAsia="宋体" w:cs="宋体"/>
          <w:color w:val="000000"/>
          <w:sz w:val="24"/>
        </w:rPr>
        <w:t>按照</w:t>
      </w:r>
      <w:r>
        <w:rPr>
          <w:rFonts w:hint="eastAsia" w:ascii="宋体" w:hAnsi="宋体" w:eastAsia="宋体" w:cs="宋体"/>
          <w:color w:val="000000"/>
          <w:sz w:val="24"/>
          <w:lang w:val="zh-CN"/>
        </w:rPr>
        <w:t>以下</w:t>
      </w:r>
      <w:r>
        <w:rPr>
          <w:rFonts w:hint="eastAsia" w:ascii="宋体" w:hAnsi="宋体" w:eastAsia="宋体" w:cs="宋体"/>
          <w:color w:val="0000FF"/>
          <w:sz w:val="24"/>
          <w:lang w:val="zh-CN"/>
        </w:rPr>
        <w:t>第</w:t>
      </w:r>
      <w:r>
        <w:rPr>
          <w:rFonts w:hint="eastAsia" w:ascii="宋体" w:hAnsi="宋体" w:eastAsia="宋体" w:cs="宋体"/>
          <w:color w:val="0000FF"/>
          <w:sz w:val="24"/>
          <w:u w:val="single"/>
        </w:rPr>
        <w:t xml:space="preserve"> </w:t>
      </w:r>
      <w:r>
        <w:rPr>
          <w:rFonts w:hint="eastAsia" w:ascii="宋体" w:hAnsi="宋体" w:eastAsia="宋体" w:cs="宋体"/>
          <w:color w:val="0000FF"/>
          <w:sz w:val="24"/>
          <w:u w:val="single"/>
          <w:lang w:val="en-US" w:eastAsia="zh-CN"/>
        </w:rPr>
        <w:t>1</w:t>
      </w:r>
      <w:r>
        <w:rPr>
          <w:rFonts w:hint="eastAsia" w:ascii="宋体" w:hAnsi="宋体" w:eastAsia="宋体" w:cs="宋体"/>
          <w:color w:val="0000FF"/>
          <w:sz w:val="24"/>
          <w:u w:val="single"/>
        </w:rPr>
        <w:t xml:space="preserve"> </w:t>
      </w:r>
      <w:r>
        <w:rPr>
          <w:rFonts w:hint="eastAsia" w:ascii="宋体" w:hAnsi="宋体" w:eastAsia="宋体" w:cs="宋体"/>
          <w:color w:val="0000FF"/>
          <w:sz w:val="24"/>
          <w:lang w:val="zh-CN"/>
        </w:rPr>
        <w:t>种方</w:t>
      </w:r>
      <w:r>
        <w:rPr>
          <w:rFonts w:hint="eastAsia" w:ascii="宋体" w:hAnsi="宋体" w:eastAsia="宋体" w:cs="宋体"/>
          <w:color w:val="000000"/>
          <w:sz w:val="24"/>
          <w:lang w:val="zh-CN"/>
        </w:rPr>
        <w:t>式落实政府采购促进中小企业发展的要求：</w:t>
      </w:r>
    </w:p>
    <w:p w14:paraId="407983FF">
      <w:pPr>
        <w:keepNext w:val="0"/>
        <w:keepLines w:val="0"/>
        <w:pageBreakBefore w:val="0"/>
        <w:widowControl w:val="0"/>
        <w:spacing w:line="400" w:lineRule="exact"/>
        <w:ind w:firstLine="480"/>
        <w:rPr>
          <w:rFonts w:hint="eastAsia" w:ascii="宋体" w:hAnsi="宋体" w:eastAsia="宋体" w:cs="宋体"/>
          <w:color w:val="000000"/>
          <w:sz w:val="24"/>
        </w:rPr>
      </w:pPr>
      <w:r>
        <w:rPr>
          <w:rFonts w:hint="eastAsia" w:ascii="宋体" w:hAnsi="宋体" w:eastAsia="宋体" w:cs="宋体"/>
          <w:color w:val="000000"/>
          <w:sz w:val="24"/>
          <w:lang w:val="zh-CN"/>
        </w:rPr>
        <w:t>1</w:t>
      </w:r>
      <w:r>
        <w:rPr>
          <w:rFonts w:hint="eastAsia" w:ascii="宋体" w:hAnsi="宋体" w:eastAsia="宋体" w:cs="宋体"/>
          <w:color w:val="000000"/>
          <w:sz w:val="24"/>
        </w:rPr>
        <w:t>.本项目为专门面向中小企业采购的项目。</w:t>
      </w:r>
    </w:p>
    <w:p w14:paraId="18A89699">
      <w:pPr>
        <w:keepNext w:val="0"/>
        <w:keepLines w:val="0"/>
        <w:pageBreakBefore w:val="0"/>
        <w:widowControl w:val="0"/>
        <w:spacing w:line="400" w:lineRule="exact"/>
        <w:ind w:firstLine="480"/>
        <w:rPr>
          <w:rFonts w:hint="eastAsia" w:ascii="宋体" w:hAnsi="宋体" w:eastAsia="宋体" w:cs="宋体"/>
          <w:color w:val="000000"/>
          <w:sz w:val="24"/>
          <w:lang w:val="zh-CN"/>
        </w:rPr>
      </w:pPr>
      <w:r>
        <w:rPr>
          <w:rFonts w:hint="eastAsia" w:ascii="宋体" w:hAnsi="宋体" w:eastAsia="宋体" w:cs="宋体"/>
          <w:color w:val="000000"/>
          <w:sz w:val="24"/>
        </w:rPr>
        <w:t>2.</w:t>
      </w:r>
      <w:r>
        <w:rPr>
          <w:rFonts w:hint="eastAsia" w:ascii="宋体" w:hAnsi="宋体" w:eastAsia="宋体" w:cs="宋体"/>
          <w:color w:val="000000"/>
          <w:sz w:val="24"/>
          <w:lang w:val="zh-CN"/>
        </w:rPr>
        <w:t>本项目通过以下第（）种方式预留部分采购份额</w:t>
      </w:r>
      <w:r>
        <w:rPr>
          <w:rFonts w:hint="eastAsia" w:ascii="宋体" w:hAnsi="宋体" w:eastAsia="宋体" w:cs="宋体"/>
          <w:color w:val="000000"/>
          <w:sz w:val="24"/>
        </w:rPr>
        <w:t>采购</w:t>
      </w:r>
      <w:r>
        <w:rPr>
          <w:rFonts w:hint="eastAsia" w:ascii="宋体" w:hAnsi="宋体" w:eastAsia="宋体" w:cs="宋体"/>
          <w:color w:val="000000"/>
          <w:sz w:val="24"/>
          <w:lang w:val="zh-CN"/>
        </w:rPr>
        <w:t>中小企业</w:t>
      </w:r>
      <w:r>
        <w:rPr>
          <w:rFonts w:hint="eastAsia" w:ascii="宋体" w:hAnsi="宋体" w:eastAsia="宋体" w:cs="宋体"/>
          <w:color w:val="000000"/>
          <w:sz w:val="24"/>
        </w:rPr>
        <w:t>服务</w:t>
      </w:r>
      <w:r>
        <w:rPr>
          <w:rFonts w:hint="eastAsia" w:ascii="宋体" w:hAnsi="宋体" w:eastAsia="宋体" w:cs="宋体"/>
          <w:color w:val="000000"/>
          <w:sz w:val="24"/>
          <w:lang w:val="zh-CN"/>
        </w:rPr>
        <w:t>：</w:t>
      </w:r>
    </w:p>
    <w:p w14:paraId="1EB35164">
      <w:pPr>
        <w:keepNext w:val="0"/>
        <w:keepLines w:val="0"/>
        <w:pageBreakBefore w:val="0"/>
        <w:widowControl w:val="0"/>
        <w:spacing w:line="400" w:lineRule="exact"/>
        <w:ind w:firstLine="480"/>
        <w:rPr>
          <w:rFonts w:hint="eastAsia" w:ascii="宋体" w:hAnsi="宋体" w:eastAsia="宋体" w:cs="宋体"/>
          <w:color w:val="000000"/>
          <w:sz w:val="24"/>
          <w:lang w:val="zh-CN"/>
        </w:rPr>
      </w:pPr>
      <w:r>
        <w:rPr>
          <w:rFonts w:hint="eastAsia" w:ascii="宋体" w:hAnsi="宋体" w:eastAsia="宋体" w:cs="宋体"/>
          <w:color w:val="000000"/>
          <w:sz w:val="24"/>
          <w:lang w:val="zh-CN"/>
        </w:rPr>
        <w:t>（1）本项目要求供应商以联合体形式参加，中小企业合同金额应当达到的比例为</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rPr>
        <w:t>%</w:t>
      </w:r>
      <w:r>
        <w:rPr>
          <w:rFonts w:hint="eastAsia" w:ascii="宋体" w:hAnsi="宋体" w:eastAsia="宋体" w:cs="宋体"/>
          <w:color w:val="000000"/>
          <w:sz w:val="24"/>
          <w:lang w:val="zh-CN"/>
        </w:rPr>
        <w:t>，其中小微企业所占比例应为</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rPr>
        <w:t>%</w:t>
      </w:r>
      <w:r>
        <w:rPr>
          <w:rFonts w:hint="eastAsia" w:ascii="宋体" w:hAnsi="宋体" w:eastAsia="宋体" w:cs="宋体"/>
          <w:color w:val="000000"/>
          <w:sz w:val="24"/>
          <w:lang w:val="zh-CN"/>
        </w:rPr>
        <w:t>（两项比例均应符合《政府采购促进中小企业发展管理办法》第八条规定）。</w:t>
      </w:r>
    </w:p>
    <w:p w14:paraId="1743E28A">
      <w:pPr>
        <w:keepNext w:val="0"/>
        <w:keepLines w:val="0"/>
        <w:pageBreakBefore w:val="0"/>
        <w:widowControl w:val="0"/>
        <w:spacing w:line="400" w:lineRule="exact"/>
        <w:ind w:firstLine="480"/>
        <w:rPr>
          <w:rFonts w:hint="eastAsia" w:ascii="宋体" w:hAnsi="宋体" w:eastAsia="宋体" w:cs="宋体"/>
          <w:color w:val="000000"/>
          <w:sz w:val="24"/>
          <w:lang w:val="zh-CN"/>
        </w:rPr>
      </w:pPr>
      <w:r>
        <w:rPr>
          <w:rFonts w:hint="eastAsia" w:ascii="宋体" w:hAnsi="宋体" w:eastAsia="宋体" w:cs="宋体"/>
          <w:color w:val="000000"/>
          <w:sz w:val="24"/>
          <w:lang w:val="zh-CN"/>
        </w:rPr>
        <w:t>（2）本项目要求供应商进行合同分包，中小企业合同金额应当达到的比例为</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rPr>
        <w:t>%</w:t>
      </w:r>
      <w:r>
        <w:rPr>
          <w:rFonts w:hint="eastAsia" w:ascii="宋体" w:hAnsi="宋体" w:eastAsia="宋体" w:cs="宋体"/>
          <w:color w:val="000000"/>
          <w:sz w:val="24"/>
          <w:lang w:val="zh-CN"/>
        </w:rPr>
        <w:t>，其中小微企业所占比例应为</w:t>
      </w:r>
      <w:r>
        <w:rPr>
          <w:rFonts w:hint="eastAsia" w:ascii="宋体" w:hAnsi="宋体" w:eastAsia="宋体" w:cs="宋体"/>
          <w:color w:val="000000"/>
          <w:sz w:val="24"/>
          <w:u w:val="single"/>
          <w:lang w:val="zh-CN"/>
        </w:rPr>
        <w:t xml:space="preserve">  </w:t>
      </w:r>
      <w:r>
        <w:rPr>
          <w:rFonts w:hint="eastAsia" w:ascii="宋体" w:hAnsi="宋体" w:eastAsia="宋体" w:cs="宋体"/>
          <w:color w:val="000000"/>
          <w:sz w:val="24"/>
        </w:rPr>
        <w:t>%</w:t>
      </w:r>
      <w:r>
        <w:rPr>
          <w:rFonts w:hint="eastAsia" w:ascii="宋体" w:hAnsi="宋体" w:eastAsia="宋体" w:cs="宋体"/>
          <w:color w:val="000000"/>
          <w:sz w:val="24"/>
          <w:lang w:val="zh-CN"/>
        </w:rPr>
        <w:t>（两项比例均应符合《政府采购促进中小企业发展管理办法》第八条规定）。</w:t>
      </w:r>
    </w:p>
    <w:p w14:paraId="0C7A06F8">
      <w:pPr>
        <w:keepNext w:val="0"/>
        <w:keepLines w:val="0"/>
        <w:pageBreakBefore w:val="0"/>
        <w:widowControl w:val="0"/>
        <w:spacing w:line="400" w:lineRule="exact"/>
        <w:ind w:firstLine="480"/>
        <w:rPr>
          <w:rFonts w:hint="eastAsia" w:ascii="宋体" w:hAnsi="宋体" w:eastAsia="宋体" w:cs="宋体"/>
          <w:color w:val="000000"/>
          <w:sz w:val="24"/>
          <w:lang w:val="zh-CN"/>
        </w:rPr>
      </w:pPr>
      <w:r>
        <w:rPr>
          <w:rFonts w:hint="eastAsia" w:ascii="宋体" w:hAnsi="宋体" w:eastAsia="宋体" w:cs="宋体"/>
          <w:color w:val="000000"/>
          <w:sz w:val="24"/>
          <w:lang w:val="zh-CN"/>
        </w:rPr>
        <w:t>3.本项目为非预留份额的采购项目，</w:t>
      </w:r>
      <w:r>
        <w:rPr>
          <w:rFonts w:hint="eastAsia" w:ascii="宋体" w:hAnsi="宋体" w:eastAsia="宋体" w:cs="宋体"/>
          <w:color w:val="000000"/>
          <w:sz w:val="24"/>
        </w:rPr>
        <w:t>对小微企业报价给予扣除，用扣除后的价格参加评审</w:t>
      </w:r>
      <w:r>
        <w:rPr>
          <w:rFonts w:hint="eastAsia" w:ascii="宋体" w:hAnsi="宋体" w:eastAsia="宋体" w:cs="宋体"/>
          <w:color w:val="000000"/>
          <w:sz w:val="24"/>
          <w:lang w:val="zh-CN"/>
        </w:rPr>
        <w:t>。</w:t>
      </w:r>
    </w:p>
    <w:p w14:paraId="4E723BC6">
      <w:pPr>
        <w:keepNext w:val="0"/>
        <w:keepLines w:val="0"/>
        <w:pageBreakBefore w:val="0"/>
        <w:widowControl w:val="0"/>
        <w:spacing w:line="400" w:lineRule="exact"/>
        <w:ind w:firstLine="480"/>
        <w:rPr>
          <w:rFonts w:hint="eastAsia" w:ascii="宋体" w:hAnsi="宋体" w:eastAsia="宋体" w:cs="宋体"/>
          <w:color w:val="000000"/>
          <w:sz w:val="24"/>
          <w:lang w:val="zh-CN" w:eastAsia="zh-CN"/>
        </w:rPr>
      </w:pPr>
      <w:r>
        <w:rPr>
          <w:rFonts w:hint="eastAsia" w:ascii="宋体" w:hAnsi="宋体" w:eastAsia="宋体" w:cs="宋体"/>
          <w:sz w:val="24"/>
          <w:lang w:val="en-US" w:eastAsia="zh-CN"/>
        </w:rPr>
        <w:t>4.</w:t>
      </w:r>
      <w:r>
        <w:rPr>
          <w:rFonts w:hint="eastAsia" w:ascii="宋体" w:hAnsi="宋体" w:eastAsia="宋体" w:cs="宋体"/>
          <w:sz w:val="24"/>
        </w:rPr>
        <w:t>本项目采购标的对应的中小企业划分标准</w:t>
      </w:r>
      <w:r>
        <w:rPr>
          <w:rFonts w:hint="eastAsia" w:ascii="宋体" w:hAnsi="宋体" w:eastAsia="宋体" w:cs="宋体"/>
          <w:color w:val="0000FF"/>
          <w:sz w:val="24"/>
        </w:rPr>
        <w:t>所属</w:t>
      </w:r>
      <w:bookmarkStart w:id="12" w:name="OLE_LINK10"/>
      <w:r>
        <w:rPr>
          <w:rFonts w:hint="eastAsia" w:ascii="宋体" w:hAnsi="宋体" w:eastAsia="宋体" w:cs="宋体"/>
          <w:color w:val="0000FF"/>
          <w:sz w:val="24"/>
        </w:rPr>
        <w:t>行业为</w:t>
      </w:r>
      <w:r>
        <w:rPr>
          <w:rFonts w:hint="eastAsia" w:ascii="宋体" w:hAnsi="宋体" w:cs="宋体"/>
          <w:color w:val="FF0000"/>
          <w:sz w:val="24"/>
          <w:u w:val="single"/>
          <w:lang w:val="en-US" w:eastAsia="zh-CN"/>
        </w:rPr>
        <w:t>建筑业</w:t>
      </w:r>
      <w:r>
        <w:rPr>
          <w:rFonts w:hint="eastAsia" w:ascii="宋体" w:hAnsi="宋体" w:eastAsia="宋体" w:cs="宋体"/>
          <w:color w:val="0000FF"/>
          <w:sz w:val="24"/>
          <w:szCs w:val="24"/>
          <w:u w:val="none"/>
          <w:lang w:val="en-US" w:eastAsia="zh-CN"/>
        </w:rPr>
        <w:t>。</w:t>
      </w:r>
      <w:bookmarkEnd w:id="12"/>
    </w:p>
    <w:p w14:paraId="41FF45DE">
      <w:pPr>
        <w:keepNext w:val="0"/>
        <w:keepLines w:val="0"/>
        <w:pageBreakBefore w:val="0"/>
        <w:widowControl w:val="0"/>
        <w:spacing w:line="400" w:lineRule="exact"/>
        <w:ind w:firstLine="480"/>
        <w:rPr>
          <w:rFonts w:hint="eastAsia" w:ascii="宋体" w:hAnsi="宋体" w:eastAsia="宋体" w:cs="宋体"/>
          <w:color w:val="000000"/>
          <w:sz w:val="24"/>
        </w:rPr>
      </w:pPr>
      <w:r>
        <w:rPr>
          <w:rFonts w:hint="eastAsia" w:ascii="宋体" w:hAnsi="宋体" w:eastAsia="宋体" w:cs="宋体"/>
          <w:color w:val="000000"/>
          <w:sz w:val="24"/>
        </w:rPr>
        <w:t>注：监狱企业、残疾人福利性单位视同小微企业。</w:t>
      </w:r>
    </w:p>
    <w:p w14:paraId="2796EA0B">
      <w:pPr>
        <w:keepNext w:val="0"/>
        <w:keepLines w:val="0"/>
        <w:pageBreakBefore w:val="0"/>
        <w:widowControl w:val="0"/>
        <w:numPr>
          <w:ilvl w:val="0"/>
          <w:numId w:val="2"/>
        </w:numPr>
        <w:spacing w:line="400" w:lineRule="exact"/>
        <w:ind w:firstLine="480"/>
        <w:rPr>
          <w:rFonts w:hint="eastAsia" w:ascii="宋体" w:hAnsi="宋体" w:eastAsia="宋体" w:cs="宋体"/>
          <w:color w:val="000000"/>
          <w:sz w:val="24"/>
        </w:rPr>
      </w:pPr>
      <w:r>
        <w:rPr>
          <w:rFonts w:hint="eastAsia" w:ascii="宋体" w:hAnsi="宋体" w:eastAsia="宋体" w:cs="宋体"/>
          <w:color w:val="000000"/>
          <w:sz w:val="24"/>
        </w:rPr>
        <w:t>本项目的特定资格要求：</w:t>
      </w:r>
    </w:p>
    <w:p w14:paraId="02F1DDAA">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pBdr>
        <w:spacing w:line="440" w:lineRule="exact"/>
        <w:ind w:firstLine="480"/>
      </w:pPr>
      <w:r>
        <w:rPr>
          <w:rFonts w:hint="eastAsia" w:ascii="宋体" w:hAnsi="宋体" w:cs="宋体"/>
          <w:color w:val="000000"/>
          <w:sz w:val="24"/>
          <w:lang w:val="en-US" w:eastAsia="zh-CN"/>
        </w:rPr>
        <w:t>1.</w:t>
      </w:r>
      <w:r>
        <w:rPr>
          <w:rFonts w:ascii="宋体" w:hAnsi="宋体" w:eastAsia="宋体" w:cs="宋体"/>
          <w:color w:val="000000"/>
          <w:sz w:val="24"/>
        </w:rPr>
        <w:t>供应商可任选其中一项（提供下列任一项材料即可）</w:t>
      </w:r>
    </w:p>
    <w:p w14:paraId="69E37869">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ind w:firstLine="480"/>
      </w:pPr>
      <w:r>
        <w:rPr>
          <w:rFonts w:ascii="宋体" w:hAnsi="宋体" w:eastAsia="宋体" w:cs="宋体"/>
          <w:color w:val="000000"/>
          <w:sz w:val="24"/>
        </w:rPr>
        <w:t>（1）法定代表人资格证明（格式按照示范格式一要求）和法定代表人身份证；（扫描件上传至电子响应文件）</w:t>
      </w:r>
    </w:p>
    <w:p w14:paraId="1316FCDE">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ind w:firstLine="480"/>
        <w:rPr>
          <w:rFonts w:hint="eastAsia" w:ascii="宋体" w:hAnsi="宋体" w:eastAsia="宋体" w:cs="宋体"/>
          <w:sz w:val="24"/>
        </w:rPr>
      </w:pPr>
      <w:r>
        <w:rPr>
          <w:rFonts w:ascii="宋体" w:hAnsi="宋体" w:eastAsia="宋体" w:cs="宋体"/>
          <w:color w:val="000000"/>
          <w:sz w:val="24"/>
        </w:rPr>
        <w:t>（2）授权委托书（格式按照示范格式二要求）和受托人身份证；（扫描件上传至电子响应文件）</w:t>
      </w:r>
    </w:p>
    <w:p w14:paraId="6CAB803C">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2.有效的营业执照；（扫描件上传至电子响应文件）</w:t>
      </w:r>
    </w:p>
    <w:p w14:paraId="6816BEA9">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3.资质要求：</w:t>
      </w:r>
      <w:r>
        <w:rPr>
          <w:rFonts w:hint="eastAsia" w:ascii="宋体" w:hAnsi="宋体" w:eastAsia="宋体" w:cs="宋体"/>
          <w:color w:val="0000FF"/>
          <w:sz w:val="24"/>
          <w:lang w:val="en-US" w:eastAsia="zh-CN"/>
        </w:rPr>
        <w:t>国家建设行政主管部门颁发的具有房屋建筑专业监理乙级及以上资质或监理综合资质</w:t>
      </w:r>
    </w:p>
    <w:p w14:paraId="4E2CA10B">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总监理工程师：具备住建部颁发的国家注册监理工程师执业资格(注册专业为房屋建筑工程)；本次招标对投标人拟派总监理工程师的要求：（1）总监理工程师不得同时在两个或者两个以上单位受聘或者执业。（2）总监理工程师无在建（监）工程。（3）总监理工程师无行贿犯罪行为记录；或者有行贿犯罪行为记录，但自记录之日起已超过5年的。（提供企业出具的承诺书，加盖企业公章和法定代表人印章有效）</w:t>
      </w:r>
    </w:p>
    <w:p w14:paraId="100414D1">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5.承诺书（格式按照示范格式三要求）；（扫描件上传至电子响应文件）</w:t>
      </w:r>
    </w:p>
    <w:p w14:paraId="231E1A33">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6.落实政府采购政策需满足的资格要求（提供下列任一项材料即可，扫描件上传至电子响应文件）</w:t>
      </w:r>
    </w:p>
    <w:p w14:paraId="20F9BA80">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（1）中小企业声明函（按示范格式要求）</w:t>
      </w:r>
    </w:p>
    <w:p w14:paraId="07804EC0">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（2）残疾人福利性单位声明函（按示范格式要求）</w:t>
      </w:r>
    </w:p>
    <w:p w14:paraId="424E065E">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（3）由省级以上监狱管理局、戒毒管理局（含新疆生产建设兵团）出具的属于监狱企业的证明文件）</w:t>
      </w:r>
    </w:p>
    <w:p w14:paraId="37F9A8CE">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（加盖出具单位公章的电子件）</w:t>
      </w:r>
    </w:p>
    <w:p w14:paraId="4D503261">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7.供应商未被“信用中国”网（https://www.creditchina.gov.cn/）列入失信被执行人、重大税收违法案件当事人名单。供应商未被“中国政府采购网”（http://www.ccgp.gov.cn/）列入政府采购严重违法失信行为记录名单。由采购单位（采购代理单位）组织磋商小组在资格审查时查询，一旦被查询存在上述失信行为记录名单的，将视为资格审查不通过）。</w:t>
      </w:r>
    </w:p>
    <w:p w14:paraId="23C20096">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（四）拒绝下述条件的供应商参加本次采购活动：</w:t>
      </w:r>
    </w:p>
    <w:p w14:paraId="17FAC985">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1.供应商单位负责人为同一人或者存在直接控股、管理关系的不同供应商，不得同时参加同一合同项下的政府采购活动。</w:t>
      </w:r>
    </w:p>
    <w:p w14:paraId="615E8820">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2.凡为采购项目提供整体设计、规范编制或者项目管理、监理、检测等服务的供应商，不得再参加本项目的采购活动。</w:t>
      </w:r>
    </w:p>
    <w:p w14:paraId="5A54CA53">
      <w:pPr>
        <w:keepNext w:val="0"/>
        <w:keepLines w:val="0"/>
        <w:pageBreakBefore w:val="0"/>
        <w:widowControl w:val="0"/>
        <w:pBdr>
          <w:top w:val="none" w:color="000000" w:sz="0" w:space="0"/>
          <w:left w:val="none" w:color="000000" w:sz="0" w:space="0"/>
          <w:bottom w:val="none" w:color="000000" w:sz="0" w:space="0"/>
          <w:right w:val="none" w:color="000000" w:sz="0" w:space="0"/>
        </w:pBdr>
        <w:spacing w:line="44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3.供应商被“信用中国”网站、“中国政府采购网”列入失信被执行人、重大税收违法案件当事人名单、政府采购严重违法失信行为记录名单。</w:t>
      </w:r>
    </w:p>
    <w:p w14:paraId="2AD41AA0">
      <w:pPr>
        <w:keepNext w:val="0"/>
        <w:keepLines w:val="0"/>
        <w:pageBreakBefore w:val="0"/>
        <w:widowControl w:val="0"/>
        <w:spacing w:line="400" w:lineRule="exact"/>
        <w:ind w:firstLine="482"/>
        <w:rPr>
          <w:rFonts w:hint="eastAsia" w:ascii="宋体" w:hAnsi="宋体" w:eastAsia="宋体" w:cs="宋体"/>
          <w:b/>
          <w:sz w:val="24"/>
        </w:rPr>
      </w:pPr>
      <w:r>
        <w:rPr>
          <w:rFonts w:hint="eastAsia" w:ascii="宋体" w:hAnsi="宋体" w:eastAsia="宋体" w:cs="宋体"/>
          <w:b/>
          <w:sz w:val="24"/>
        </w:rPr>
        <w:t>三、获取磋商文件</w:t>
      </w:r>
    </w:p>
    <w:p w14:paraId="2D920B24">
      <w:pPr>
        <w:keepNext w:val="0"/>
        <w:keepLines w:val="0"/>
        <w:pageBreakBefore w:val="0"/>
        <w:widowControl w:val="0"/>
        <w:spacing w:line="400" w:lineRule="exact"/>
        <w:ind w:firstLine="480"/>
        <w:rPr>
          <w:rFonts w:hint="eastAsia" w:ascii="宋体" w:hAnsi="宋体" w:eastAsia="宋体" w:cs="宋体"/>
          <w:sz w:val="24"/>
          <w:highlight w:val="none"/>
        </w:rPr>
      </w:pPr>
      <w:r>
        <w:rPr>
          <w:rFonts w:hint="eastAsia" w:ascii="宋体" w:hAnsi="宋体" w:eastAsia="宋体" w:cs="宋体"/>
          <w:sz w:val="24"/>
        </w:rPr>
        <w:t>时间</w:t>
      </w:r>
      <w:r>
        <w:rPr>
          <w:rFonts w:hint="eastAsia" w:ascii="宋体" w:hAnsi="宋体" w:eastAsia="宋体" w:cs="宋体"/>
          <w:sz w:val="24"/>
          <w:lang w:eastAsia="zh-CN"/>
        </w:rPr>
        <w:t>：</w:t>
      </w:r>
      <w:r>
        <w:rPr>
          <w:rFonts w:hint="eastAsia" w:ascii="宋体" w:hAnsi="宋体" w:eastAsia="宋体" w:cs="宋体"/>
          <w:bCs/>
          <w:color w:val="0000FF"/>
          <w:sz w:val="24"/>
          <w:shd w:val="clear" w:color="auto" w:fill="FFFFFF"/>
        </w:rPr>
        <w:t>2024年</w:t>
      </w:r>
      <w:r>
        <w:rPr>
          <w:rFonts w:hint="eastAsia" w:ascii="宋体" w:hAnsi="宋体" w:cs="宋体"/>
          <w:bCs/>
          <w:color w:val="0000FF"/>
          <w:sz w:val="24"/>
          <w:highlight w:val="none"/>
          <w:shd w:val="clear" w:color="auto" w:fill="FFFFFF"/>
          <w:lang w:val="en-US" w:eastAsia="zh-CN"/>
        </w:rPr>
        <w:t>9</w:t>
      </w:r>
      <w:r>
        <w:rPr>
          <w:rFonts w:hint="eastAsia" w:ascii="宋体" w:hAnsi="宋体" w:eastAsia="宋体" w:cs="宋体"/>
          <w:bCs/>
          <w:color w:val="0000FF"/>
          <w:sz w:val="24"/>
          <w:highlight w:val="none"/>
          <w:shd w:val="clear" w:color="auto" w:fill="FFFFFF"/>
        </w:rPr>
        <w:t>月</w:t>
      </w:r>
      <w:bookmarkStart w:id="13" w:name="OLE_LINK6"/>
      <w:r>
        <w:rPr>
          <w:rFonts w:hint="eastAsia" w:ascii="宋体" w:hAnsi="宋体" w:cs="宋体"/>
          <w:bCs/>
          <w:color w:val="0000FF"/>
          <w:sz w:val="24"/>
          <w:highlight w:val="none"/>
          <w:shd w:val="clear" w:color="auto" w:fill="FFFFFF"/>
          <w:lang w:val="en-US" w:eastAsia="zh-CN"/>
        </w:rPr>
        <w:t>1</w:t>
      </w:r>
      <w:bookmarkEnd w:id="13"/>
      <w:r>
        <w:rPr>
          <w:rFonts w:hint="eastAsia" w:ascii="宋体" w:hAnsi="宋体" w:cs="宋体"/>
          <w:bCs/>
          <w:color w:val="0000FF"/>
          <w:sz w:val="24"/>
          <w:highlight w:val="none"/>
          <w:shd w:val="clear" w:color="auto" w:fill="FFFFFF"/>
          <w:lang w:val="en-US" w:eastAsia="zh-CN"/>
        </w:rPr>
        <w:t>9</w:t>
      </w:r>
      <w:r>
        <w:rPr>
          <w:rFonts w:hint="eastAsia" w:ascii="宋体" w:hAnsi="宋体" w:eastAsia="宋体" w:cs="宋体"/>
          <w:bCs/>
          <w:color w:val="0000FF"/>
          <w:sz w:val="24"/>
          <w:highlight w:val="none"/>
          <w:shd w:val="clear" w:color="auto" w:fill="FFFFFF"/>
        </w:rPr>
        <w:t>日至2024年</w:t>
      </w:r>
      <w:r>
        <w:rPr>
          <w:rFonts w:hint="eastAsia" w:ascii="宋体" w:hAnsi="宋体" w:cs="宋体"/>
          <w:bCs/>
          <w:color w:val="0000FF"/>
          <w:sz w:val="24"/>
          <w:highlight w:val="none"/>
          <w:shd w:val="clear" w:color="auto" w:fill="FFFFFF"/>
          <w:lang w:val="en-US" w:eastAsia="zh-CN"/>
        </w:rPr>
        <w:t>9</w:t>
      </w:r>
      <w:r>
        <w:rPr>
          <w:rFonts w:hint="eastAsia" w:ascii="宋体" w:hAnsi="宋体" w:eastAsia="宋体" w:cs="宋体"/>
          <w:bCs/>
          <w:color w:val="0000FF"/>
          <w:sz w:val="24"/>
          <w:shd w:val="clear" w:color="auto" w:fill="FFFFFF"/>
        </w:rPr>
        <w:t>月</w:t>
      </w:r>
      <w:r>
        <w:rPr>
          <w:rFonts w:hint="eastAsia" w:ascii="宋体" w:hAnsi="宋体" w:cs="宋体"/>
          <w:bCs/>
          <w:color w:val="0000FF"/>
          <w:sz w:val="24"/>
          <w:shd w:val="clear" w:color="auto" w:fill="FFFFFF"/>
          <w:lang w:val="en-US" w:eastAsia="zh-CN"/>
        </w:rPr>
        <w:t>26</w:t>
      </w:r>
      <w:r>
        <w:rPr>
          <w:rFonts w:hint="eastAsia" w:ascii="宋体" w:hAnsi="宋体" w:eastAsia="宋体" w:cs="宋体"/>
          <w:bCs/>
          <w:color w:val="0000FF"/>
          <w:sz w:val="24"/>
          <w:shd w:val="clear" w:color="auto" w:fill="FFFFFF"/>
        </w:rPr>
        <w:t>日</w:t>
      </w:r>
      <w:r>
        <w:rPr>
          <w:rFonts w:hint="eastAsia" w:ascii="宋体" w:hAnsi="宋体" w:cs="宋体"/>
          <w:bCs/>
          <w:color w:val="333333"/>
          <w:sz w:val="24"/>
          <w:shd w:val="clear" w:color="auto" w:fill="FFFFFF"/>
          <w:lang w:val="en-US" w:eastAsia="zh-CN"/>
        </w:rPr>
        <w:t>，</w:t>
      </w:r>
      <w:r>
        <w:rPr>
          <w:rFonts w:hint="eastAsia" w:ascii="宋体" w:hAnsi="宋体" w:eastAsia="宋体" w:cs="宋体"/>
          <w:bCs/>
          <w:color w:val="333333"/>
          <w:sz w:val="24"/>
          <w:highlight w:val="none"/>
          <w:shd w:val="clear" w:color="auto" w:fill="FFFFFF"/>
        </w:rPr>
        <w:t>每天上午</w:t>
      </w:r>
      <w:r>
        <w:rPr>
          <w:rFonts w:hint="eastAsia" w:ascii="宋体" w:hAnsi="宋体" w:cs="宋体"/>
          <w:bCs/>
          <w:color w:val="333333"/>
          <w:sz w:val="24"/>
          <w:highlight w:val="none"/>
          <w:shd w:val="clear" w:color="auto" w:fill="FFFFFF"/>
          <w:lang w:val="en-US" w:eastAsia="zh-CN"/>
        </w:rPr>
        <w:t>00</w:t>
      </w:r>
      <w:r>
        <w:rPr>
          <w:rFonts w:hint="eastAsia" w:ascii="宋体" w:hAnsi="宋体" w:eastAsia="宋体" w:cs="宋体"/>
          <w:bCs/>
          <w:color w:val="333333"/>
          <w:sz w:val="24"/>
          <w:highlight w:val="none"/>
          <w:shd w:val="clear" w:color="auto" w:fill="FFFFFF"/>
        </w:rPr>
        <w:t>:00-12:00,下午12:00-23:59（北京时间，法定节假日除外）</w:t>
      </w:r>
    </w:p>
    <w:p w14:paraId="5CF86E6B">
      <w:pPr>
        <w:keepNext w:val="0"/>
        <w:keepLines w:val="0"/>
        <w:pageBreakBefore w:val="0"/>
        <w:widowControl w:val="0"/>
        <w:spacing w:line="40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地点：</w:t>
      </w:r>
      <w:bookmarkStart w:id="14" w:name="OLE_LINK11"/>
      <w:r>
        <w:rPr>
          <w:rFonts w:hint="eastAsia" w:ascii="宋体" w:hAnsi="宋体" w:eastAsia="宋体" w:cs="宋体"/>
          <w:color w:val="000000"/>
          <w:sz w:val="24"/>
          <w:highlight w:val="none"/>
        </w:rPr>
        <w:t>江苏省政府采购网或者淮安市政府采购网 </w:t>
      </w:r>
      <w:bookmarkEnd w:id="14"/>
    </w:p>
    <w:p w14:paraId="7B9961A4">
      <w:pPr>
        <w:keepNext w:val="0"/>
        <w:keepLines w:val="0"/>
        <w:pageBreakBefore w:val="0"/>
        <w:widowControl w:val="0"/>
        <w:spacing w:line="400" w:lineRule="exact"/>
        <w:ind w:firstLine="480"/>
        <w:rPr>
          <w:rFonts w:hint="eastAsia" w:ascii="宋体" w:hAnsi="宋体" w:eastAsia="宋体" w:cs="宋体"/>
          <w:color w:val="000000"/>
          <w:sz w:val="24"/>
        </w:rPr>
      </w:pPr>
      <w:r>
        <w:rPr>
          <w:rFonts w:hint="eastAsia" w:ascii="宋体" w:hAnsi="宋体" w:eastAsia="宋体" w:cs="宋体"/>
          <w:color w:val="000000"/>
          <w:sz w:val="24"/>
          <w:highlight w:val="none"/>
        </w:rPr>
        <w:t>方式：供应商登录江苏省政府采购网或者淮安市政府采购网，在网站首页点击“苏采云”→使用CA锁登录系统（新用户需进行“平台用户注册”）→“项目参与”进行登记，在“可参与项目”中选择“我要参与”，参与成功后到“已参与项目”界面中找到该项目下载文件并进行操作。 </w:t>
      </w:r>
    </w:p>
    <w:p w14:paraId="0D27814F">
      <w:pPr>
        <w:keepNext w:val="0"/>
        <w:keepLines w:val="0"/>
        <w:pageBreakBefore w:val="0"/>
        <w:widowControl w:val="0"/>
        <w:spacing w:line="400" w:lineRule="exact"/>
        <w:ind w:firstLine="480"/>
        <w:rPr>
          <w:rFonts w:hint="eastAsia" w:ascii="宋体" w:hAnsi="宋体" w:eastAsia="宋体" w:cs="宋体"/>
          <w:color w:val="000000"/>
          <w:sz w:val="24"/>
        </w:rPr>
      </w:pPr>
      <w:r>
        <w:rPr>
          <w:rFonts w:hint="eastAsia" w:ascii="宋体" w:hAnsi="宋体" w:eastAsia="宋体" w:cs="宋体"/>
          <w:color w:val="000000"/>
          <w:sz w:val="24"/>
        </w:rPr>
        <w:t>售价：0元</w:t>
      </w:r>
    </w:p>
    <w:p w14:paraId="570D891B">
      <w:pPr>
        <w:keepNext w:val="0"/>
        <w:keepLines w:val="0"/>
        <w:pageBreakBefore w:val="0"/>
        <w:widowControl w:val="0"/>
        <w:spacing w:line="400" w:lineRule="exact"/>
        <w:ind w:firstLine="482"/>
        <w:rPr>
          <w:rFonts w:hint="eastAsia" w:ascii="宋体" w:hAnsi="宋体" w:eastAsia="宋体" w:cs="宋体"/>
          <w:b/>
          <w:sz w:val="24"/>
        </w:rPr>
      </w:pPr>
      <w:r>
        <w:rPr>
          <w:rFonts w:hint="eastAsia" w:ascii="宋体" w:hAnsi="宋体" w:eastAsia="宋体" w:cs="宋体"/>
          <w:b/>
          <w:sz w:val="24"/>
        </w:rPr>
        <w:t>四、提交响应文件截止时间、磋商时间和地点</w:t>
      </w:r>
    </w:p>
    <w:p w14:paraId="3C217464">
      <w:pPr>
        <w:keepNext w:val="0"/>
        <w:keepLines w:val="0"/>
        <w:pageBreakBefore w:val="0"/>
        <w:widowControl w:val="0"/>
        <w:spacing w:line="400" w:lineRule="exact"/>
        <w:ind w:firstLine="480"/>
        <w:rPr>
          <w:rFonts w:hint="eastAsia" w:ascii="宋体" w:hAnsi="宋体" w:eastAsia="宋体" w:cs="宋体"/>
          <w:sz w:val="24"/>
          <w:highlight w:val="none"/>
        </w:rPr>
      </w:pPr>
      <w:r>
        <w:rPr>
          <w:rFonts w:hint="eastAsia" w:ascii="宋体" w:hAnsi="宋体" w:eastAsia="宋体" w:cs="宋体"/>
          <w:color w:val="0000FF"/>
          <w:sz w:val="24"/>
          <w:highlight w:val="none"/>
        </w:rPr>
        <w:t>截止时间</w:t>
      </w:r>
      <w:r>
        <w:rPr>
          <w:rFonts w:hint="eastAsia" w:ascii="宋体" w:hAnsi="宋体" w:eastAsia="宋体" w:cs="宋体"/>
          <w:color w:val="0000FF"/>
          <w:sz w:val="24"/>
          <w:lang w:eastAsia="zh-CN"/>
        </w:rPr>
        <w:t>：</w:t>
      </w:r>
      <w:r>
        <w:rPr>
          <w:rFonts w:hint="eastAsia" w:ascii="宋体" w:hAnsi="宋体" w:eastAsia="宋体" w:cs="宋体"/>
          <w:bCs/>
          <w:color w:val="0000FF"/>
          <w:sz w:val="24"/>
          <w:highlight w:val="none"/>
          <w:shd w:val="clear" w:color="auto" w:fill="FFFFFF"/>
        </w:rPr>
        <w:t>2024</w:t>
      </w:r>
      <w:r>
        <w:rPr>
          <w:rFonts w:hint="eastAsia" w:ascii="宋体" w:hAnsi="宋体" w:cs="宋体"/>
          <w:bCs/>
          <w:color w:val="0000FF"/>
          <w:sz w:val="24"/>
          <w:highlight w:val="none"/>
          <w:shd w:val="clear" w:color="auto" w:fill="FFFFFF"/>
          <w:lang w:val="en-US" w:eastAsia="zh-CN"/>
        </w:rPr>
        <w:t xml:space="preserve">-9-29 </w:t>
      </w:r>
      <w:r>
        <w:rPr>
          <w:rFonts w:hint="eastAsia" w:ascii="宋体" w:hAnsi="宋体" w:eastAsia="宋体" w:cs="宋体"/>
          <w:color w:val="0000FF"/>
          <w:sz w:val="24"/>
          <w:highlight w:val="none"/>
        </w:rPr>
        <w:t>09:00（北京时间）</w:t>
      </w:r>
      <w:r>
        <w:rPr>
          <w:rFonts w:hint="eastAsia" w:ascii="宋体" w:hAnsi="宋体" w:eastAsia="宋体" w:cs="宋体"/>
          <w:sz w:val="24"/>
          <w:highlight w:val="none"/>
        </w:rPr>
        <w:t xml:space="preserve"> </w:t>
      </w:r>
    </w:p>
    <w:p w14:paraId="4C2E87A5">
      <w:pPr>
        <w:keepNext w:val="0"/>
        <w:keepLines w:val="0"/>
        <w:pageBreakBefore w:val="0"/>
        <w:widowControl w:val="0"/>
        <w:spacing w:line="400" w:lineRule="exact"/>
        <w:ind w:firstLine="480"/>
        <w:rPr>
          <w:rFonts w:hint="eastAsia" w:ascii="宋体" w:hAnsi="宋体" w:eastAsia="宋体" w:cs="宋体"/>
          <w:sz w:val="24"/>
          <w:highlight w:val="none"/>
        </w:rPr>
      </w:pPr>
      <w:r>
        <w:rPr>
          <w:rFonts w:hint="eastAsia" w:ascii="宋体" w:hAnsi="宋体" w:cs="宋体"/>
          <w:sz w:val="24"/>
          <w:highlight w:val="none"/>
          <w:lang w:val="en-US" w:eastAsia="zh-CN"/>
        </w:rPr>
        <w:t>地点</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 本项目采用远程“不见面”开标方式，无需到现场提交，请供应商在开标时间截止前提前登入苏采云政府采购一体化平台（网址：http://jszfcg.jscz.gov.cn/</w:t>
      </w:r>
      <w:r>
        <w:rPr>
          <w:rFonts w:hint="eastAsia" w:ascii="宋体" w:hAnsi="宋体" w:cs="宋体"/>
          <w:sz w:val="24"/>
          <w:highlight w:val="none"/>
          <w:lang w:eastAsia="zh-CN"/>
        </w:rPr>
        <w:t>JSZC-320830-JSSC-C2024-0003</w:t>
      </w:r>
      <w:r>
        <w:rPr>
          <w:rFonts w:hint="eastAsia" w:ascii="宋体" w:hAnsi="宋体" w:eastAsia="宋体" w:cs="宋体"/>
          <w:sz w:val="24"/>
          <w:highlight w:val="none"/>
        </w:rPr>
        <w:t>/login）提交投标文件</w:t>
      </w:r>
      <w:r>
        <w:rPr>
          <w:rFonts w:hint="eastAsia" w:ascii="宋体" w:hAnsi="宋体" w:cs="宋体"/>
          <w:sz w:val="24"/>
          <w:highlight w:val="none"/>
          <w:lang w:eastAsia="zh-CN"/>
        </w:rPr>
        <w:t>。</w:t>
      </w:r>
    </w:p>
    <w:p w14:paraId="6F90BC26">
      <w:pPr>
        <w:keepNext w:val="0"/>
        <w:keepLines w:val="0"/>
        <w:pageBreakBefore w:val="0"/>
        <w:widowControl w:val="0"/>
        <w:spacing w:line="400" w:lineRule="exact"/>
        <w:ind w:firstLine="482"/>
        <w:rPr>
          <w:rFonts w:hint="eastAsia" w:ascii="宋体" w:hAnsi="宋体" w:eastAsia="宋体" w:cs="宋体"/>
          <w:b/>
          <w:sz w:val="24"/>
          <w:highlight w:val="none"/>
        </w:rPr>
      </w:pPr>
      <w:r>
        <w:rPr>
          <w:rFonts w:hint="eastAsia" w:ascii="宋体" w:hAnsi="宋体" w:eastAsia="宋体" w:cs="宋体"/>
          <w:b/>
          <w:sz w:val="24"/>
          <w:highlight w:val="none"/>
        </w:rPr>
        <w:t>五、开启</w:t>
      </w:r>
    </w:p>
    <w:p w14:paraId="10538C75">
      <w:pPr>
        <w:keepNext w:val="0"/>
        <w:keepLines w:val="0"/>
        <w:pageBreakBefore w:val="0"/>
        <w:widowControl w:val="0"/>
        <w:spacing w:line="400" w:lineRule="exact"/>
        <w:ind w:firstLine="480"/>
        <w:rPr>
          <w:rFonts w:hint="eastAsia" w:ascii="宋体" w:hAnsi="宋体" w:eastAsia="宋体" w:cs="宋体"/>
          <w:sz w:val="24"/>
          <w:highlight w:val="none"/>
        </w:rPr>
      </w:pPr>
      <w:r>
        <w:rPr>
          <w:rFonts w:hint="eastAsia" w:ascii="宋体" w:hAnsi="宋体" w:eastAsia="宋体" w:cs="宋体"/>
          <w:sz w:val="24"/>
          <w:highlight w:val="none"/>
        </w:rPr>
        <w:t>时间：</w:t>
      </w:r>
      <w:r>
        <w:rPr>
          <w:rFonts w:hint="eastAsia" w:ascii="宋体" w:hAnsi="宋体" w:eastAsia="宋体" w:cs="宋体"/>
          <w:bCs/>
          <w:color w:val="333333"/>
          <w:sz w:val="24"/>
          <w:highlight w:val="none"/>
          <w:shd w:val="clear" w:color="auto" w:fill="FFFFFF"/>
        </w:rPr>
        <w:t>2024</w:t>
      </w:r>
      <w:r>
        <w:rPr>
          <w:rFonts w:hint="eastAsia" w:ascii="宋体" w:hAnsi="宋体" w:cs="宋体"/>
          <w:bCs/>
          <w:color w:val="333333"/>
          <w:sz w:val="24"/>
          <w:highlight w:val="none"/>
          <w:shd w:val="clear" w:color="auto" w:fill="FFFFFF"/>
          <w:lang w:val="en-US" w:eastAsia="zh-CN"/>
        </w:rPr>
        <w:t xml:space="preserve">-9-29 </w:t>
      </w:r>
      <w:r>
        <w:rPr>
          <w:rFonts w:hint="eastAsia" w:ascii="宋体" w:hAnsi="宋体" w:eastAsia="宋体" w:cs="宋体"/>
          <w:sz w:val="24"/>
          <w:highlight w:val="none"/>
        </w:rPr>
        <w:t>09:00（北京时间）</w:t>
      </w:r>
    </w:p>
    <w:p w14:paraId="1B5E0382">
      <w:pPr>
        <w:keepNext w:val="0"/>
        <w:keepLines w:val="0"/>
        <w:pageBreakBefore w:val="0"/>
        <w:widowControl w:val="0"/>
        <w:spacing w:line="400" w:lineRule="exact"/>
        <w:ind w:firstLine="480"/>
        <w:rPr>
          <w:rFonts w:hint="eastAsia" w:ascii="宋体" w:hAnsi="宋体" w:eastAsia="宋体" w:cs="宋体"/>
          <w:color w:val="0000FF"/>
          <w:sz w:val="24"/>
        </w:rPr>
      </w:pPr>
      <w:r>
        <w:rPr>
          <w:rFonts w:hint="eastAsia" w:ascii="宋体" w:hAnsi="宋体" w:eastAsia="宋体" w:cs="宋体"/>
          <w:color w:val="0000FF"/>
          <w:sz w:val="24"/>
          <w:highlight w:val="none"/>
        </w:rPr>
        <w:t>地点：盱眙县</w:t>
      </w:r>
      <w:r>
        <w:rPr>
          <w:rFonts w:hint="eastAsia" w:ascii="宋体" w:hAnsi="宋体" w:cs="宋体"/>
          <w:color w:val="0000FF"/>
          <w:sz w:val="24"/>
          <w:highlight w:val="none"/>
          <w:lang w:val="en-US" w:eastAsia="zh-CN"/>
        </w:rPr>
        <w:t xml:space="preserve"> 201</w:t>
      </w:r>
      <w:r>
        <w:rPr>
          <w:rFonts w:hint="eastAsia" w:ascii="宋体" w:hAnsi="宋体" w:eastAsia="宋体" w:cs="宋体"/>
          <w:color w:val="0000FF"/>
          <w:sz w:val="24"/>
          <w:highlight w:val="none"/>
        </w:rPr>
        <w:t>开标室</w:t>
      </w:r>
    </w:p>
    <w:p w14:paraId="3476B3BD">
      <w:pPr>
        <w:keepNext w:val="0"/>
        <w:keepLines w:val="0"/>
        <w:pageBreakBefore w:val="0"/>
        <w:widowControl w:val="0"/>
        <w:spacing w:line="400" w:lineRule="exact"/>
        <w:ind w:firstLine="482"/>
        <w:rPr>
          <w:rFonts w:hint="eastAsia" w:ascii="宋体" w:hAnsi="宋体" w:eastAsia="宋体" w:cs="宋体"/>
          <w:b/>
          <w:sz w:val="24"/>
        </w:rPr>
      </w:pPr>
      <w:r>
        <w:rPr>
          <w:rFonts w:hint="eastAsia" w:ascii="宋体" w:hAnsi="宋体" w:eastAsia="宋体" w:cs="宋体"/>
          <w:b/>
          <w:sz w:val="24"/>
          <w:lang w:val="en-US" w:eastAsia="zh-CN"/>
        </w:rPr>
        <w:t>六</w:t>
      </w:r>
      <w:r>
        <w:rPr>
          <w:rFonts w:hint="eastAsia" w:ascii="宋体" w:hAnsi="宋体" w:eastAsia="宋体" w:cs="宋体"/>
          <w:b/>
          <w:sz w:val="24"/>
        </w:rPr>
        <w:t>、公告期限</w:t>
      </w:r>
    </w:p>
    <w:p w14:paraId="2CD2F968">
      <w:pPr>
        <w:keepNext w:val="0"/>
        <w:keepLines w:val="0"/>
        <w:pageBreakBefore w:val="0"/>
        <w:widowControl w:val="0"/>
        <w:spacing w:line="400" w:lineRule="exact"/>
        <w:ind w:firstLine="480"/>
        <w:rPr>
          <w:rFonts w:hint="eastAsia" w:ascii="宋体" w:hAnsi="宋体" w:eastAsia="宋体" w:cs="宋体"/>
          <w:sz w:val="24"/>
        </w:rPr>
      </w:pPr>
      <w:r>
        <w:rPr>
          <w:rFonts w:hint="eastAsia" w:ascii="宋体" w:hAnsi="宋体" w:eastAsia="宋体" w:cs="宋体"/>
          <w:sz w:val="24"/>
        </w:rPr>
        <w:t>自本公告发布</w:t>
      </w:r>
      <w:r>
        <w:rPr>
          <w:rFonts w:hint="eastAsia" w:ascii="宋体" w:hAnsi="宋体" w:eastAsia="宋体" w:cs="宋体"/>
          <w:b w:val="0"/>
          <w:bCs w:val="0"/>
          <w:sz w:val="24"/>
          <w:highlight w:val="none"/>
        </w:rPr>
        <w:t>之日起</w:t>
      </w:r>
      <w:r>
        <w:rPr>
          <w:rFonts w:hint="eastAsia" w:ascii="宋体" w:hAnsi="宋体" w:cs="宋体"/>
          <w:b w:val="0"/>
          <w:bCs w:val="0"/>
          <w:sz w:val="24"/>
          <w:highlight w:val="none"/>
          <w:lang w:val="en-US" w:eastAsia="zh-CN"/>
        </w:rPr>
        <w:t>3</w:t>
      </w:r>
      <w:r>
        <w:rPr>
          <w:rFonts w:hint="eastAsia" w:ascii="宋体" w:hAnsi="宋体" w:eastAsia="宋体" w:cs="宋体"/>
          <w:b w:val="0"/>
          <w:bCs w:val="0"/>
          <w:sz w:val="24"/>
          <w:highlight w:val="none"/>
        </w:rPr>
        <w:t>个工</w:t>
      </w:r>
      <w:r>
        <w:rPr>
          <w:rFonts w:hint="eastAsia" w:ascii="宋体" w:hAnsi="宋体" w:eastAsia="宋体" w:cs="宋体"/>
          <w:sz w:val="24"/>
        </w:rPr>
        <w:t>作日。</w:t>
      </w:r>
    </w:p>
    <w:p w14:paraId="03F311A3">
      <w:pPr>
        <w:keepNext w:val="0"/>
        <w:keepLines w:val="0"/>
        <w:pageBreakBefore w:val="0"/>
        <w:widowControl w:val="0"/>
        <w:spacing w:line="400" w:lineRule="exact"/>
        <w:ind w:firstLine="482"/>
        <w:rPr>
          <w:rFonts w:hint="eastAsia" w:ascii="宋体" w:hAnsi="宋体" w:eastAsia="宋体" w:cs="宋体"/>
          <w:b/>
          <w:sz w:val="24"/>
          <w:lang w:val="en-US" w:eastAsia="zh-CN"/>
        </w:rPr>
      </w:pPr>
      <w:r>
        <w:rPr>
          <w:rFonts w:hint="eastAsia" w:ascii="宋体" w:hAnsi="宋体" w:eastAsia="宋体" w:cs="宋体"/>
          <w:b/>
          <w:sz w:val="24"/>
          <w:lang w:val="en-US" w:eastAsia="zh-CN"/>
        </w:rPr>
        <w:t>七、其他补充事宜</w:t>
      </w:r>
    </w:p>
    <w:p w14:paraId="6429AA94">
      <w:pPr>
        <w:keepNext w:val="0"/>
        <w:keepLines w:val="0"/>
        <w:pageBreakBefore w:val="0"/>
        <w:widowControl w:val="0"/>
        <w:spacing w:line="400" w:lineRule="exact"/>
        <w:ind w:firstLine="48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一</w:t>
      </w:r>
      <w:r>
        <w:rPr>
          <w:rFonts w:hint="eastAsia" w:ascii="宋体" w:hAnsi="宋体" w:eastAsia="宋体" w:cs="宋体"/>
          <w:sz w:val="24"/>
          <w:lang w:eastAsia="zh-CN"/>
        </w:rPr>
        <w:t>）</w:t>
      </w:r>
      <w:r>
        <w:rPr>
          <w:rFonts w:hint="eastAsia" w:ascii="宋体" w:hAnsi="宋体" w:eastAsia="宋体" w:cs="宋体"/>
          <w:sz w:val="24"/>
        </w:rPr>
        <w:t>磋商保证金：</w:t>
      </w:r>
      <w:r>
        <w:rPr>
          <w:rFonts w:hint="eastAsia" w:ascii="宋体" w:hAnsi="宋体" w:eastAsia="宋体" w:cs="宋体"/>
          <w:color w:val="0000FF"/>
          <w:sz w:val="24"/>
        </w:rPr>
        <w:t>根据苏财购〔2020〕52号文件要求，为进一步降低供应商投标成本，取消政府采购磋商保证金</w:t>
      </w:r>
    </w:p>
    <w:p w14:paraId="2029EE20">
      <w:pPr>
        <w:keepNext w:val="0"/>
        <w:keepLines w:val="0"/>
        <w:pageBreakBefore w:val="0"/>
        <w:widowControl w:val="0"/>
        <w:spacing w:line="400" w:lineRule="exact"/>
        <w:ind w:firstLine="480"/>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二</w:t>
      </w:r>
      <w:r>
        <w:rPr>
          <w:rFonts w:hint="eastAsia" w:ascii="宋体" w:hAnsi="宋体" w:eastAsia="宋体" w:cs="宋体"/>
          <w:sz w:val="24"/>
          <w:lang w:eastAsia="zh-CN"/>
        </w:rPr>
        <w:t>）1、乙方交纳人民币_________元作为本合同的履约保证金。（不得超过合同金额的1%）</w:t>
      </w:r>
    </w:p>
    <w:p w14:paraId="4FC47B91">
      <w:pPr>
        <w:keepNext w:val="0"/>
        <w:keepLines w:val="0"/>
        <w:pageBreakBefore w:val="0"/>
        <w:widowControl w:val="0"/>
        <w:spacing w:line="400" w:lineRule="exact"/>
        <w:ind w:firstLine="480"/>
        <w:rPr>
          <w:rFonts w:hint="eastAsia" w:ascii="宋体" w:hAnsi="宋体" w:eastAsia="宋体" w:cs="宋体"/>
          <w:sz w:val="24"/>
          <w:lang w:eastAsia="zh-CN"/>
        </w:rPr>
      </w:pPr>
      <w:r>
        <w:rPr>
          <w:rFonts w:hint="eastAsia" w:ascii="宋体" w:hAnsi="宋体" w:eastAsia="宋体" w:cs="宋体"/>
          <w:sz w:val="24"/>
          <w:lang w:eastAsia="zh-CN"/>
        </w:rPr>
        <w:t>2、乙方提供的履约保证金可以是人民币形式（银行本票、汇票、支票、电汇），或银行保函、担保公司的保证担保或保险公司的保证保险等多种形式。</w:t>
      </w:r>
    </w:p>
    <w:p w14:paraId="533B92D0">
      <w:pPr>
        <w:keepNext w:val="0"/>
        <w:keepLines w:val="0"/>
        <w:pageBreakBefore w:val="0"/>
        <w:widowControl w:val="0"/>
        <w:spacing w:line="400" w:lineRule="exact"/>
        <w:ind w:firstLine="480"/>
        <w:rPr>
          <w:rFonts w:hint="eastAsia" w:ascii="宋体" w:hAnsi="宋体" w:eastAsia="宋体" w:cs="宋体"/>
          <w:sz w:val="24"/>
          <w:lang w:eastAsia="zh-CN"/>
        </w:rPr>
      </w:pPr>
      <w:r>
        <w:rPr>
          <w:rFonts w:hint="eastAsia" w:ascii="宋体" w:hAnsi="宋体" w:eastAsia="宋体" w:cs="宋体"/>
          <w:sz w:val="24"/>
          <w:lang w:eastAsia="zh-CN"/>
        </w:rPr>
        <w:t>3、乙方选取银行保函、担保公司的保证担保或保险公司的保证保险等形式的向采购人缴纳的，如保函（担保、保险等）的约定期到期但乙方履约仍未结束的，乙方须进行续保。</w:t>
      </w:r>
    </w:p>
    <w:p w14:paraId="67FC82E0">
      <w:pPr>
        <w:keepNext w:val="0"/>
        <w:keepLines w:val="0"/>
        <w:pageBreakBefore w:val="0"/>
        <w:widowControl w:val="0"/>
        <w:spacing w:line="400" w:lineRule="exact"/>
        <w:ind w:firstLine="480"/>
        <w:rPr>
          <w:rFonts w:hint="eastAsia" w:ascii="宋体" w:hAnsi="宋体" w:eastAsia="宋体" w:cs="宋体"/>
          <w:sz w:val="24"/>
          <w:lang w:eastAsia="zh-CN"/>
        </w:rPr>
      </w:pPr>
      <w:r>
        <w:rPr>
          <w:rFonts w:hint="eastAsia" w:ascii="宋体" w:hAnsi="宋体" w:eastAsia="宋体" w:cs="宋体"/>
          <w:sz w:val="24"/>
          <w:lang w:eastAsia="zh-CN"/>
        </w:rPr>
        <w:t>4、乙方选取以履约保函（保险）形式向采购人缴纳的，按照《关于在全省政府采购领域推行电子履约保函（保险）的通知》（苏财购【2023】150号）的要求，登录“政府采购电子履约保函（保险）平台”，选择第三方机构并提交保函（保险）申请，经审核通过后支付相关费用。</w:t>
      </w:r>
    </w:p>
    <w:p w14:paraId="1C94B22A">
      <w:pPr>
        <w:keepNext w:val="0"/>
        <w:keepLines w:val="0"/>
        <w:pageBreakBefore w:val="0"/>
        <w:widowControl w:val="0"/>
        <w:spacing w:line="400" w:lineRule="exact"/>
        <w:ind w:firstLine="480"/>
        <w:rPr>
          <w:rFonts w:hint="eastAsia" w:ascii="宋体" w:hAnsi="宋体" w:eastAsia="宋体" w:cs="宋体"/>
          <w:sz w:val="24"/>
          <w:lang w:eastAsia="zh-CN"/>
        </w:rPr>
      </w:pPr>
      <w:r>
        <w:rPr>
          <w:rFonts w:hint="eastAsia" w:ascii="宋体" w:hAnsi="宋体" w:eastAsia="宋体" w:cs="宋体"/>
          <w:sz w:val="24"/>
          <w:lang w:eastAsia="zh-CN"/>
        </w:rPr>
        <w:t>5、如乙方未能履行合同规定的义务，甲方有权从履约保证金中取得补偿。</w:t>
      </w:r>
    </w:p>
    <w:p w14:paraId="7353B72A">
      <w:pPr>
        <w:keepNext w:val="0"/>
        <w:keepLines w:val="0"/>
        <w:pageBreakBefore w:val="0"/>
        <w:widowControl w:val="0"/>
        <w:spacing w:line="400" w:lineRule="exact"/>
        <w:ind w:firstLine="480"/>
        <w:rPr>
          <w:rFonts w:hint="eastAsia" w:ascii="宋体" w:hAnsi="宋体" w:eastAsia="宋体" w:cs="宋体"/>
          <w:sz w:val="24"/>
          <w:lang w:eastAsia="zh-CN"/>
        </w:rPr>
      </w:pPr>
      <w:r>
        <w:rPr>
          <w:rFonts w:hint="eastAsia" w:ascii="宋体" w:hAnsi="宋体" w:eastAsia="宋体" w:cs="宋体"/>
          <w:sz w:val="24"/>
          <w:lang w:eastAsia="zh-CN"/>
        </w:rPr>
        <w:t>6、履约保证金在合同约定期间内不予退还或者应完全有效，约定期间届满之日起 5个工作日内，甲方应将履约保证金退还乙方；逾期退还的，按中国人民银行同期贷款基利率上浮20%后的利率支付超期资金占用费，但因乙方自身原因导致无法及时退还的除外。</w:t>
      </w:r>
    </w:p>
    <w:p w14:paraId="13B5EE8F">
      <w:pPr>
        <w:keepNext w:val="0"/>
        <w:keepLines w:val="0"/>
        <w:pageBreakBefore w:val="0"/>
        <w:widowControl w:val="0"/>
        <w:spacing w:line="400" w:lineRule="exact"/>
        <w:ind w:firstLine="480"/>
        <w:rPr>
          <w:rFonts w:hint="eastAsia" w:ascii="宋体" w:hAnsi="宋体" w:eastAsia="宋体" w:cs="宋体"/>
          <w:sz w:val="24"/>
          <w:lang w:eastAsia="zh-CN"/>
        </w:rPr>
      </w:pPr>
      <w:r>
        <w:rPr>
          <w:rFonts w:hint="eastAsia" w:ascii="宋体" w:hAnsi="宋体" w:eastAsia="宋体" w:cs="宋体"/>
          <w:sz w:val="24"/>
          <w:lang w:eastAsia="zh-CN"/>
        </w:rPr>
        <w:t>7、履约保证金在合同约定期间内不予退还或者应完全有效，履约保证金在项目验收合格后退还给乙方。</w:t>
      </w:r>
    </w:p>
    <w:p w14:paraId="56E43D14">
      <w:pPr>
        <w:keepNext w:val="0"/>
        <w:keepLines w:val="0"/>
        <w:pageBreakBefore w:val="0"/>
        <w:widowControl w:val="0"/>
        <w:spacing w:line="400" w:lineRule="exact"/>
        <w:ind w:firstLine="48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三</w:t>
      </w:r>
      <w:r>
        <w:rPr>
          <w:rFonts w:hint="eastAsia" w:ascii="宋体" w:hAnsi="宋体" w:eastAsia="宋体" w:cs="宋体"/>
          <w:sz w:val="24"/>
          <w:lang w:eastAsia="zh-CN"/>
        </w:rPr>
        <w:t>）</w:t>
      </w:r>
      <w:r>
        <w:rPr>
          <w:rFonts w:hint="eastAsia" w:ascii="宋体" w:hAnsi="宋体" w:eastAsia="宋体" w:cs="宋体"/>
          <w:sz w:val="24"/>
        </w:rPr>
        <w:t>本项目采用“苏采云全流程不见面交易”模式，通过不见面交易系统及相应的配套硬件设备（摄像头、话筒、麦克风等）完成远程解密、澄清等交互环节。相关要求和说明</w:t>
      </w:r>
      <w:r>
        <w:rPr>
          <w:rFonts w:hint="eastAsia" w:ascii="宋体" w:hAnsi="宋体" w:eastAsia="宋体" w:cs="宋体"/>
          <w:sz w:val="24"/>
          <w:lang w:eastAsia="zh-CN"/>
        </w:rPr>
        <w:t>，</w:t>
      </w:r>
      <w:r>
        <w:rPr>
          <w:rFonts w:hint="eastAsia" w:ascii="宋体" w:hAnsi="宋体" w:eastAsia="宋体" w:cs="宋体"/>
          <w:sz w:val="24"/>
        </w:rPr>
        <w:t>详见第二章“供应商须知”第</w:t>
      </w:r>
      <w:r>
        <w:rPr>
          <w:rFonts w:hint="eastAsia" w:ascii="宋体" w:hAnsi="宋体" w:eastAsia="宋体" w:cs="宋体"/>
          <w:sz w:val="24"/>
          <w:lang w:val="en-US" w:eastAsia="zh-CN"/>
        </w:rPr>
        <w:t>18</w:t>
      </w:r>
      <w:r>
        <w:rPr>
          <w:rFonts w:hint="eastAsia" w:ascii="宋体" w:hAnsi="宋体" w:eastAsia="宋体" w:cs="宋体"/>
          <w:sz w:val="24"/>
        </w:rPr>
        <w:t>条。</w:t>
      </w:r>
    </w:p>
    <w:p w14:paraId="3CBA5379">
      <w:pPr>
        <w:keepNext w:val="0"/>
        <w:keepLines w:val="0"/>
        <w:pageBreakBefore w:val="0"/>
        <w:widowControl w:val="0"/>
        <w:spacing w:line="400" w:lineRule="exact"/>
        <w:ind w:firstLine="48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四</w:t>
      </w:r>
      <w:r>
        <w:rPr>
          <w:rFonts w:hint="eastAsia" w:ascii="宋体" w:hAnsi="宋体" w:eastAsia="宋体" w:cs="宋体"/>
          <w:sz w:val="24"/>
          <w:lang w:eastAsia="zh-CN"/>
        </w:rPr>
        <w:t>）</w:t>
      </w:r>
      <w:r>
        <w:rPr>
          <w:rFonts w:hint="eastAsia" w:ascii="宋体" w:hAnsi="宋体" w:eastAsia="宋体" w:cs="宋体"/>
          <w:sz w:val="24"/>
        </w:rPr>
        <w:t>根据省财政厅《关于更换全省政府采购交易系统CA数字证书和电子签章的通知》（苏财购〔2023〕101号），“苏采云”政府采购交易系统（以下简称苏采云系统）的CA数字证书、电子签章已更换为江苏省电子政务证书认证中心CA和方正国际软件（北京）有限公司电子签章。如果供应商通过苏采云系统参与政府采购项目，需要更换或办理CA数字证书和电子签章。具体办理指南和操作手册《苏采云系统供应商操作手册》见链接：</w:t>
      </w:r>
      <w:r>
        <w:rPr>
          <w:rFonts w:hint="eastAsia" w:ascii="宋体" w:hAnsi="宋体" w:eastAsia="宋体" w:cs="宋体"/>
          <w:sz w:val="24"/>
        </w:rPr>
        <w:fldChar w:fldCharType="begin"/>
      </w:r>
      <w:r>
        <w:rPr>
          <w:rFonts w:hint="eastAsia" w:ascii="宋体" w:hAnsi="宋体" w:eastAsia="宋体" w:cs="宋体"/>
          <w:sz w:val="24"/>
        </w:rPr>
        <w:instrText xml:space="preserve"> HYPERLINK "http://www.ccgp-jiangsu.gov.cn/jiangsu/zlxz/ee/ee3a4bc5a3454aa2b0d9312230633ce9.html%E3%80%82" \o "http://www.ccgp-jiangsu.gov.cn/jiangsu/zlxz/ee/ee3a4bc5a3454aa2b0d9312230633ce9.html%E3%80%82" </w:instrText>
      </w:r>
      <w:r>
        <w:rPr>
          <w:rFonts w:hint="eastAsia" w:ascii="宋体" w:hAnsi="宋体" w:eastAsia="宋体" w:cs="宋体"/>
          <w:sz w:val="24"/>
        </w:rPr>
        <w:fldChar w:fldCharType="separate"/>
      </w:r>
      <w:r>
        <w:rPr>
          <w:rFonts w:hint="eastAsia" w:ascii="宋体" w:hAnsi="宋体" w:eastAsia="宋体" w:cs="宋体"/>
          <w:sz w:val="24"/>
        </w:rPr>
        <w:t>http://www.ccgp</w:t>
      </w:r>
      <w:r>
        <w:rPr>
          <w:rFonts w:hint="eastAsia" w:ascii="宋体" w:hAnsi="宋体" w:eastAsia="宋体" w:cs="宋体"/>
          <w:sz w:val="24"/>
          <w:lang w:val="en-US" w:eastAsia="zh-CN"/>
        </w:rPr>
        <w:t>-</w:t>
      </w:r>
      <w:r>
        <w:rPr>
          <w:rFonts w:hint="eastAsia" w:ascii="宋体" w:hAnsi="宋体" w:eastAsia="宋体" w:cs="宋体"/>
          <w:sz w:val="24"/>
        </w:rPr>
        <w:t>jiangsu.gov.cn/jiangsu/zlxz/ee/ee3a4bc5a3454aa2b0d9312230633ce9.html。</w:t>
      </w:r>
      <w:r>
        <w:rPr>
          <w:rFonts w:hint="eastAsia" w:ascii="宋体" w:hAnsi="宋体" w:eastAsia="宋体" w:cs="宋体"/>
          <w:sz w:val="24"/>
        </w:rPr>
        <w:fldChar w:fldCharType="end"/>
      </w:r>
    </w:p>
    <w:p w14:paraId="5A1D0685">
      <w:pPr>
        <w:keepNext w:val="0"/>
        <w:keepLines w:val="0"/>
        <w:pageBreakBefore w:val="0"/>
        <w:widowControl w:val="0"/>
        <w:spacing w:line="400" w:lineRule="exact"/>
        <w:ind w:firstLine="480"/>
        <w:rPr>
          <w:rFonts w:hint="eastAsia" w:ascii="宋体" w:hAnsi="宋体" w:eastAsia="宋体" w:cs="宋体"/>
          <w:sz w:val="24"/>
        </w:rPr>
      </w:pPr>
      <w:r>
        <w:rPr>
          <w:rFonts w:hint="eastAsia" w:ascii="宋体" w:hAnsi="宋体" w:eastAsia="宋体" w:cs="宋体"/>
          <w:sz w:val="24"/>
          <w:lang w:val="en-US" w:eastAsia="zh-CN"/>
        </w:rPr>
        <w:t>（五）</w:t>
      </w:r>
      <w:r>
        <w:rPr>
          <w:rFonts w:hint="eastAsia" w:ascii="宋体" w:hAnsi="宋体" w:eastAsia="宋体" w:cs="宋体"/>
          <w:sz w:val="24"/>
        </w:rPr>
        <w:t>有关本次磋商的事项若存在变动或修改，敬请及时关注江苏政府采购网或淮安市政府采购网发布的更正公告，否则产生的后果由供应商自行承担。</w:t>
      </w:r>
    </w:p>
    <w:p w14:paraId="7FB93DE9">
      <w:pPr>
        <w:keepNext w:val="0"/>
        <w:keepLines w:val="0"/>
        <w:pageBreakBefore w:val="0"/>
        <w:widowControl w:val="0"/>
        <w:spacing w:line="400" w:lineRule="exact"/>
        <w:ind w:firstLine="482"/>
        <w:rPr>
          <w:rFonts w:hint="eastAsia" w:ascii="宋体" w:hAnsi="宋体" w:eastAsia="宋体" w:cs="宋体"/>
          <w:b/>
          <w:sz w:val="24"/>
          <w:lang w:val="en-US" w:eastAsia="zh-CN"/>
        </w:rPr>
      </w:pPr>
      <w:r>
        <w:rPr>
          <w:rFonts w:hint="eastAsia" w:ascii="宋体" w:hAnsi="宋体" w:eastAsia="宋体" w:cs="宋体"/>
          <w:b/>
          <w:sz w:val="24"/>
          <w:lang w:val="en-US" w:eastAsia="zh-CN"/>
        </w:rPr>
        <w:t>八、对本次采购提出询问，请按以下方式联系。</w:t>
      </w:r>
    </w:p>
    <w:p w14:paraId="0234D445">
      <w:pPr>
        <w:keepNext w:val="0"/>
        <w:keepLines w:val="0"/>
        <w:pageBreakBefore w:val="0"/>
        <w:widowControl w:val="0"/>
        <w:spacing w:line="400" w:lineRule="exact"/>
        <w:ind w:firstLine="48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采购人联系方式</w:t>
      </w:r>
    </w:p>
    <w:p w14:paraId="5B344A84">
      <w:pPr>
        <w:keepNext w:val="0"/>
        <w:keepLines w:val="0"/>
        <w:pageBreakBefore w:val="0"/>
        <w:widowControl w:val="0"/>
        <w:spacing w:line="400" w:lineRule="exact"/>
        <w:ind w:firstLine="480"/>
        <w:rPr>
          <w:rFonts w:hint="eastAsia" w:ascii="宋体" w:hAnsi="宋体" w:eastAsia="宋体" w:cs="宋体"/>
          <w:color w:val="000000"/>
          <w:sz w:val="24"/>
          <w:lang w:eastAsia="zh-CN"/>
        </w:rPr>
      </w:pPr>
      <w:r>
        <w:rPr>
          <w:rFonts w:hint="eastAsia" w:ascii="宋体" w:hAnsi="宋体" w:eastAsia="宋体" w:cs="宋体"/>
          <w:color w:val="000000"/>
          <w:sz w:val="24"/>
        </w:rPr>
        <w:t>名</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称</w:t>
      </w:r>
      <w:r>
        <w:rPr>
          <w:rFonts w:hint="eastAsia" w:ascii="宋体" w:hAnsi="宋体" w:eastAsia="宋体" w:cs="宋体"/>
          <w:color w:val="000000"/>
          <w:sz w:val="24"/>
          <w:lang w:eastAsia="zh-CN"/>
        </w:rPr>
        <w:t>：</w:t>
      </w:r>
      <w:bookmarkStart w:id="15" w:name="OLE_LINK24"/>
      <w:r>
        <w:rPr>
          <w:rFonts w:hint="eastAsia" w:ascii="宋体" w:hAnsi="宋体" w:eastAsia="宋体" w:cs="宋体"/>
          <w:color w:val="000000"/>
          <w:sz w:val="24"/>
          <w:lang w:eastAsia="zh-CN"/>
        </w:rPr>
        <w:t>盱眙县盱城街道办事处</w:t>
      </w:r>
      <w:bookmarkEnd w:id="15"/>
    </w:p>
    <w:p w14:paraId="04DD9736">
      <w:pPr>
        <w:keepNext w:val="0"/>
        <w:keepLines w:val="0"/>
        <w:pageBreakBefore w:val="0"/>
        <w:widowControl w:val="0"/>
        <w:spacing w:line="400" w:lineRule="exact"/>
        <w:ind w:firstLine="480"/>
        <w:rPr>
          <w:rFonts w:hint="eastAsia" w:ascii="宋体" w:hAnsi="宋体" w:eastAsia="宋体" w:cs="宋体"/>
          <w:color w:val="000000"/>
          <w:sz w:val="24"/>
        </w:rPr>
      </w:pPr>
      <w:r>
        <w:rPr>
          <w:rFonts w:hint="eastAsia" w:ascii="宋体" w:hAnsi="宋体" w:eastAsia="宋体" w:cs="宋体"/>
          <w:color w:val="000000"/>
          <w:sz w:val="24"/>
        </w:rPr>
        <w:t>地    址：</w:t>
      </w:r>
      <w:r>
        <w:rPr>
          <w:rFonts w:hint="eastAsia" w:ascii="宋体" w:hAnsi="宋体" w:eastAsia="宋体" w:cs="宋体"/>
          <w:color w:val="000000"/>
          <w:sz w:val="24"/>
          <w:lang w:eastAsia="zh-CN"/>
        </w:rPr>
        <w:t>盱眙县盱城</w:t>
      </w:r>
      <w:r>
        <w:rPr>
          <w:rFonts w:hint="eastAsia" w:ascii="宋体" w:hAnsi="宋体" w:eastAsia="宋体" w:cs="宋体"/>
          <w:color w:val="000000"/>
          <w:sz w:val="24"/>
          <w:lang w:val="en-US" w:eastAsia="zh-CN"/>
        </w:rPr>
        <w:t>街道淮河东路37号</w:t>
      </w:r>
    </w:p>
    <w:p w14:paraId="1E3A7C82">
      <w:pPr>
        <w:keepNext w:val="0"/>
        <w:keepLines w:val="0"/>
        <w:pageBreakBefore w:val="0"/>
        <w:widowControl w:val="0"/>
        <w:spacing w:line="400" w:lineRule="exact"/>
        <w:ind w:firstLine="480"/>
        <w:rPr>
          <w:rFonts w:hint="default" w:ascii="宋体" w:hAnsi="宋体" w:eastAsia="宋体" w:cs="宋体"/>
          <w:color w:val="000000"/>
          <w:sz w:val="24"/>
          <w:lang w:val="en-US" w:eastAsia="zh-CN"/>
        </w:rPr>
      </w:pPr>
      <w:r>
        <w:rPr>
          <w:rFonts w:hint="eastAsia" w:ascii="宋体" w:hAnsi="宋体" w:eastAsia="宋体" w:cs="宋体"/>
          <w:color w:val="000000"/>
          <w:sz w:val="24"/>
        </w:rPr>
        <w:t>联</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系</w:t>
      </w:r>
      <w:r>
        <w:rPr>
          <w:rFonts w:hint="eastAsia" w:ascii="宋体" w:hAnsi="宋体" w:eastAsia="宋体" w:cs="宋体"/>
          <w:color w:val="000000"/>
          <w:sz w:val="24"/>
          <w:lang w:val="en-US" w:eastAsia="zh-CN"/>
        </w:rPr>
        <w:t xml:space="preserve"> 人</w:t>
      </w:r>
      <w:r>
        <w:rPr>
          <w:rFonts w:hint="eastAsia" w:ascii="宋体" w:hAnsi="宋体" w:eastAsia="宋体" w:cs="宋体"/>
          <w:color w:val="000000"/>
          <w:sz w:val="24"/>
        </w:rPr>
        <w:t>：</w:t>
      </w:r>
      <w:r>
        <w:rPr>
          <w:rFonts w:hint="eastAsia" w:ascii="宋体" w:hAnsi="宋体" w:cs="宋体"/>
          <w:color w:val="000000"/>
          <w:sz w:val="24"/>
          <w:lang w:val="en-US" w:eastAsia="zh-CN"/>
        </w:rPr>
        <w:t>曾先生</w:t>
      </w:r>
    </w:p>
    <w:p w14:paraId="55B5D733">
      <w:pPr>
        <w:keepNext w:val="0"/>
        <w:keepLines w:val="0"/>
        <w:pageBreakBefore w:val="0"/>
        <w:widowControl w:val="0"/>
        <w:spacing w:line="40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电    话：0517-88206578 </w:t>
      </w:r>
    </w:p>
    <w:p w14:paraId="6FB04C72">
      <w:pPr>
        <w:keepNext w:val="0"/>
        <w:keepLines w:val="0"/>
        <w:pageBreakBefore w:val="0"/>
        <w:widowControl w:val="0"/>
        <w:spacing w:line="400" w:lineRule="exact"/>
        <w:ind w:firstLine="480"/>
        <w:rPr>
          <w:rFonts w:hint="eastAsia" w:ascii="宋体" w:hAnsi="宋体" w:eastAsia="宋体" w:cs="宋体"/>
          <w:color w:val="000000"/>
          <w:sz w:val="24"/>
        </w:rPr>
      </w:pPr>
      <w:r>
        <w:rPr>
          <w:rFonts w:hint="eastAsia" w:ascii="宋体" w:hAnsi="宋体" w:eastAsia="宋体" w:cs="宋体"/>
          <w:color w:val="000000"/>
          <w:sz w:val="24"/>
          <w:lang w:val="en-US" w:eastAsia="zh-CN"/>
        </w:rPr>
        <w:t>2.</w:t>
      </w:r>
      <w:r>
        <w:rPr>
          <w:rFonts w:hint="eastAsia" w:ascii="宋体" w:hAnsi="宋体" w:eastAsia="宋体" w:cs="宋体"/>
          <w:color w:val="000000"/>
          <w:sz w:val="24"/>
        </w:rPr>
        <w:t>采购代理机构信息</w:t>
      </w:r>
    </w:p>
    <w:p w14:paraId="05297EF1">
      <w:pPr>
        <w:keepNext w:val="0"/>
        <w:keepLines w:val="0"/>
        <w:pageBreakBefore w:val="0"/>
        <w:widowControl w:val="0"/>
        <w:spacing w:line="400" w:lineRule="exact"/>
        <w:ind w:firstLine="480"/>
        <w:rPr>
          <w:rFonts w:hint="eastAsia" w:ascii="宋体" w:hAnsi="宋体" w:eastAsia="宋体" w:cs="宋体"/>
          <w:color w:val="000000"/>
          <w:sz w:val="24"/>
          <w:lang w:eastAsia="zh-CN"/>
        </w:rPr>
      </w:pPr>
      <w:bookmarkStart w:id="16" w:name="OLE_LINK14"/>
      <w:r>
        <w:rPr>
          <w:rFonts w:hint="eastAsia" w:ascii="宋体" w:hAnsi="宋体" w:eastAsia="宋体" w:cs="宋体"/>
          <w:color w:val="000000"/>
          <w:sz w:val="24"/>
        </w:rPr>
        <w:t>名</w:t>
      </w:r>
      <w:r>
        <w:rPr>
          <w:rFonts w:hint="eastAsia" w:ascii="宋体" w:hAnsi="宋体" w:eastAsia="宋体" w:cs="宋体"/>
          <w:color w:val="000000"/>
          <w:sz w:val="24"/>
          <w:lang w:val="en-US" w:eastAsia="zh-CN"/>
        </w:rPr>
        <w:t xml:space="preserve">  </w:t>
      </w:r>
      <w:bookmarkStart w:id="17" w:name="OLE_LINK5"/>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称</w:t>
      </w:r>
      <w:r>
        <w:rPr>
          <w:rFonts w:hint="eastAsia" w:ascii="宋体" w:hAnsi="宋体" w:eastAsia="宋体" w:cs="宋体"/>
          <w:color w:val="000000"/>
          <w:sz w:val="24"/>
          <w:lang w:eastAsia="zh-CN"/>
        </w:rPr>
        <w:t>：淮</w:t>
      </w:r>
      <w:bookmarkEnd w:id="17"/>
      <w:r>
        <w:rPr>
          <w:rFonts w:hint="eastAsia" w:ascii="宋体" w:hAnsi="宋体" w:eastAsia="宋体" w:cs="宋体"/>
          <w:color w:val="000000"/>
          <w:sz w:val="24"/>
          <w:lang w:eastAsia="zh-CN"/>
        </w:rPr>
        <w:t>安德誉工程项目管理有限公司</w:t>
      </w:r>
    </w:p>
    <w:p w14:paraId="146C18D9">
      <w:pPr>
        <w:keepNext w:val="0"/>
        <w:keepLines w:val="0"/>
        <w:pageBreakBefore w:val="0"/>
        <w:widowControl w:val="0"/>
        <w:spacing w:line="40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eastAsia="zh-CN"/>
        </w:rPr>
        <w:t>地</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lang w:eastAsia="zh-CN"/>
        </w:rPr>
        <w:t>址：</w:t>
      </w:r>
      <w:r>
        <w:rPr>
          <w:rFonts w:hint="eastAsia" w:ascii="宋体" w:hAnsi="宋体" w:cs="宋体"/>
          <w:color w:val="000000"/>
          <w:sz w:val="24"/>
          <w:lang w:eastAsia="zh-CN"/>
        </w:rPr>
        <w:t>盱眙县盱城街道二山路2-4号（二楼）</w:t>
      </w:r>
    </w:p>
    <w:p w14:paraId="06D13455">
      <w:pPr>
        <w:keepNext w:val="0"/>
        <w:keepLines w:val="0"/>
        <w:pageBreakBefore w:val="0"/>
        <w:widowControl w:val="0"/>
        <w:spacing w:line="40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rPr>
        <w:t>联</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系</w:t>
      </w:r>
      <w:r>
        <w:rPr>
          <w:rFonts w:hint="eastAsia" w:ascii="宋体" w:hAnsi="宋体" w:eastAsia="宋体" w:cs="宋体"/>
          <w:color w:val="000000"/>
          <w:sz w:val="24"/>
          <w:lang w:val="en-US" w:eastAsia="zh-CN"/>
        </w:rPr>
        <w:t xml:space="preserve"> 人</w:t>
      </w:r>
      <w:r>
        <w:rPr>
          <w:rFonts w:hint="eastAsia" w:ascii="宋体" w:hAnsi="宋体" w:eastAsia="宋体" w:cs="宋体"/>
          <w:color w:val="000000"/>
          <w:sz w:val="24"/>
        </w:rPr>
        <w:t>：</w:t>
      </w:r>
      <w:r>
        <w:rPr>
          <w:rFonts w:hint="eastAsia" w:ascii="宋体" w:hAnsi="宋体" w:cs="宋体"/>
          <w:color w:val="000000"/>
          <w:sz w:val="24"/>
          <w:lang w:eastAsia="zh-CN"/>
        </w:rPr>
        <w:t>李方玉</w:t>
      </w:r>
    </w:p>
    <w:p w14:paraId="6D948C57">
      <w:pPr>
        <w:keepNext w:val="0"/>
        <w:keepLines w:val="0"/>
        <w:pageBreakBefore w:val="0"/>
        <w:widowControl w:val="0"/>
        <w:spacing w:line="400" w:lineRule="exact"/>
        <w:ind w:firstLine="48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电    话：</w:t>
      </w:r>
      <w:r>
        <w:rPr>
          <w:rFonts w:hint="eastAsia" w:ascii="宋体" w:hAnsi="宋体" w:cs="宋体"/>
          <w:color w:val="000000"/>
          <w:sz w:val="24"/>
          <w:lang w:val="en-US" w:eastAsia="zh-CN"/>
        </w:rPr>
        <w:t>0517-88332298</w:t>
      </w:r>
    </w:p>
    <w:bookmarkEnd w:id="16"/>
    <w:p w14:paraId="4E0BE863">
      <w:pPr>
        <w:keepNext w:val="0"/>
        <w:keepLines w:val="0"/>
        <w:pageBreakBefore w:val="0"/>
        <w:widowControl w:val="0"/>
        <w:spacing w:line="40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3.项目联系方式</w:t>
      </w:r>
    </w:p>
    <w:p w14:paraId="6D56438D">
      <w:pPr>
        <w:keepNext w:val="0"/>
        <w:keepLines w:val="0"/>
        <w:pageBreakBefore w:val="0"/>
        <w:widowControl w:val="0"/>
        <w:spacing w:line="400" w:lineRule="exact"/>
        <w:ind w:firstLine="48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项目联系人：</w:t>
      </w:r>
      <w:bookmarkStart w:id="18" w:name="OLE_LINK22"/>
      <w:r>
        <w:rPr>
          <w:rFonts w:hint="eastAsia" w:ascii="宋体" w:hAnsi="宋体" w:cs="宋体"/>
          <w:color w:val="000000"/>
          <w:sz w:val="24"/>
          <w:lang w:val="en-US" w:eastAsia="zh-CN"/>
        </w:rPr>
        <w:t>曾</w:t>
      </w:r>
      <w:bookmarkEnd w:id="18"/>
      <w:r>
        <w:rPr>
          <w:rFonts w:hint="eastAsia" w:ascii="宋体" w:hAnsi="宋体" w:cs="宋体"/>
          <w:color w:val="000000"/>
          <w:sz w:val="24"/>
          <w:lang w:val="en-US" w:eastAsia="zh-CN"/>
        </w:rPr>
        <w:t>先生</w:t>
      </w:r>
    </w:p>
    <w:p w14:paraId="60255F10">
      <w:pPr>
        <w:keepNext w:val="0"/>
        <w:keepLines w:val="0"/>
        <w:pageBreakBefore w:val="0"/>
        <w:widowControl w:val="0"/>
        <w:spacing w:line="400" w:lineRule="exact"/>
        <w:ind w:firstLine="48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电话：</w:t>
      </w:r>
      <w:bookmarkStart w:id="19" w:name="OLE_LINK23"/>
      <w:r>
        <w:rPr>
          <w:rFonts w:hint="eastAsia" w:ascii="宋体" w:hAnsi="宋体" w:eastAsia="宋体" w:cs="宋体"/>
          <w:color w:val="000000"/>
          <w:sz w:val="24"/>
          <w:lang w:val="en-US" w:eastAsia="zh-CN"/>
        </w:rPr>
        <w:t>0517-88206578</w:t>
      </w:r>
      <w:bookmarkEnd w:id="19"/>
    </w:p>
    <w:p w14:paraId="1771769E">
      <w:pPr>
        <w:keepNext w:val="0"/>
        <w:keepLines w:val="0"/>
        <w:pageBreakBefore w:val="0"/>
        <w:widowControl w:val="0"/>
        <w:spacing w:line="400" w:lineRule="exact"/>
        <w:ind w:firstLine="480"/>
        <w:jc w:val="right"/>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盱眙县盱城街道办事处</w:t>
      </w:r>
    </w:p>
    <w:p w14:paraId="55B8FEEB">
      <w:pPr>
        <w:keepNext w:val="0"/>
        <w:keepLines w:val="0"/>
        <w:pageBreakBefore w:val="0"/>
        <w:widowControl w:val="0"/>
        <w:spacing w:line="400" w:lineRule="exact"/>
        <w:ind w:firstLine="480"/>
        <w:jc w:val="right"/>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2024年9月19日</w:t>
      </w:r>
    </w:p>
    <w:p w14:paraId="641B22BF">
      <w:pPr>
        <w:keepNext w:val="0"/>
        <w:keepLines w:val="0"/>
        <w:pageBreakBefore w:val="0"/>
        <w:widowControl w:val="0"/>
        <w:spacing w:line="400" w:lineRule="exact"/>
        <w:ind w:firstLine="480"/>
        <w:rPr>
          <w:rFonts w:hint="default" w:ascii="宋体" w:hAnsi="宋体" w:eastAsia="宋体" w:cs="宋体"/>
          <w:color w:val="0000FF"/>
          <w:sz w:val="24"/>
          <w:lang w:val="en-US" w:eastAsia="zh-CN"/>
        </w:rPr>
      </w:pPr>
      <w:r>
        <w:rPr>
          <w:rFonts w:hint="eastAsia" w:ascii="宋体" w:hAnsi="宋体" w:cs="宋体"/>
          <w:b/>
          <w:bCs/>
          <w:sz w:val="24"/>
          <w:lang w:val="en-US" w:eastAsia="zh-CN"/>
        </w:rPr>
        <w:t xml:space="preserve">              </w:t>
      </w:r>
      <w:r>
        <w:rPr>
          <w:rFonts w:hint="eastAsia" w:ascii="宋体" w:hAnsi="宋体" w:eastAsia="宋体" w:cs="宋体"/>
          <w:color w:val="0000FF"/>
          <w:sz w:val="24"/>
          <w:lang w:val="en-US" w:eastAsia="zh-CN"/>
        </w:rPr>
        <w:t xml:space="preserve"> </w:t>
      </w:r>
    </w:p>
    <w:p w14:paraId="3D4FAEFB">
      <w:pPr>
        <w:keepNext w:val="0"/>
        <w:keepLines w:val="0"/>
        <w:pageBreakBefore w:val="0"/>
        <w:widowControl w:val="0"/>
        <w:spacing w:line="400" w:lineRule="exact"/>
        <w:ind w:firstLine="480"/>
        <w:jc w:val="center"/>
        <w:rPr>
          <w:rFonts w:hint="eastAsia" w:ascii="宋体" w:hAnsi="宋体" w:eastAsia="宋体" w:cs="宋体"/>
          <w:b/>
          <w:color w:val="000000"/>
          <w:sz w:val="30"/>
          <w:szCs w:val="30"/>
          <w:highlight w:val="none"/>
        </w:rPr>
      </w:pPr>
      <w:r>
        <w:rPr>
          <w:rFonts w:hint="eastAsia" w:ascii="宋体" w:hAnsi="宋体" w:eastAsia="宋体" w:cs="宋体"/>
          <w:sz w:val="24"/>
        </w:rPr>
        <w:br w:type="page"/>
      </w:r>
      <w:r>
        <w:rPr>
          <w:rFonts w:hint="eastAsia" w:ascii="宋体" w:hAnsi="宋体" w:eastAsia="宋体" w:cs="宋体"/>
          <w:b/>
          <w:color w:val="000000"/>
          <w:sz w:val="30"/>
          <w:szCs w:val="30"/>
          <w:highlight w:val="none"/>
        </w:rPr>
        <w:t>第二章  供应商须知</w:t>
      </w:r>
    </w:p>
    <w:p w14:paraId="33EF20F1">
      <w:pPr>
        <w:pageBreakBefore w:val="0"/>
        <w:spacing w:line="420" w:lineRule="exac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一、总则</w:t>
      </w:r>
    </w:p>
    <w:p w14:paraId="317D1B5E">
      <w:pPr>
        <w:pageBreakBefore w:val="0"/>
        <w:spacing w:line="42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1.适用范围</w:t>
      </w:r>
    </w:p>
    <w:p w14:paraId="5E46F5DD">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本竞争性磋商文件仅适用于本次采购邀请中所述项目的采购。</w:t>
      </w:r>
    </w:p>
    <w:p w14:paraId="1118815C">
      <w:pPr>
        <w:pageBreakBefore w:val="0"/>
        <w:spacing w:line="420" w:lineRule="exac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2.合格的供应商</w:t>
      </w:r>
    </w:p>
    <w:p w14:paraId="0BE2411B">
      <w:pPr>
        <w:pageBreakBefore w:val="0"/>
        <w:spacing w:line="420" w:lineRule="exact"/>
        <w:ind w:left="-359" w:firstLine="784"/>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2.1满足第一章磋商邀请中供应商资格要求的规定。 </w:t>
      </w:r>
    </w:p>
    <w:p w14:paraId="49B0E787">
      <w:pPr>
        <w:pageBreakBefore w:val="0"/>
        <w:spacing w:line="420" w:lineRule="exact"/>
        <w:ind w:firstLine="488"/>
        <w:rPr>
          <w:rFonts w:hint="eastAsia" w:ascii="宋体" w:hAnsi="宋体" w:eastAsia="宋体" w:cs="宋体"/>
          <w:color w:val="000000"/>
          <w:sz w:val="24"/>
          <w:highlight w:val="none"/>
        </w:rPr>
      </w:pPr>
      <w:r>
        <w:rPr>
          <w:rFonts w:hint="eastAsia" w:ascii="宋体" w:hAnsi="宋体" w:eastAsia="宋体" w:cs="宋体"/>
          <w:color w:val="000000"/>
          <w:spacing w:val="6"/>
          <w:sz w:val="24"/>
          <w:highlight w:val="none"/>
        </w:rPr>
        <w:t>2.2</w:t>
      </w:r>
      <w:r>
        <w:rPr>
          <w:rFonts w:hint="eastAsia" w:ascii="宋体" w:hAnsi="宋体" w:eastAsia="宋体" w:cs="宋体"/>
          <w:color w:val="000000"/>
          <w:sz w:val="24"/>
          <w:highlight w:val="none"/>
        </w:rPr>
        <w:t>满足磋商文件中实质性条款的规定。</w:t>
      </w:r>
    </w:p>
    <w:p w14:paraId="7356ECCD">
      <w:pPr>
        <w:pageBreakBefore w:val="0"/>
        <w:spacing w:line="42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3.适用法律</w:t>
      </w:r>
    </w:p>
    <w:p w14:paraId="016028C2">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3.1《中华人民共和国政府采购法》《中华人民共和国政府采购法实施条例》《政府采购竞争性磋商采购方式管理暂行办法》等有关法律、规章和规定等。</w:t>
      </w:r>
    </w:p>
    <w:p w14:paraId="0F28798E">
      <w:pPr>
        <w:pageBreakBefore w:val="0"/>
        <w:spacing w:line="42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4.磋商费用</w:t>
      </w:r>
    </w:p>
    <w:p w14:paraId="11F785BD">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4.1供应商应自行承担所有与参加磋商有关的费用。不论磋商的结果如何，采购人在任何情况下均无义务和责任承担这些费用。</w:t>
      </w:r>
    </w:p>
    <w:p w14:paraId="2F1AFD9F">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4.2本次项目不收取文件工本费和成交管理费。</w:t>
      </w:r>
    </w:p>
    <w:p w14:paraId="11EE0357">
      <w:pPr>
        <w:pageBreakBefore w:val="0"/>
        <w:spacing w:line="420" w:lineRule="exac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二、磋商文件</w:t>
      </w:r>
    </w:p>
    <w:p w14:paraId="505270A9">
      <w:pPr>
        <w:pageBreakBefore w:val="0"/>
        <w:spacing w:line="420" w:lineRule="exact"/>
        <w:rPr>
          <w:rFonts w:hint="eastAsia" w:ascii="宋体" w:hAnsi="宋体" w:eastAsia="宋体" w:cs="宋体"/>
          <w:color w:val="000000"/>
          <w:sz w:val="24"/>
          <w:highlight w:val="none"/>
        </w:rPr>
      </w:pPr>
      <w:r>
        <w:rPr>
          <w:rFonts w:hint="eastAsia" w:ascii="宋体" w:hAnsi="宋体" w:eastAsia="宋体" w:cs="宋体"/>
          <w:bCs/>
          <w:color w:val="000000"/>
          <w:sz w:val="24"/>
          <w:highlight w:val="none"/>
        </w:rPr>
        <w:t>5.磋商文件</w:t>
      </w:r>
      <w:r>
        <w:rPr>
          <w:rFonts w:hint="eastAsia" w:ascii="宋体" w:hAnsi="宋体" w:eastAsia="宋体" w:cs="宋体"/>
          <w:color w:val="000000"/>
          <w:sz w:val="24"/>
          <w:highlight w:val="none"/>
        </w:rPr>
        <w:t>由以下部分组成</w:t>
      </w:r>
      <w:r>
        <w:rPr>
          <w:rFonts w:hint="eastAsia" w:ascii="宋体" w:hAnsi="宋体" w:cs="宋体"/>
          <w:color w:val="000000"/>
          <w:sz w:val="24"/>
          <w:highlight w:val="none"/>
          <w:lang w:eastAsia="zh-CN"/>
        </w:rPr>
        <w:t>：</w:t>
      </w:r>
    </w:p>
    <w:p w14:paraId="3984679F">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5.1磋商邀请</w:t>
      </w:r>
    </w:p>
    <w:p w14:paraId="77CF5B6C">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5.2供应商须知</w:t>
      </w:r>
    </w:p>
    <w:p w14:paraId="7080BF3E">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5.3评标标准</w:t>
      </w:r>
    </w:p>
    <w:p w14:paraId="55C6A465">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5.4磋商项目概况及需求</w:t>
      </w:r>
    </w:p>
    <w:p w14:paraId="1DC9A3D9">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5.5合同格式及条款</w:t>
      </w:r>
    </w:p>
    <w:p w14:paraId="589ECC88">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5.6响应文件</w:t>
      </w:r>
    </w:p>
    <w:p w14:paraId="37532E47">
      <w:pPr>
        <w:pageBreakBefore w:val="0"/>
        <w:spacing w:line="420" w:lineRule="exac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6.磋商文件的澄清</w:t>
      </w:r>
    </w:p>
    <w:p w14:paraId="1F6A323E">
      <w:pPr>
        <w:pageBreakBefore w:val="0"/>
        <w:spacing w:line="420" w:lineRule="exact"/>
        <w:ind w:firstLine="480"/>
        <w:rPr>
          <w:rFonts w:hint="eastAsia" w:ascii="宋体" w:hAnsi="宋体" w:eastAsia="宋体" w:cs="宋体"/>
          <w:bCs/>
          <w:color w:val="000000"/>
          <w:sz w:val="24"/>
          <w:highlight w:val="none"/>
        </w:rPr>
      </w:pPr>
      <w:r>
        <w:rPr>
          <w:rFonts w:hint="eastAsia" w:ascii="宋体" w:cs="宋体"/>
          <w:color w:val="000000"/>
          <w:sz w:val="24"/>
        </w:rPr>
        <w:t>6.1</w:t>
      </w:r>
      <w:r>
        <w:rPr>
          <w:rFonts w:hint="eastAsia" w:ascii="宋体" w:hAnsi="宋体"/>
          <w:sz w:val="24"/>
        </w:rPr>
        <w:t>任何对磋商文件要求进行澄清的磋商供应商，均应在磋商时间五日前以书面或电子件形式通知采购人或代理机构（在递送书面文件的同时请磋商供应商将电子件一并发送给采购人或代理机构）。采购人或代理机构对磋商时间前五日收到的任何澄清要求将以书面或电子件形式予以答复。由于磋商供应商所留联系方式有问题而导致采购人或代理机构无法通知的其责任由磋商供应商自行承担（逾期递交对磋商文件要求进行澄清的采购人或代理机构将不予受理）。</w:t>
      </w:r>
    </w:p>
    <w:p w14:paraId="584211DD">
      <w:pPr>
        <w:pageBreakBefore w:val="0"/>
        <w:spacing w:line="420" w:lineRule="exact"/>
        <w:ind w:firstLine="460"/>
        <w:rPr>
          <w:rFonts w:hint="eastAsia" w:ascii="宋体" w:hAnsi="宋体" w:eastAsia="宋体" w:cs="宋体"/>
          <w:color w:val="000000"/>
          <w:sz w:val="24"/>
          <w:highlight w:val="none"/>
          <w:lang w:val="zh-CN"/>
        </w:rPr>
      </w:pPr>
      <w:r>
        <w:rPr>
          <w:rFonts w:hint="eastAsia" w:ascii="宋体" w:hAnsi="宋体" w:eastAsia="宋体" w:cs="宋体"/>
          <w:bCs/>
          <w:color w:val="000000"/>
          <w:sz w:val="24"/>
          <w:highlight w:val="none"/>
        </w:rPr>
        <w:t>7.磋商文件的更正或补充</w:t>
      </w:r>
    </w:p>
    <w:p w14:paraId="5CC702A7">
      <w:pPr>
        <w:pageBreakBefore w:val="0"/>
        <w:spacing w:line="420" w:lineRule="exact"/>
        <w:ind w:firstLine="480"/>
        <w:rPr>
          <w:rFonts w:ascii="宋体" w:cs="宋体"/>
          <w:color w:val="000000"/>
          <w:sz w:val="24"/>
        </w:rPr>
      </w:pPr>
      <w:r>
        <w:rPr>
          <w:rFonts w:hint="eastAsia" w:ascii="宋体" w:cs="宋体"/>
          <w:color w:val="000000"/>
          <w:sz w:val="24"/>
        </w:rPr>
        <w:t>7.1在磋商时间前，采购中心可主动或在解答供应商提出的澄清问题时对磋商文件用更正公告的方式进行修正。</w:t>
      </w:r>
    </w:p>
    <w:p w14:paraId="555D01E4">
      <w:pPr>
        <w:pageBreakBefore w:val="0"/>
        <w:spacing w:line="420" w:lineRule="exact"/>
        <w:ind w:firstLine="480"/>
        <w:rPr>
          <w:rFonts w:ascii="宋体" w:cs="宋体"/>
          <w:color w:val="000000"/>
          <w:sz w:val="24"/>
        </w:rPr>
      </w:pPr>
      <w:r>
        <w:rPr>
          <w:rFonts w:hint="eastAsia" w:ascii="宋体" w:cs="宋体"/>
          <w:color w:val="000000"/>
          <w:sz w:val="24"/>
        </w:rPr>
        <w:t xml:space="preserve">7.2 </w:t>
      </w:r>
      <w:r>
        <w:rPr>
          <w:rFonts w:hint="eastAsia" w:ascii="宋体" w:hAnsi="宋体"/>
          <w:sz w:val="24"/>
        </w:rPr>
        <w:t>对磋商文件的更正将在</w:t>
      </w:r>
      <w:r>
        <w:rPr>
          <w:rFonts w:hint="eastAsia" w:ascii="宋体" w:hAnsi="宋体" w:eastAsia="宋体" w:cs="Times New Roman"/>
          <w:i w:val="0"/>
          <w:iCs w:val="0"/>
          <w:color w:val="1D41D5"/>
          <w:sz w:val="24"/>
          <w:szCs w:val="24"/>
          <w:highlight w:val="none"/>
          <w:lang w:val="en-US" w:eastAsia="zh-CN"/>
        </w:rPr>
        <w:t>江苏省政府采购网或淮安市政府采购网</w:t>
      </w:r>
      <w:r>
        <w:rPr>
          <w:rFonts w:hint="eastAsia" w:ascii="宋体" w:hAnsi="宋体"/>
          <w:sz w:val="24"/>
        </w:rPr>
        <w:t>进行公告。更正公告将作为磋商文件的组成部分，对所有参加本次磋商的磋商供应商都具有约束力。</w:t>
      </w:r>
    </w:p>
    <w:p w14:paraId="338F4ADD">
      <w:pPr>
        <w:pageBreakBefore w:val="0"/>
        <w:spacing w:line="420" w:lineRule="exact"/>
        <w:rPr>
          <w:rFonts w:hint="eastAsia" w:ascii="宋体" w:cs="宋体"/>
          <w:color w:val="000000"/>
          <w:sz w:val="24"/>
        </w:rPr>
      </w:pPr>
      <w:r>
        <w:rPr>
          <w:rFonts w:hint="eastAsia" w:ascii="宋体" w:cs="宋体"/>
          <w:color w:val="000000"/>
          <w:sz w:val="24"/>
        </w:rPr>
        <w:t>7.3为使供应商有足够的时间按磋商文件的更正要求修正响应文件，采购中心有权按照相关法定的要求推迟响应文件接收截止时间和磋商时间。</w:t>
      </w:r>
    </w:p>
    <w:p w14:paraId="524A92F4">
      <w:pPr>
        <w:pageBreakBefore w:val="0"/>
        <w:spacing w:line="420" w:lineRule="exac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三、响应文件的编制</w:t>
      </w:r>
    </w:p>
    <w:p w14:paraId="3CA344F6">
      <w:pPr>
        <w:pageBreakBefore w:val="0"/>
        <w:spacing w:line="420" w:lineRule="exact"/>
        <w:rPr>
          <w:rFonts w:ascii="宋体" w:cs="宋体"/>
          <w:bCs/>
          <w:color w:val="000000"/>
          <w:sz w:val="24"/>
        </w:rPr>
      </w:pPr>
      <w:r>
        <w:rPr>
          <w:rFonts w:hint="eastAsia" w:ascii="宋体" w:cs="宋体"/>
          <w:bCs/>
          <w:color w:val="000000"/>
          <w:sz w:val="24"/>
        </w:rPr>
        <w:t>8.响应文件的编制</w:t>
      </w:r>
    </w:p>
    <w:p w14:paraId="1D0A7E9F">
      <w:pPr>
        <w:pageBreakBefore w:val="0"/>
        <w:spacing w:line="420" w:lineRule="exact"/>
        <w:ind w:firstLine="480"/>
        <w:rPr>
          <w:rFonts w:ascii="宋体" w:cs="宋体"/>
          <w:color w:val="000000"/>
          <w:sz w:val="24"/>
        </w:rPr>
      </w:pPr>
      <w:r>
        <w:rPr>
          <w:rFonts w:hint="eastAsia" w:ascii="宋体" w:cs="宋体"/>
          <w:color w:val="000000"/>
          <w:sz w:val="24"/>
        </w:rPr>
        <w:t>8.1供应商编写的响应文件应按磋商文件第六章“响应文件”中的要求进行编写。</w:t>
      </w:r>
    </w:p>
    <w:p w14:paraId="3C991307">
      <w:pPr>
        <w:pageBreakBefore w:val="0"/>
        <w:spacing w:line="420" w:lineRule="exact"/>
        <w:ind w:firstLine="480"/>
        <w:rPr>
          <w:rFonts w:ascii="宋体" w:cs="宋体"/>
          <w:color w:val="000000"/>
          <w:sz w:val="24"/>
        </w:rPr>
      </w:pPr>
      <w:r>
        <w:rPr>
          <w:rFonts w:hint="eastAsia" w:ascii="宋体" w:cs="宋体"/>
          <w:color w:val="000000"/>
          <w:sz w:val="24"/>
        </w:rPr>
        <w:t>8.2电子响应文件编制必须按“苏采云政府采购一体化平台”要求制作，具体操作详见《操作手册》。</w:t>
      </w:r>
    </w:p>
    <w:p w14:paraId="6EDCF6EC">
      <w:pPr>
        <w:pageBreakBefore w:val="0"/>
        <w:spacing w:line="420" w:lineRule="exact"/>
        <w:rPr>
          <w:rFonts w:hint="eastAsia" w:ascii="宋体" w:hAnsi="宋体" w:eastAsia="宋体" w:cs="宋体"/>
          <w:color w:val="000000"/>
          <w:sz w:val="24"/>
          <w:highlight w:val="none"/>
        </w:rPr>
      </w:pPr>
      <w:r>
        <w:rPr>
          <w:rFonts w:hint="eastAsia" w:ascii="宋体" w:hAnsi="宋体" w:eastAsia="宋体" w:cs="宋体"/>
          <w:bCs/>
          <w:color w:val="000000"/>
          <w:sz w:val="24"/>
          <w:highlight w:val="none"/>
        </w:rPr>
        <w:t>9.磋商报价</w:t>
      </w:r>
    </w:p>
    <w:p w14:paraId="172BBE3B">
      <w:pPr>
        <w:spacing w:line="520" w:lineRule="exact"/>
        <w:ind w:firstLine="480"/>
        <w:rPr>
          <w:rFonts w:hint="eastAsia" w:eastAsia="宋体" w:asciiTheme="minorEastAsia" w:hAnsiTheme="minorEastAsia" w:cstheme="minorEastAsia"/>
          <w:b/>
          <w:bCs/>
          <w:color w:val="0000FF"/>
          <w:sz w:val="24"/>
          <w:lang w:val="en-US" w:eastAsia="zh-CN"/>
        </w:rPr>
      </w:pPr>
      <w:r>
        <w:rPr>
          <w:rFonts w:hint="eastAsia" w:ascii="宋体" w:hAnsi="宋体" w:cs="宋体"/>
          <w:sz w:val="24"/>
          <w:highlight w:val="none"/>
        </w:rPr>
        <w:t>9.1</w:t>
      </w:r>
      <w:r>
        <w:rPr>
          <w:rFonts w:hint="eastAsia" w:ascii="宋体" w:cs="宋体"/>
          <w:color w:val="000000"/>
          <w:sz w:val="24"/>
        </w:rPr>
        <w:t>本项目采用总承包方式，投标人的报价应包含完成本合同所需的服务、设备、劳务、管理、税金、材料、维护、利润、人员培训发生的所有含税费用、支付给员工的工资和国家强制缴纳的各种社会保障资金，以及与本项目有关的所有费用。中标后，采购人不再支付除中标人报价之外任何其他费用。</w:t>
      </w:r>
    </w:p>
    <w:p w14:paraId="2469F417">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9.2 供应商的任何错漏、优惠、竞争性报价不得作为减轻责任、减少服务、增加收费、降低质量的理由。</w:t>
      </w:r>
    </w:p>
    <w:p w14:paraId="24833C7D">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9.3采购中心不接受备选的方案或有选择的报价。</w:t>
      </w:r>
    </w:p>
    <w:p w14:paraId="248A7EBD">
      <w:pPr>
        <w:pageBreakBefore w:val="0"/>
        <w:spacing w:line="420" w:lineRule="exact"/>
        <w:ind w:firstLine="484"/>
        <w:rPr>
          <w:rFonts w:hint="eastAsia" w:ascii="宋体" w:hAnsi="宋体" w:eastAsia="宋体" w:cs="宋体"/>
          <w:color w:val="000000"/>
          <w:sz w:val="24"/>
          <w:highlight w:val="none"/>
        </w:rPr>
      </w:pPr>
      <w:r>
        <w:rPr>
          <w:rFonts w:hint="eastAsia" w:ascii="宋体" w:hAnsi="宋体" w:eastAsia="宋体" w:cs="宋体"/>
          <w:color w:val="000000"/>
          <w:sz w:val="24"/>
          <w:highlight w:val="none"/>
        </w:rPr>
        <w:t>9.4磋商报价应以人民币为货币单位。</w:t>
      </w:r>
    </w:p>
    <w:p w14:paraId="587AC289">
      <w:pPr>
        <w:pageBreakBefore w:val="0"/>
        <w:spacing w:line="42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10.技术要求响应偏离</w:t>
      </w:r>
    </w:p>
    <w:p w14:paraId="57045231">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10.1供应商应对磋商文件中的技术要求逐项作出响应或偏离，否则将被拒绝。</w:t>
      </w:r>
    </w:p>
    <w:p w14:paraId="45E760AA">
      <w:pPr>
        <w:pageBreakBefore w:val="0"/>
        <w:spacing w:line="42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11.服务承诺</w:t>
      </w:r>
    </w:p>
    <w:p w14:paraId="78226346">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11.1供应商的服务承诺不能低于磋商文件中对于服务的要求。</w:t>
      </w:r>
    </w:p>
    <w:p w14:paraId="1EE01A71">
      <w:pPr>
        <w:pageBreakBefore w:val="0"/>
        <w:spacing w:line="420" w:lineRule="exac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12.磋商保证金</w:t>
      </w:r>
    </w:p>
    <w:p w14:paraId="077D612B">
      <w:pPr>
        <w:pageBreakBefore w:val="0"/>
        <w:spacing w:line="420" w:lineRule="exact"/>
        <w:ind w:firstLine="482"/>
        <w:rPr>
          <w:rFonts w:hint="eastAsia" w:ascii="宋体" w:hAnsi="宋体" w:eastAsia="宋体" w:cs="宋体"/>
          <w:bCs/>
          <w:color w:val="000000"/>
          <w:sz w:val="24"/>
          <w:highlight w:val="none"/>
        </w:rPr>
      </w:pPr>
      <w:r>
        <w:rPr>
          <w:rFonts w:hint="eastAsia" w:ascii="宋体" w:hAnsi="宋体" w:eastAsia="宋体" w:cs="宋体"/>
          <w:b/>
          <w:color w:val="000000"/>
          <w:sz w:val="24"/>
          <w:highlight w:val="none"/>
        </w:rPr>
        <w:t>本项目不收取投标保证金。</w:t>
      </w:r>
    </w:p>
    <w:p w14:paraId="62FB18CA">
      <w:pPr>
        <w:pageBreakBefore w:val="0"/>
        <w:spacing w:line="420" w:lineRule="exac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13.磋商有效期</w:t>
      </w:r>
    </w:p>
    <w:p w14:paraId="2D99BF92">
      <w:pPr>
        <w:pageBreakBefore w:val="0"/>
        <w:spacing w:line="420" w:lineRule="exact"/>
        <w:ind w:firstLine="540"/>
        <w:rPr>
          <w:rFonts w:hint="eastAsia" w:ascii="宋体" w:hAnsi="宋体" w:eastAsia="宋体" w:cs="宋体"/>
          <w:b/>
          <w:bCs/>
          <w:color w:val="000000"/>
          <w:sz w:val="24"/>
          <w:highlight w:val="none"/>
        </w:rPr>
      </w:pPr>
      <w:r>
        <w:rPr>
          <w:rFonts w:hint="eastAsia" w:ascii="宋体" w:hAnsi="宋体" w:eastAsia="宋体" w:cs="宋体"/>
          <w:color w:val="000000"/>
          <w:sz w:val="24"/>
          <w:highlight w:val="none"/>
        </w:rPr>
        <w:t>13.1磋商有效期为从磋商之日起计算的</w:t>
      </w:r>
      <w:r>
        <w:rPr>
          <w:rFonts w:hint="eastAsia" w:ascii="宋体" w:hAnsi="宋体" w:eastAsia="宋体" w:cs="宋体"/>
          <w:bCs/>
          <w:color w:val="000000"/>
          <w:sz w:val="24"/>
          <w:highlight w:val="none"/>
        </w:rPr>
        <w:t>九十天</w:t>
      </w:r>
      <w:r>
        <w:rPr>
          <w:rFonts w:hint="eastAsia" w:ascii="宋体" w:hAnsi="宋体" w:eastAsia="宋体" w:cs="宋体"/>
          <w:color w:val="000000"/>
          <w:sz w:val="24"/>
          <w:highlight w:val="none"/>
        </w:rPr>
        <w:t>。磋商有效期比规定短的将被视为</w:t>
      </w:r>
      <w:r>
        <w:rPr>
          <w:rFonts w:hint="eastAsia" w:ascii="宋体" w:hAnsi="宋体" w:eastAsia="宋体" w:cs="宋体"/>
          <w:color w:val="000000"/>
          <w:sz w:val="24"/>
          <w:highlight w:val="none"/>
          <w:lang w:val="zh-CN"/>
        </w:rPr>
        <w:t>非响应磋商而予以拒绝。</w:t>
      </w:r>
    </w:p>
    <w:p w14:paraId="25DAA99C">
      <w:pPr>
        <w:pageBreakBefore w:val="0"/>
        <w:spacing w:line="420" w:lineRule="exact"/>
        <w:ind w:firstLine="540"/>
        <w:rPr>
          <w:rFonts w:hint="eastAsia" w:ascii="宋体" w:hAnsi="宋体" w:eastAsia="宋体" w:cs="宋体"/>
          <w:color w:val="000000"/>
          <w:sz w:val="24"/>
          <w:highlight w:val="none"/>
        </w:rPr>
      </w:pPr>
      <w:r>
        <w:rPr>
          <w:rFonts w:hint="eastAsia" w:ascii="宋体" w:hAnsi="宋体" w:eastAsia="宋体" w:cs="宋体"/>
          <w:bCs/>
          <w:color w:val="000000"/>
          <w:sz w:val="24"/>
          <w:highlight w:val="none"/>
        </w:rPr>
        <w:t>13.2</w:t>
      </w:r>
      <w:r>
        <w:rPr>
          <w:rFonts w:hint="eastAsia" w:ascii="宋体" w:hAnsi="宋体" w:eastAsia="宋体" w:cs="宋体"/>
          <w:color w:val="000000"/>
          <w:sz w:val="24"/>
          <w:highlight w:val="none"/>
        </w:rPr>
        <w:t>在特殊情况下，采购中心于原磋商有效期满之前，可向供应商提出延长磋商有效期的要求，这种要求与答复均应采用书面形式。供应商可以拒绝这一要求而放弃磋商。同意延长的供应商既不能要求也不允许修改其响应文件，受磋商有效期约束的所有权利与义务均延长至新的有效期。</w:t>
      </w:r>
    </w:p>
    <w:p w14:paraId="1FEE4366">
      <w:pPr>
        <w:pageBreakBefore w:val="0"/>
        <w:spacing w:line="42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14.响应文件的签署</w:t>
      </w:r>
    </w:p>
    <w:p w14:paraId="6370F1B7">
      <w:pPr>
        <w:pageBreakBefore w:val="0"/>
        <w:spacing w:line="420" w:lineRule="exact"/>
        <w:ind w:firstLine="540"/>
        <w:rPr>
          <w:rFonts w:hint="eastAsia" w:ascii="宋体" w:hAnsi="宋体" w:eastAsia="宋体" w:cs="宋体"/>
          <w:color w:val="000000"/>
          <w:sz w:val="24"/>
          <w:highlight w:val="none"/>
        </w:rPr>
      </w:pPr>
      <w:r>
        <w:rPr>
          <w:rFonts w:hint="eastAsia" w:ascii="宋体" w:hAnsi="宋体" w:eastAsia="宋体" w:cs="宋体"/>
          <w:color w:val="000000"/>
          <w:sz w:val="24"/>
          <w:highlight w:val="none"/>
        </w:rPr>
        <w:t>14.1响应文件仅需要在供应商进行签章的位置应进行电子签章。电子响应文件不得涂改、行间插字或删除，如果出现上述情况应重新编制。</w:t>
      </w:r>
    </w:p>
    <w:p w14:paraId="37260E78">
      <w:pPr>
        <w:pageBreakBefore w:val="0"/>
        <w:spacing w:line="420" w:lineRule="exac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四、响应文件上传</w:t>
      </w:r>
    </w:p>
    <w:p w14:paraId="25B97ED8">
      <w:pPr>
        <w:pageBreakBefore w:val="0"/>
        <w:spacing w:line="420" w:lineRule="exact"/>
        <w:rPr>
          <w:rFonts w:ascii="宋体" w:cs="宋体"/>
          <w:color w:val="000000"/>
          <w:sz w:val="24"/>
        </w:rPr>
      </w:pPr>
      <w:r>
        <w:rPr>
          <w:rFonts w:hint="eastAsia" w:ascii="宋体" w:cs="宋体"/>
          <w:color w:val="000000"/>
          <w:sz w:val="24"/>
        </w:rPr>
        <w:t>15.响应文件的上传</w:t>
      </w:r>
    </w:p>
    <w:p w14:paraId="17DFD501">
      <w:pPr>
        <w:pageBreakBefore w:val="0"/>
        <w:spacing w:line="420" w:lineRule="exact"/>
        <w:ind w:firstLine="570"/>
        <w:rPr>
          <w:rFonts w:ascii="宋体" w:cs="宋体"/>
          <w:color w:val="000000"/>
          <w:sz w:val="24"/>
        </w:rPr>
      </w:pPr>
      <w:r>
        <w:rPr>
          <w:rFonts w:hint="eastAsia" w:ascii="宋体" w:cs="宋体"/>
          <w:color w:val="000000"/>
          <w:sz w:val="24"/>
        </w:rPr>
        <w:t>15.1供应商应当按照《操作手册》的规定，在磋商响应文件接收截止时间前制作并上传电子响应文件。</w:t>
      </w:r>
    </w:p>
    <w:p w14:paraId="5AB6791F">
      <w:pPr>
        <w:pageBreakBefore w:val="0"/>
        <w:spacing w:line="420" w:lineRule="exact"/>
        <w:ind w:firstLine="480"/>
        <w:rPr>
          <w:rFonts w:ascii="宋体" w:cs="宋体"/>
          <w:bCs/>
          <w:color w:val="000000"/>
          <w:sz w:val="24"/>
          <w:lang w:val="zh-CN"/>
        </w:rPr>
      </w:pPr>
      <w:r>
        <w:rPr>
          <w:rFonts w:hint="eastAsia" w:ascii="宋体" w:cs="宋体"/>
          <w:bCs/>
          <w:color w:val="000000"/>
          <w:sz w:val="24"/>
        </w:rPr>
        <w:t>15.2</w:t>
      </w:r>
      <w:r>
        <w:rPr>
          <w:rFonts w:hint="eastAsia" w:ascii="宋体" w:cs="宋体"/>
          <w:color w:val="000000"/>
          <w:sz w:val="24"/>
        </w:rPr>
        <w:t>供应商</w:t>
      </w:r>
      <w:r>
        <w:rPr>
          <w:rFonts w:hint="eastAsia" w:ascii="宋体" w:cs="宋体"/>
          <w:bCs/>
          <w:color w:val="000000"/>
          <w:sz w:val="24"/>
        </w:rPr>
        <w:t>上传的电子响应文件内容不清楚或不清晰的（含扫描件），造成无法评审或部分影响评审的，</w:t>
      </w:r>
      <w:r>
        <w:rPr>
          <w:rFonts w:hint="eastAsia" w:ascii="宋体" w:cs="宋体"/>
          <w:bCs/>
          <w:color w:val="000000"/>
          <w:sz w:val="24"/>
          <w:lang w:val="zh-CN"/>
        </w:rPr>
        <w:t>责任由</w:t>
      </w:r>
      <w:r>
        <w:rPr>
          <w:rFonts w:hint="eastAsia" w:ascii="宋体" w:cs="宋体"/>
          <w:bCs/>
          <w:color w:val="000000"/>
          <w:sz w:val="24"/>
        </w:rPr>
        <w:t>供应商</w:t>
      </w:r>
      <w:r>
        <w:rPr>
          <w:rFonts w:hint="eastAsia" w:ascii="宋体" w:cs="宋体"/>
          <w:bCs/>
          <w:color w:val="000000"/>
          <w:sz w:val="24"/>
          <w:lang w:val="zh-CN"/>
        </w:rPr>
        <w:t>自负。</w:t>
      </w:r>
    </w:p>
    <w:p w14:paraId="253B524C">
      <w:pPr>
        <w:pageBreakBefore w:val="0"/>
        <w:spacing w:line="420" w:lineRule="exact"/>
        <w:ind w:firstLine="480"/>
        <w:rPr>
          <w:rFonts w:ascii="宋体" w:cs="宋体"/>
          <w:color w:val="000000"/>
          <w:sz w:val="24"/>
        </w:rPr>
      </w:pPr>
      <w:r>
        <w:rPr>
          <w:rFonts w:hint="eastAsia" w:ascii="宋体" w:cs="宋体"/>
          <w:color w:val="000000"/>
          <w:sz w:val="24"/>
        </w:rPr>
        <w:t>15.3供应商上传电子响应文件的时间不得迟于磋商邀请中规定的截止时间。</w:t>
      </w:r>
    </w:p>
    <w:p w14:paraId="6AF3F3B1">
      <w:pPr>
        <w:pageBreakBefore w:val="0"/>
        <w:spacing w:line="420" w:lineRule="exact"/>
        <w:ind w:firstLine="480"/>
        <w:rPr>
          <w:rFonts w:ascii="宋体" w:cs="宋体"/>
          <w:color w:val="000000"/>
          <w:sz w:val="24"/>
        </w:rPr>
      </w:pPr>
      <w:r>
        <w:rPr>
          <w:rFonts w:hint="eastAsia" w:ascii="宋体" w:cs="宋体"/>
          <w:color w:val="000000"/>
          <w:sz w:val="24"/>
        </w:rPr>
        <w:t>15.4采购中心可以按第7条规定，通过修改磋商文件有权酌情延长响应文件接收截止时间。在此情况下，供应商的所有权利和义务以及供应商受制约的截止日期均应以延长后新的截止日期为准。</w:t>
      </w:r>
    </w:p>
    <w:p w14:paraId="4C15065F">
      <w:pPr>
        <w:pageBreakBefore w:val="0"/>
        <w:spacing w:line="420" w:lineRule="exact"/>
        <w:ind w:firstLine="480"/>
        <w:rPr>
          <w:rFonts w:hint="eastAsia" w:ascii="宋体" w:hAnsi="宋体" w:eastAsia="宋体" w:cs="宋体"/>
          <w:color w:val="000000"/>
          <w:sz w:val="24"/>
          <w:highlight w:val="none"/>
        </w:rPr>
      </w:pPr>
      <w:r>
        <w:rPr>
          <w:rFonts w:hint="eastAsia" w:ascii="宋体" w:cs="宋体"/>
          <w:color w:val="000000"/>
          <w:sz w:val="24"/>
        </w:rPr>
        <w:t>15.5成交供应商在成交通知书发出之前，必须提供一份与电子响应文件一致的纸质打印响应文件。</w:t>
      </w:r>
    </w:p>
    <w:p w14:paraId="61A3F0AB">
      <w:pPr>
        <w:pageBreakBefore w:val="0"/>
        <w:spacing w:line="42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16.响应文件被拒绝接收的情形</w:t>
      </w:r>
    </w:p>
    <w:p w14:paraId="4F0232F9">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16.1在磋商文件规定的提交响应文件截止时间后上传的电子响应文件。</w:t>
      </w:r>
    </w:p>
    <w:p w14:paraId="310FAE8A">
      <w:pPr>
        <w:pageBreakBefore w:val="0"/>
        <w:spacing w:line="420" w:lineRule="exac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17.响应文件的修改和撤回</w:t>
      </w:r>
    </w:p>
    <w:p w14:paraId="1A24321D">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17.1供应商在上传电子响应文件后可以对其修改或撤回，但这种修改和撤回，必须在规定的磋商时间之前。</w:t>
      </w:r>
    </w:p>
    <w:p w14:paraId="0A5629FE">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17.2对于电子响应文件的修改，供应商可在磋商时间前</w:t>
      </w:r>
      <w:r>
        <w:rPr>
          <w:rFonts w:hint="eastAsia" w:ascii="宋体" w:hAnsi="宋体" w:cs="宋体"/>
          <w:color w:val="000000"/>
          <w:sz w:val="24"/>
          <w:highlight w:val="none"/>
          <w:lang w:eastAsia="zh-CN"/>
        </w:rPr>
        <w:t>登录</w:t>
      </w:r>
      <w:r>
        <w:rPr>
          <w:rFonts w:hint="eastAsia" w:ascii="宋体" w:hAnsi="宋体" w:eastAsia="宋体" w:cs="宋体"/>
          <w:color w:val="000000"/>
          <w:sz w:val="24"/>
          <w:highlight w:val="none"/>
        </w:rPr>
        <w:t>电子交易平台撤回电子响应文件，并上传新的电子响应文件。电子响应文件以最终完成上传的为准。</w:t>
      </w:r>
    </w:p>
    <w:p w14:paraId="078DEB5A">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17.3供应商不得在磋商时间以后修改电子响应文件。</w:t>
      </w:r>
    </w:p>
    <w:p w14:paraId="65F31E6A">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17.4供应商不得在提交电子响应文件截止时间起至磋商有效期满前撤回电子响应文件。</w:t>
      </w:r>
    </w:p>
    <w:p w14:paraId="06E41FC7">
      <w:pPr>
        <w:pageBreakBefore w:val="0"/>
        <w:spacing w:line="420" w:lineRule="exac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五、磋商</w:t>
      </w:r>
    </w:p>
    <w:p w14:paraId="43B71F2D">
      <w:pPr>
        <w:pageBreakBefore w:val="0"/>
        <w:spacing w:line="420" w:lineRule="exact"/>
        <w:rPr>
          <w:rFonts w:ascii="宋体" w:cs="宋体"/>
          <w:bCs/>
          <w:color w:val="000000"/>
          <w:sz w:val="24"/>
        </w:rPr>
      </w:pPr>
      <w:r>
        <w:rPr>
          <w:rFonts w:hint="eastAsia" w:ascii="宋体" w:cs="宋体"/>
          <w:bCs/>
          <w:color w:val="000000"/>
          <w:sz w:val="24"/>
        </w:rPr>
        <w:t>18.磋商组织</w:t>
      </w:r>
    </w:p>
    <w:p w14:paraId="3DE7DA93">
      <w:pPr>
        <w:pageBreakBefore w:val="0"/>
        <w:spacing w:line="420" w:lineRule="exact"/>
        <w:ind w:firstLine="480"/>
        <w:rPr>
          <w:rFonts w:ascii="宋体" w:cs="宋体"/>
          <w:color w:val="000000"/>
          <w:sz w:val="24"/>
        </w:rPr>
      </w:pPr>
      <w:r>
        <w:rPr>
          <w:rFonts w:hint="eastAsia" w:ascii="宋体" w:cs="宋体"/>
          <w:color w:val="000000"/>
          <w:sz w:val="24"/>
        </w:rPr>
        <w:t>18.1本项目采用“全流程电子化交易”模式，通过“苏采云政府采购一体化平台”及相应的配套硬件设备（摄像头、话筒、麦克风等）完成远程解密、公布报价、澄清等交互环节。采购人或代理机构将按照18.3的要求组织本项目的“不见面交易”活动。供应商仅需在任意地点</w:t>
      </w:r>
      <w:r>
        <w:rPr>
          <w:rFonts w:hint="eastAsia" w:ascii="宋体" w:cs="宋体"/>
          <w:color w:val="000000"/>
          <w:sz w:val="24"/>
          <w:lang w:eastAsia="zh-CN"/>
        </w:rPr>
        <w:t>登录</w:t>
      </w:r>
      <w:r>
        <w:rPr>
          <w:rFonts w:hint="eastAsia" w:ascii="宋体" w:cs="宋体"/>
          <w:color w:val="000000"/>
          <w:sz w:val="24"/>
        </w:rPr>
        <w:t>“苏采云”系统，进入江苏省政府采购一体化不见面开标（采购）大厅观看项目的活动组织。</w:t>
      </w:r>
    </w:p>
    <w:p w14:paraId="5CB720F6">
      <w:pPr>
        <w:pageBreakBefore w:val="0"/>
        <w:spacing w:line="420" w:lineRule="exact"/>
        <w:ind w:firstLine="480"/>
        <w:rPr>
          <w:rFonts w:hint="eastAsia" w:ascii="宋体" w:cs="宋体"/>
          <w:color w:val="000000"/>
          <w:sz w:val="24"/>
        </w:rPr>
      </w:pPr>
      <w:r>
        <w:rPr>
          <w:rFonts w:hint="eastAsia" w:ascii="宋体" w:cs="宋体"/>
          <w:color w:val="000000"/>
          <w:sz w:val="24"/>
        </w:rPr>
        <w:t>18.2 不见面磋商程序</w:t>
      </w:r>
      <w:r>
        <w:rPr>
          <w:rFonts w:hint="eastAsia" w:ascii="宋体" w:cs="宋体"/>
          <w:color w:val="000000"/>
          <w:sz w:val="24"/>
          <w:lang w:eastAsia="zh-CN"/>
        </w:rPr>
        <w:t>：</w:t>
      </w:r>
      <w:r>
        <w:rPr>
          <w:rFonts w:hint="eastAsia" w:ascii="宋体" w:cs="宋体"/>
          <w:color w:val="000000"/>
          <w:sz w:val="24"/>
        </w:rPr>
        <w:t>主持人按下列程序组织磋商。</w:t>
      </w:r>
    </w:p>
    <w:p w14:paraId="079F16D6">
      <w:pPr>
        <w:pageBreakBefore w:val="0"/>
        <w:spacing w:line="420" w:lineRule="exact"/>
        <w:ind w:firstLine="480"/>
        <w:rPr>
          <w:rFonts w:hint="eastAsia" w:ascii="宋体" w:hAnsi="宋体" w:eastAsia="宋体" w:cs="宋体"/>
          <w:sz w:val="24"/>
        </w:rPr>
      </w:pPr>
      <w:r>
        <w:rPr>
          <w:rFonts w:hint="eastAsia" w:ascii="宋体" w:hAnsi="宋体" w:eastAsia="宋体" w:cs="宋体"/>
          <w:sz w:val="24"/>
        </w:rPr>
        <w:t>公布磋商的会议纪律；</w:t>
      </w:r>
    </w:p>
    <w:p w14:paraId="51B260DA">
      <w:pPr>
        <w:pageBreakBefore w:val="0"/>
        <w:spacing w:line="420" w:lineRule="exact"/>
        <w:ind w:firstLine="480"/>
        <w:rPr>
          <w:rFonts w:hint="eastAsia" w:ascii="宋体" w:hAnsi="宋体" w:eastAsia="宋体" w:cs="宋体"/>
          <w:sz w:val="24"/>
        </w:rPr>
      </w:pPr>
      <w:r>
        <w:rPr>
          <w:rFonts w:hint="eastAsia" w:ascii="宋体" w:hAnsi="宋体" w:eastAsia="宋体" w:cs="宋体"/>
          <w:sz w:val="24"/>
        </w:rPr>
        <w:t>公布供应商名单；</w:t>
      </w:r>
    </w:p>
    <w:p w14:paraId="0B203219">
      <w:pPr>
        <w:pageBreakBefore w:val="0"/>
        <w:spacing w:line="420" w:lineRule="exact"/>
        <w:ind w:firstLine="480"/>
        <w:rPr>
          <w:rFonts w:hint="eastAsia" w:ascii="宋体" w:hAnsi="宋体" w:eastAsia="宋体" w:cs="宋体"/>
          <w:sz w:val="24"/>
        </w:rPr>
      </w:pPr>
      <w:r>
        <w:rPr>
          <w:rFonts w:hint="eastAsia" w:ascii="宋体" w:hAnsi="宋体" w:eastAsia="宋体" w:cs="宋体"/>
          <w:sz w:val="24"/>
        </w:rPr>
        <w:t>供应商在线承诺；</w:t>
      </w:r>
    </w:p>
    <w:p w14:paraId="4A36F875">
      <w:pPr>
        <w:pageBreakBefore w:val="0"/>
        <w:spacing w:line="420" w:lineRule="exact"/>
        <w:ind w:firstLine="480"/>
        <w:rPr>
          <w:rFonts w:hint="eastAsia" w:ascii="宋体" w:hAnsi="宋体" w:eastAsia="宋体" w:cs="宋体"/>
          <w:sz w:val="24"/>
        </w:rPr>
      </w:pPr>
      <w:r>
        <w:rPr>
          <w:rFonts w:hint="eastAsia" w:ascii="宋体" w:hAnsi="宋体" w:eastAsia="宋体" w:cs="宋体"/>
          <w:sz w:val="24"/>
        </w:rPr>
        <w:t>供应商、采购人对电子响应文件解密；</w:t>
      </w:r>
    </w:p>
    <w:p w14:paraId="7937357D">
      <w:pPr>
        <w:pageBreakBefore w:val="0"/>
        <w:spacing w:line="420" w:lineRule="exact"/>
        <w:ind w:firstLine="480"/>
        <w:rPr>
          <w:rFonts w:hint="eastAsia" w:ascii="宋体" w:hAnsi="宋体" w:eastAsia="宋体" w:cs="宋体"/>
          <w:sz w:val="24"/>
        </w:rPr>
      </w:pPr>
      <w:r>
        <w:rPr>
          <w:rFonts w:hint="eastAsia" w:ascii="宋体" w:hAnsi="宋体" w:eastAsia="宋体" w:cs="宋体"/>
          <w:sz w:val="24"/>
        </w:rPr>
        <w:t>导入电子响应文件；</w:t>
      </w:r>
    </w:p>
    <w:p w14:paraId="05F2F6A1">
      <w:pPr>
        <w:pageBreakBefore w:val="0"/>
        <w:spacing w:line="420" w:lineRule="exact"/>
        <w:ind w:firstLine="480"/>
        <w:rPr>
          <w:rFonts w:hint="eastAsia" w:ascii="宋体" w:hAnsi="宋体" w:eastAsia="宋体" w:cs="宋体"/>
          <w:sz w:val="24"/>
        </w:rPr>
      </w:pPr>
      <w:r>
        <w:rPr>
          <w:rFonts w:hint="eastAsia" w:ascii="宋体" w:hAnsi="宋体" w:eastAsia="宋体" w:cs="宋体"/>
          <w:sz w:val="24"/>
        </w:rPr>
        <w:t>网上公布磋商顺序；</w:t>
      </w:r>
    </w:p>
    <w:p w14:paraId="2ACBB5AA">
      <w:pPr>
        <w:pageBreakBefore w:val="0"/>
        <w:spacing w:line="420" w:lineRule="exact"/>
        <w:ind w:firstLine="480"/>
        <w:rPr>
          <w:rFonts w:hint="eastAsia" w:ascii="宋体" w:hAnsi="宋体" w:eastAsia="宋体" w:cs="宋体"/>
          <w:sz w:val="24"/>
        </w:rPr>
      </w:pPr>
      <w:r>
        <w:rPr>
          <w:rFonts w:hint="eastAsia" w:ascii="宋体" w:hAnsi="宋体" w:eastAsia="宋体" w:cs="宋体"/>
          <w:sz w:val="24"/>
        </w:rPr>
        <w:t>磋商小组与单一供应商磋商；</w:t>
      </w:r>
    </w:p>
    <w:p w14:paraId="6238BA4E">
      <w:pPr>
        <w:pageBreakBefore w:val="0"/>
        <w:spacing w:line="420" w:lineRule="exact"/>
        <w:ind w:firstLine="480"/>
        <w:rPr>
          <w:rFonts w:hint="eastAsia" w:ascii="宋体" w:hAnsi="宋体" w:eastAsia="宋体" w:cs="宋体"/>
          <w:sz w:val="24"/>
        </w:rPr>
      </w:pPr>
      <w:r>
        <w:rPr>
          <w:rFonts w:hint="eastAsia" w:ascii="宋体" w:hAnsi="宋体" w:eastAsia="宋体" w:cs="宋体"/>
          <w:sz w:val="24"/>
        </w:rPr>
        <w:t>磋商小组综合评审；</w:t>
      </w:r>
    </w:p>
    <w:p w14:paraId="1345B2EE">
      <w:pPr>
        <w:pageBreakBefore w:val="0"/>
        <w:spacing w:line="420" w:lineRule="exact"/>
        <w:ind w:firstLine="480"/>
        <w:rPr>
          <w:rFonts w:hint="eastAsia" w:ascii="宋体" w:hAnsi="宋体" w:eastAsia="宋体" w:cs="宋体"/>
          <w:sz w:val="24"/>
        </w:rPr>
      </w:pPr>
      <w:r>
        <w:rPr>
          <w:rFonts w:hint="eastAsia" w:ascii="宋体" w:hAnsi="宋体" w:eastAsia="宋体" w:cs="宋体"/>
          <w:sz w:val="24"/>
        </w:rPr>
        <w:t>供应商进行两次或两次以上磋商报价；</w:t>
      </w:r>
    </w:p>
    <w:p w14:paraId="009C8B52">
      <w:pPr>
        <w:pageBreakBefore w:val="0"/>
        <w:spacing w:line="420" w:lineRule="exact"/>
        <w:ind w:firstLine="480"/>
        <w:rPr>
          <w:rFonts w:hint="eastAsia" w:ascii="宋体" w:hAnsi="宋体" w:eastAsia="宋体" w:cs="宋体"/>
          <w:sz w:val="24"/>
        </w:rPr>
      </w:pPr>
      <w:r>
        <w:rPr>
          <w:rFonts w:hint="eastAsia" w:ascii="宋体" w:hAnsi="宋体" w:eastAsia="宋体" w:cs="宋体"/>
          <w:sz w:val="24"/>
        </w:rPr>
        <w:t>网上公布最终报价；</w:t>
      </w:r>
    </w:p>
    <w:p w14:paraId="66FB485C">
      <w:pPr>
        <w:pageBreakBefore w:val="0"/>
        <w:spacing w:line="420" w:lineRule="exact"/>
        <w:ind w:firstLine="480"/>
        <w:rPr>
          <w:rFonts w:hint="eastAsia" w:ascii="宋体" w:hAnsi="宋体" w:eastAsia="宋体" w:cs="宋体"/>
          <w:sz w:val="24"/>
        </w:rPr>
      </w:pPr>
      <w:r>
        <w:rPr>
          <w:rFonts w:hint="eastAsia" w:ascii="宋体" w:hAnsi="宋体" w:eastAsia="宋体" w:cs="宋体"/>
          <w:sz w:val="24"/>
        </w:rPr>
        <w:t>网上公布成交候选供应商名单；</w:t>
      </w:r>
    </w:p>
    <w:p w14:paraId="7B042FF1">
      <w:pPr>
        <w:pageBreakBefore w:val="0"/>
        <w:spacing w:line="420" w:lineRule="exact"/>
        <w:ind w:firstLine="480"/>
        <w:rPr>
          <w:rFonts w:hint="eastAsia" w:ascii="宋体" w:cs="宋体"/>
          <w:color w:val="000000"/>
          <w:sz w:val="24"/>
        </w:rPr>
      </w:pPr>
      <w:r>
        <w:rPr>
          <w:rFonts w:hint="eastAsia" w:ascii="宋体" w:hAnsi="宋体" w:eastAsia="宋体" w:cs="宋体"/>
          <w:sz w:val="24"/>
        </w:rPr>
        <w:t>磋商活动结束。</w:t>
      </w:r>
    </w:p>
    <w:p w14:paraId="36D4F981">
      <w:pPr>
        <w:pageBreakBefore w:val="0"/>
        <w:spacing w:line="420" w:lineRule="exact"/>
        <w:ind w:firstLine="480"/>
        <w:rPr>
          <w:rFonts w:ascii="宋体" w:hAnsi="宋体"/>
          <w:bCs/>
          <w:sz w:val="24"/>
        </w:rPr>
      </w:pPr>
      <w:r>
        <w:rPr>
          <w:rFonts w:hint="eastAsia" w:ascii="宋体" w:hAnsi="宋体"/>
          <w:bCs/>
          <w:sz w:val="24"/>
        </w:rPr>
        <w:t>18.2.1 代理机构将在采购公告中规定的时间和地点组织磋商开始仪式。供应商应当按照《操作手册》规定，参加磋商活动。</w:t>
      </w:r>
    </w:p>
    <w:p w14:paraId="09D2D9DE">
      <w:pPr>
        <w:pageBreakBefore w:val="0"/>
        <w:spacing w:line="420" w:lineRule="exact"/>
        <w:ind w:firstLine="480"/>
        <w:rPr>
          <w:rFonts w:ascii="宋体" w:hAnsi="宋体"/>
          <w:bCs/>
          <w:sz w:val="24"/>
        </w:rPr>
      </w:pPr>
      <w:r>
        <w:rPr>
          <w:rFonts w:hint="eastAsia" w:ascii="宋体" w:hAnsi="宋体"/>
          <w:bCs/>
          <w:sz w:val="24"/>
        </w:rPr>
        <w:t>18.2.2供应商在磋商过程中</w:t>
      </w:r>
      <w:r>
        <w:rPr>
          <w:rFonts w:hint="eastAsia" w:ascii="宋体" w:hAnsi="宋体"/>
          <w:bCs/>
          <w:sz w:val="24"/>
          <w:lang w:eastAsia="zh-CN"/>
        </w:rPr>
        <w:t>涉及的</w:t>
      </w:r>
      <w:r>
        <w:rPr>
          <w:rFonts w:hint="eastAsia" w:ascii="宋体" w:hAnsi="宋体"/>
          <w:bCs/>
          <w:sz w:val="24"/>
        </w:rPr>
        <w:t>响应文件解密等工作，应按照《操作手册》规定执行。</w:t>
      </w:r>
    </w:p>
    <w:p w14:paraId="6F1A753C">
      <w:pPr>
        <w:pageBreakBefore w:val="0"/>
        <w:spacing w:line="420" w:lineRule="exact"/>
        <w:ind w:firstLine="480"/>
        <w:rPr>
          <w:rFonts w:ascii="宋体" w:hAnsi="宋体"/>
          <w:bCs/>
          <w:sz w:val="24"/>
        </w:rPr>
      </w:pPr>
      <w:r>
        <w:rPr>
          <w:rFonts w:hint="eastAsia" w:ascii="宋体" w:hAnsi="宋体"/>
          <w:bCs/>
          <w:sz w:val="24"/>
        </w:rPr>
        <w:t>18.2.3报价一览表内容与报价明细表内容不一致的，一律以报价一览表内容为准。</w:t>
      </w:r>
    </w:p>
    <w:p w14:paraId="1DA68074">
      <w:pPr>
        <w:pageBreakBefore w:val="0"/>
        <w:spacing w:line="420" w:lineRule="exact"/>
        <w:ind w:firstLine="480"/>
        <w:rPr>
          <w:rFonts w:ascii="宋体" w:hAnsi="宋体"/>
          <w:bCs/>
          <w:sz w:val="24"/>
        </w:rPr>
      </w:pPr>
      <w:r>
        <w:rPr>
          <w:rFonts w:hint="eastAsia" w:ascii="宋体" w:hAnsi="宋体"/>
          <w:bCs/>
          <w:sz w:val="24"/>
        </w:rPr>
        <w:t>18.2.4响应文件提交截止时间结束后参加征集的供应商不足三家情况的，除采购任务取消情形外，按财政部令第74号第二十七条条款进行处理。</w:t>
      </w:r>
    </w:p>
    <w:p w14:paraId="06651F2A">
      <w:pPr>
        <w:pageBreakBefore w:val="0"/>
        <w:spacing w:line="420" w:lineRule="exact"/>
        <w:ind w:firstLine="480"/>
        <w:rPr>
          <w:rFonts w:ascii="宋体" w:hAnsi="宋体"/>
          <w:bCs/>
          <w:color w:val="000000" w:themeColor="text1"/>
          <w:sz w:val="24"/>
          <w14:textFill>
            <w14:solidFill>
              <w14:schemeClr w14:val="tx1"/>
            </w14:solidFill>
          </w14:textFill>
        </w:rPr>
      </w:pPr>
      <w:r>
        <w:rPr>
          <w:rFonts w:hint="eastAsia" w:ascii="宋体" w:hAnsi="宋体"/>
          <w:b/>
          <w:bCs w:val="0"/>
          <w:color w:val="000000" w:themeColor="text1"/>
          <w:sz w:val="24"/>
          <w14:textFill>
            <w14:solidFill>
              <w14:schemeClr w14:val="tx1"/>
            </w14:solidFill>
          </w14:textFill>
        </w:rPr>
        <w:t>18.3全流程电子化交易采购说明</w:t>
      </w:r>
    </w:p>
    <w:p w14:paraId="42884D0A">
      <w:pPr>
        <w:pageBreakBefore w:val="0"/>
        <w:spacing w:line="420" w:lineRule="exact"/>
        <w:ind w:firstLine="48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18.3.1由于</w:t>
      </w:r>
      <w:r>
        <w:rPr>
          <w:rFonts w:hint="eastAsia" w:ascii="宋体" w:hAnsi="宋体"/>
          <w:color w:val="000000" w:themeColor="text1"/>
          <w:sz w:val="24"/>
          <w14:textFill>
            <w14:solidFill>
              <w14:schemeClr w14:val="tx1"/>
            </w14:solidFill>
          </w14:textFill>
        </w:rPr>
        <w:t>“苏采云政府采购一体化平台”</w:t>
      </w:r>
      <w:r>
        <w:rPr>
          <w:rFonts w:hint="eastAsia" w:ascii="宋体" w:hAnsi="宋体"/>
          <w:bCs/>
          <w:color w:val="000000" w:themeColor="text1"/>
          <w:sz w:val="24"/>
          <w14:textFill>
            <w14:solidFill>
              <w14:schemeClr w14:val="tx1"/>
            </w14:solidFill>
          </w14:textFill>
        </w:rPr>
        <w:t>自身原因导致项目不能正常进行的，项目作废标处理。</w:t>
      </w:r>
    </w:p>
    <w:p w14:paraId="49A0C5D4">
      <w:pPr>
        <w:pageBreakBefore w:val="0"/>
        <w:spacing w:line="420" w:lineRule="exact"/>
        <w:ind w:firstLine="48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18.3.2本项目中的时间均以国家授时中心发布的时间为准。</w:t>
      </w:r>
    </w:p>
    <w:p w14:paraId="0857EC77">
      <w:pPr>
        <w:pageBreakBefore w:val="0"/>
        <w:spacing w:line="420" w:lineRule="exact"/>
        <w:ind w:firstLine="48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18.3.3本项目下载磋商文件、上传响应文件均通过互联网操作，请供应商充分考虑网络拥堵及平台操作所需时间等因素。因供应商自身原因导致操作失败的，其责任自负。</w:t>
      </w:r>
    </w:p>
    <w:p w14:paraId="3199E2F4">
      <w:pPr>
        <w:pageBreakBefore w:val="0"/>
        <w:spacing w:line="420" w:lineRule="exact"/>
        <w:ind w:firstLine="48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18.3.4本项目响应文件的编制使用</w:t>
      </w:r>
      <w:r>
        <w:rPr>
          <w:rFonts w:hint="eastAsia" w:ascii="宋体" w:hAnsi="宋体"/>
          <w:color w:val="000000" w:themeColor="text1"/>
          <w:sz w:val="24"/>
          <w14:textFill>
            <w14:solidFill>
              <w14:schemeClr w14:val="tx1"/>
            </w14:solidFill>
          </w14:textFill>
        </w:rPr>
        <w:t>“苏采云政府采购一体化平台”</w:t>
      </w:r>
      <w:r>
        <w:rPr>
          <w:rFonts w:hint="eastAsia" w:ascii="宋体" w:hAnsi="宋体"/>
          <w:bCs/>
          <w:color w:val="000000" w:themeColor="text1"/>
          <w:sz w:val="24"/>
          <w14:textFill>
            <w14:solidFill>
              <w14:schemeClr w14:val="tx1"/>
            </w14:solidFill>
          </w14:textFill>
        </w:rPr>
        <w:t>客户端，供应商响应文件的编制和上传，应按照磋商文件的规定进行。如未按磋商文件要求编制、上传电子响应文件，将可能作无效响应文件处理，其后果由供应商自负。供应商如对正确使用</w:t>
      </w:r>
      <w:r>
        <w:rPr>
          <w:rFonts w:hint="eastAsia" w:ascii="宋体" w:hAnsi="宋体"/>
          <w:color w:val="000000" w:themeColor="text1"/>
          <w:sz w:val="24"/>
          <w14:textFill>
            <w14:solidFill>
              <w14:schemeClr w14:val="tx1"/>
            </w14:solidFill>
          </w14:textFill>
        </w:rPr>
        <w:t>“苏采云政府采购一体化平台”</w:t>
      </w:r>
      <w:r>
        <w:rPr>
          <w:rFonts w:hint="eastAsia" w:ascii="宋体" w:hAnsi="宋体"/>
          <w:bCs/>
          <w:color w:val="000000" w:themeColor="text1"/>
          <w:sz w:val="24"/>
          <w14:textFill>
            <w14:solidFill>
              <w14:schemeClr w14:val="tx1"/>
            </w14:solidFill>
          </w14:textFill>
        </w:rPr>
        <w:t>客户端有疑问的，请与软件公司技术人员联系。</w:t>
      </w:r>
    </w:p>
    <w:p w14:paraId="7A1C0CA1">
      <w:pPr>
        <w:pageBreakBefore w:val="0"/>
        <w:spacing w:line="420" w:lineRule="exact"/>
        <w:ind w:firstLine="48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18.3.5“全流程电子化交易”活动当日，供应商不必抵达现场，仅需在任意地点</w:t>
      </w:r>
      <w:r>
        <w:rPr>
          <w:rFonts w:hint="eastAsia" w:ascii="宋体" w:hAnsi="宋体"/>
          <w:bCs/>
          <w:color w:val="000000" w:themeColor="text1"/>
          <w:sz w:val="24"/>
          <w:lang w:eastAsia="zh-CN"/>
          <w14:textFill>
            <w14:solidFill>
              <w14:schemeClr w14:val="tx1"/>
            </w14:solidFill>
          </w14:textFill>
        </w:rPr>
        <w:t>登录</w:t>
      </w:r>
      <w:r>
        <w:rPr>
          <w:rFonts w:hint="eastAsia" w:ascii="宋体" w:hAnsi="宋体"/>
          <w:color w:val="000000" w:themeColor="text1"/>
          <w:sz w:val="24"/>
          <w14:textFill>
            <w14:solidFill>
              <w14:schemeClr w14:val="tx1"/>
            </w14:solidFill>
          </w14:textFill>
        </w:rPr>
        <w:t>“苏采云政府采购一体化平台”</w:t>
      </w:r>
      <w:r>
        <w:rPr>
          <w:rFonts w:hint="eastAsia" w:ascii="宋体" w:hAnsi="宋体"/>
          <w:bCs/>
          <w:color w:val="000000" w:themeColor="text1"/>
          <w:sz w:val="24"/>
          <w14:textFill>
            <w14:solidFill>
              <w14:schemeClr w14:val="tx1"/>
            </w14:solidFill>
          </w14:textFill>
        </w:rPr>
        <w:t>，进入江苏省政府采购一体化不见面（采购）大厅观看项目的活动组织。为保障供应商权益以及避免围标串标的情况，供应商必须插CA锁</w:t>
      </w:r>
      <w:r>
        <w:rPr>
          <w:rFonts w:hint="eastAsia" w:ascii="宋体" w:hAnsi="宋体"/>
          <w:bCs/>
          <w:color w:val="000000" w:themeColor="text1"/>
          <w:sz w:val="24"/>
          <w:lang w:eastAsia="zh-CN"/>
          <w14:textFill>
            <w14:solidFill>
              <w14:schemeClr w14:val="tx1"/>
            </w14:solidFill>
          </w14:textFill>
        </w:rPr>
        <w:t>登录</w:t>
      </w:r>
      <w:r>
        <w:rPr>
          <w:rFonts w:hint="eastAsia" w:ascii="宋体" w:hAnsi="宋体"/>
          <w:color w:val="000000" w:themeColor="text1"/>
          <w:sz w:val="24"/>
          <w14:textFill>
            <w14:solidFill>
              <w14:schemeClr w14:val="tx1"/>
            </w14:solidFill>
          </w14:textFill>
        </w:rPr>
        <w:t>“苏采云政府采购一体化平台”</w:t>
      </w:r>
      <w:r>
        <w:rPr>
          <w:rFonts w:hint="eastAsia" w:ascii="宋体" w:hAnsi="宋体"/>
          <w:bCs/>
          <w:color w:val="000000" w:themeColor="text1"/>
          <w:sz w:val="24"/>
          <w14:textFill>
            <w14:solidFill>
              <w14:schemeClr w14:val="tx1"/>
            </w14:solidFill>
          </w14:textFill>
        </w:rPr>
        <w:t>。具体操作详见《操作手册》。</w:t>
      </w:r>
    </w:p>
    <w:p w14:paraId="62C02F7B">
      <w:pPr>
        <w:pageBreakBefore w:val="0"/>
        <w:spacing w:line="420" w:lineRule="exact"/>
        <w:ind w:firstLine="48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18.3.6电子响应文件开启时间前，各供应商的授权委托人或法人代表提前进入江苏省政府采购一体化不见面（采购）大厅，根据操作手册验证CA与签章是否正常，以免影响响应文件的解密。 </w:t>
      </w:r>
    </w:p>
    <w:p w14:paraId="1B390A84">
      <w:pPr>
        <w:pageBreakBefore w:val="0"/>
        <w:spacing w:line="420" w:lineRule="exact"/>
        <w:ind w:firstLine="48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18.3.7电子响应文件开启后，代理机构将在江苏省政府采购一体化不见面（采购）大厅内公布供应商名单，然后通过大厅操作区发出响应文件解密的指令，供应商在各自地点按规定时间自行实施远程解密，供应商解密限定在主持人发布解密指令后30分钟内完成。因供应商网络与电源不稳定、未按《操作手册》要求配置软硬件、解密CA锁发生故障或用错、故意不在要求时限内完成解密等自身原因，导致响应文件在规定时间内未能解密、解密失败或解密超时，作无效响应文件处理。因</w:t>
      </w:r>
      <w:r>
        <w:rPr>
          <w:rFonts w:hint="eastAsia" w:ascii="宋体" w:hAnsi="宋体"/>
          <w:color w:val="000000" w:themeColor="text1"/>
          <w:sz w:val="24"/>
          <w14:textFill>
            <w14:solidFill>
              <w14:schemeClr w14:val="tx1"/>
            </w14:solidFill>
          </w14:textFill>
        </w:rPr>
        <w:t>“苏采云政府采购一体化平台”</w:t>
      </w:r>
      <w:r>
        <w:rPr>
          <w:rFonts w:hint="eastAsia" w:ascii="宋体" w:hAnsi="宋体"/>
          <w:bCs/>
          <w:color w:val="000000" w:themeColor="text1"/>
          <w:sz w:val="24"/>
          <w14:textFill>
            <w14:solidFill>
              <w14:schemeClr w14:val="tx1"/>
            </w14:solidFill>
          </w14:textFill>
        </w:rPr>
        <w:t>发生故障，导致无法按时完成响应文件解密，可根据实际情况相应延迟解密时间。本项目在限定的解密时间内，只要有任一家投标人解密成功，即视为</w:t>
      </w:r>
      <w:r>
        <w:rPr>
          <w:rFonts w:hint="eastAsia" w:ascii="宋体" w:hAnsi="宋体"/>
          <w:color w:val="000000" w:themeColor="text1"/>
          <w:sz w:val="24"/>
          <w14:textFill>
            <w14:solidFill>
              <w14:schemeClr w14:val="tx1"/>
            </w14:solidFill>
          </w14:textFill>
        </w:rPr>
        <w:t>“苏采云政府采购一体化平台”</w:t>
      </w:r>
      <w:r>
        <w:rPr>
          <w:rFonts w:hint="eastAsia" w:ascii="宋体" w:hAnsi="宋体"/>
          <w:bCs/>
          <w:color w:val="000000" w:themeColor="text1"/>
          <w:sz w:val="24"/>
          <w14:textFill>
            <w14:solidFill>
              <w14:schemeClr w14:val="tx1"/>
            </w14:solidFill>
          </w14:textFill>
        </w:rPr>
        <w:t>运行无故障。</w:t>
      </w:r>
    </w:p>
    <w:p w14:paraId="7D5D1F03">
      <w:pPr>
        <w:pageBreakBefore w:val="0"/>
        <w:spacing w:line="420" w:lineRule="exact"/>
        <w:ind w:firstLine="48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18.3.8活动全过程中，各供应商参与澄清、说明、补正、远程交互的授权委托人或法人代表应始终为同一个人，中途不得更换，在澄清、说明、补正、异议提出等特殊情况下需要交互时，供应商一端参与交互的人员将均被视为是供应商的授权委托人或法人代表，供应商不得以不承认交互人员的资格或身份等为借口抵赖推脱，供应商自行承担随意更换人员所导致的一切后果。</w:t>
      </w:r>
    </w:p>
    <w:p w14:paraId="20FF2359">
      <w:pPr>
        <w:pageBreakBefore w:val="0"/>
        <w:spacing w:line="420" w:lineRule="exact"/>
        <w:ind w:firstLine="48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18.3.9为顺利实现本项目交易活动组织的远程交互，建议供应商配置相关软硬件设施，具体包括</w:t>
      </w:r>
      <w:r>
        <w:rPr>
          <w:rFonts w:hint="eastAsia" w:ascii="宋体" w:hAnsi="宋体"/>
          <w:bCs/>
          <w:color w:val="000000" w:themeColor="text1"/>
          <w:sz w:val="24"/>
          <w:lang w:eastAsia="zh-CN"/>
          <w14:textFill>
            <w14:solidFill>
              <w14:schemeClr w14:val="tx1"/>
            </w14:solidFill>
          </w14:textFill>
        </w:rPr>
        <w:t>：</w:t>
      </w:r>
    </w:p>
    <w:p w14:paraId="661C7A08">
      <w:pPr>
        <w:pageBreakBefore w:val="0"/>
        <w:spacing w:line="420" w:lineRule="exact"/>
        <w:ind w:firstLine="48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18.3.9.1软件设施</w:t>
      </w:r>
      <w:r>
        <w:rPr>
          <w:rFonts w:hint="eastAsia" w:ascii="宋体" w:hAnsi="宋体"/>
          <w:bCs/>
          <w:color w:val="000000" w:themeColor="text1"/>
          <w:sz w:val="24"/>
          <w:lang w:eastAsia="zh-CN"/>
          <w14:textFill>
            <w14:solidFill>
              <w14:schemeClr w14:val="tx1"/>
            </w14:solidFill>
          </w14:textFill>
        </w:rPr>
        <w:t>：</w:t>
      </w:r>
      <w:r>
        <w:rPr>
          <w:rFonts w:hint="eastAsia" w:ascii="宋体" w:hAnsi="宋体"/>
          <w:bCs/>
          <w:color w:val="000000" w:themeColor="text1"/>
          <w:sz w:val="24"/>
          <w14:textFill>
            <w14:solidFill>
              <w14:schemeClr w14:val="tx1"/>
            </w14:solidFill>
          </w14:textFill>
        </w:rPr>
        <w:t>谷歌浏览器或360安全浏览器，同时必须安装</w:t>
      </w:r>
      <w:r>
        <w:rPr>
          <w:rFonts w:hint="eastAsia" w:ascii="宋体" w:hAnsi="宋体"/>
          <w:color w:val="000000" w:themeColor="text1"/>
          <w:sz w:val="24"/>
          <w14:textFill>
            <w14:solidFill>
              <w14:schemeClr w14:val="tx1"/>
            </w14:solidFill>
          </w14:textFill>
        </w:rPr>
        <w:t>“苏采云政府采购一体化平台”</w:t>
      </w:r>
      <w:r>
        <w:rPr>
          <w:rFonts w:hint="eastAsia" w:ascii="宋体" w:hAnsi="宋体"/>
          <w:bCs/>
          <w:color w:val="000000" w:themeColor="text1"/>
          <w:sz w:val="24"/>
          <w14:textFill>
            <w14:solidFill>
              <w14:schemeClr w14:val="tx1"/>
            </w14:solidFill>
          </w14:textFill>
        </w:rPr>
        <w:t xml:space="preserve">客户端所要求的驱动。 </w:t>
      </w:r>
    </w:p>
    <w:p w14:paraId="212C7EEC">
      <w:pPr>
        <w:pageBreakBefore w:val="0"/>
        <w:spacing w:line="420" w:lineRule="exact"/>
        <w:ind w:firstLine="48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18.3.9.2硬件设施</w:t>
      </w:r>
      <w:r>
        <w:rPr>
          <w:rFonts w:hint="eastAsia" w:ascii="宋体" w:hAnsi="宋体"/>
          <w:bCs/>
          <w:color w:val="000000" w:themeColor="text1"/>
          <w:sz w:val="24"/>
          <w:lang w:eastAsia="zh-CN"/>
          <w14:textFill>
            <w14:solidFill>
              <w14:schemeClr w14:val="tx1"/>
            </w14:solidFill>
          </w14:textFill>
        </w:rPr>
        <w:t>：</w:t>
      </w:r>
      <w:r>
        <w:rPr>
          <w:rFonts w:hint="eastAsia" w:ascii="宋体" w:hAnsi="宋体"/>
          <w:bCs/>
          <w:color w:val="000000" w:themeColor="text1"/>
          <w:sz w:val="24"/>
          <w14:textFill>
            <w14:solidFill>
              <w14:schemeClr w14:val="tx1"/>
            </w14:solidFill>
          </w14:textFill>
        </w:rPr>
        <w:t>高配置电脑（内存4G以上，建议屏幕分辨率用1024*768像素或以上，不要使用上网本）、高速稳定的网络、CA锁、音视频设备［话筒、耳麦、高清摄像头（支持分辨率720P及以上）、音响］等。</w:t>
      </w:r>
    </w:p>
    <w:p w14:paraId="6DE38559">
      <w:pPr>
        <w:pageBreakBefore w:val="0"/>
        <w:spacing w:line="420" w:lineRule="exact"/>
        <w:ind w:firstLine="48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18.3.9.3为保证交互效果，要求供应商按上述要求配置相关软硬件并选择封闭安静的地点参与远程交互。因供应商自身软硬件配备不齐全或发生故障等问题而导致在交互过程中出现不稳定或中断等情况的，由供应商自身承担一切后果。</w:t>
      </w:r>
    </w:p>
    <w:p w14:paraId="51BEF57B">
      <w:pPr>
        <w:pStyle w:val="202"/>
        <w:pageBreakBefore w:val="0"/>
        <w:spacing w:before="0" w:after="0" w:line="420" w:lineRule="exact"/>
        <w:ind w:firstLine="480"/>
        <w:rPr>
          <w:rFonts w:ascii="宋体" w:hAnsi="宋体" w:eastAsia="宋体"/>
          <w:b w:val="0"/>
          <w:bCs/>
          <w:color w:val="0000FF"/>
          <w:sz w:val="24"/>
          <w:szCs w:val="24"/>
        </w:rPr>
      </w:pPr>
      <w:r>
        <w:rPr>
          <w:rFonts w:hint="eastAsia" w:ascii="宋体" w:hAnsi="宋体" w:eastAsia="宋体"/>
          <w:b w:val="0"/>
          <w:bCs/>
          <w:color w:val="000000" w:themeColor="text1"/>
          <w:sz w:val="24"/>
          <w:szCs w:val="24"/>
          <w14:textFill>
            <w14:solidFill>
              <w14:schemeClr w14:val="tx1"/>
            </w14:solidFill>
          </w14:textFill>
        </w:rPr>
        <w:t>18.3.10供应商在制作上传电子响应文件、观看活动组织、响应文件解密等技术方面遇到问题时，请与软件公司技术人员咨询，联系电话</w:t>
      </w:r>
      <w:r>
        <w:rPr>
          <w:rFonts w:hint="eastAsia" w:ascii="宋体" w:hAnsi="宋体" w:eastAsia="宋体"/>
          <w:b w:val="0"/>
          <w:bCs/>
          <w:color w:val="000000" w:themeColor="text1"/>
          <w:sz w:val="24"/>
          <w:szCs w:val="24"/>
          <w:lang w:eastAsia="zh-CN"/>
          <w14:textFill>
            <w14:solidFill>
              <w14:schemeClr w14:val="tx1"/>
            </w14:solidFill>
          </w14:textFill>
        </w:rPr>
        <w:t>：</w:t>
      </w:r>
      <w:r>
        <w:rPr>
          <w:rFonts w:hint="eastAsia" w:ascii="宋体" w:hAnsi="宋体" w:eastAsia="宋体"/>
          <w:b w:val="0"/>
          <w:bCs/>
          <w:color w:val="000000" w:themeColor="text1"/>
          <w:sz w:val="24"/>
          <w:szCs w:val="24"/>
          <w14:textFill>
            <w14:solidFill>
              <w14:schemeClr w14:val="tx1"/>
            </w14:solidFill>
          </w14:textFill>
        </w:rPr>
        <w:t>0517-83638013。</w:t>
      </w:r>
    </w:p>
    <w:p w14:paraId="68FC043D">
      <w:pPr>
        <w:pageBreakBefore w:val="0"/>
        <w:spacing w:line="420" w:lineRule="exact"/>
        <w:ind w:firstLine="480"/>
        <w:rPr>
          <w:rFonts w:ascii="宋体" w:hAnsi="宋体"/>
          <w:bCs/>
          <w:sz w:val="24"/>
        </w:rPr>
      </w:pPr>
      <w:r>
        <w:rPr>
          <w:rFonts w:hint="eastAsia" w:ascii="宋体" w:hAnsi="宋体"/>
          <w:bCs/>
          <w:sz w:val="24"/>
        </w:rPr>
        <w:t>18.4磋商工作由代理机构负责组织，具体磋商事务由依法组建的磋商小组负责。</w:t>
      </w:r>
    </w:p>
    <w:p w14:paraId="49B9978E">
      <w:pPr>
        <w:pageBreakBefore w:val="0"/>
        <w:spacing w:line="420" w:lineRule="exact"/>
        <w:ind w:firstLine="480"/>
        <w:rPr>
          <w:rFonts w:ascii="宋体" w:hAnsi="宋体"/>
          <w:bCs/>
          <w:sz w:val="24"/>
        </w:rPr>
      </w:pPr>
      <w:r>
        <w:rPr>
          <w:rFonts w:hint="eastAsia" w:ascii="宋体" w:hAnsi="宋体"/>
          <w:bCs/>
          <w:sz w:val="24"/>
        </w:rPr>
        <w:t>18.4.1磋商小组由采购人代表和评审专家共3人以上单数组成。</w:t>
      </w:r>
    </w:p>
    <w:p w14:paraId="2EFEADE7">
      <w:pPr>
        <w:pageBreakBefore w:val="0"/>
        <w:spacing w:line="420" w:lineRule="exact"/>
        <w:ind w:firstLine="480"/>
        <w:rPr>
          <w:rFonts w:ascii="宋体" w:hAnsi="宋体"/>
          <w:bCs/>
          <w:sz w:val="24"/>
        </w:rPr>
      </w:pPr>
      <w:r>
        <w:rPr>
          <w:rFonts w:hint="eastAsia" w:ascii="宋体" w:hAnsi="宋体"/>
          <w:bCs/>
          <w:sz w:val="24"/>
        </w:rPr>
        <w:t>18.4.2磋商小组应以科学、公正的态度参加评审工作并推荐成交候选人。磋商小组在评审过程中不受任何干扰，独立、负责地提出评审意见，并对自己的评审意见承担责任。</w:t>
      </w:r>
    </w:p>
    <w:p w14:paraId="5D485E65">
      <w:pPr>
        <w:pageBreakBefore w:val="0"/>
        <w:spacing w:line="420" w:lineRule="exact"/>
        <w:ind w:firstLine="480"/>
        <w:rPr>
          <w:rFonts w:ascii="宋体" w:cs="宋体"/>
          <w:color w:val="000000"/>
          <w:sz w:val="24"/>
        </w:rPr>
      </w:pPr>
      <w:r>
        <w:rPr>
          <w:rFonts w:hint="eastAsia" w:ascii="宋体" w:hAnsi="宋体"/>
          <w:bCs/>
          <w:sz w:val="24"/>
        </w:rPr>
        <w:t>18.4.3磋商小组应对供应商的商业、技术秘密予以保密。</w:t>
      </w:r>
    </w:p>
    <w:p w14:paraId="235847B2">
      <w:pPr>
        <w:pageBreakBefore w:val="0"/>
        <w:spacing w:line="420" w:lineRule="exac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19.磋商程序</w:t>
      </w:r>
    </w:p>
    <w:p w14:paraId="16004426">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19.1响应文件的资格审查</w:t>
      </w:r>
    </w:p>
    <w:p w14:paraId="169F76F3">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19.1.1磋商小组依法对供应商的资格进行审查。</w:t>
      </w:r>
    </w:p>
    <w:p w14:paraId="76EB625F">
      <w:pPr>
        <w:pageBreakBefore w:val="0"/>
        <w:spacing w:line="420" w:lineRule="exact"/>
        <w:ind w:firstLine="48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19.1.1.1资格性审查</w:t>
      </w:r>
      <w:r>
        <w:rPr>
          <w:rFonts w:hint="eastAsia" w:ascii="宋体" w:hAnsi="宋体" w:cs="宋体"/>
          <w:color w:val="000000"/>
          <w:sz w:val="24"/>
          <w:highlight w:val="none"/>
          <w:lang w:val="zh-CN"/>
        </w:rPr>
        <w:t>：</w:t>
      </w:r>
      <w:r>
        <w:rPr>
          <w:rFonts w:hint="eastAsia" w:ascii="宋体" w:hAnsi="宋体" w:eastAsia="宋体" w:cs="宋体"/>
          <w:color w:val="000000"/>
          <w:sz w:val="24"/>
          <w:highlight w:val="none"/>
          <w:lang w:val="zh-CN"/>
        </w:rPr>
        <w:t>依据法律法规和磋商文件的规定，对响应文件中的资格证明文件进行审查，以确定供应商是否具备磋商资格。</w:t>
      </w:r>
    </w:p>
    <w:p w14:paraId="63C64752">
      <w:pPr>
        <w:pageBreakBefore w:val="0"/>
        <w:spacing w:line="420" w:lineRule="exact"/>
        <w:ind w:firstLine="48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19.1.1.2 在进行资格性审查的同时，将在“信用中国”网站、“中国政府采购网”对供应商是否被列入失信被执行人、重大税收违法案件当事人名单、政府采购严重违法失信行为记录名单的情况进行查询，以确定供应商是否具备磋商资格。查询结果将以网页打印的形式留存并归档。</w:t>
      </w:r>
    </w:p>
    <w:p w14:paraId="7503B566">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zh-CN"/>
        </w:rPr>
        <w:t>19.1.1.3 响应文件有下列情况之一的，在资格性审查时按照无效响应文件处理</w:t>
      </w:r>
      <w:r>
        <w:rPr>
          <w:rFonts w:hint="eastAsia" w:ascii="宋体" w:hAnsi="宋体" w:cs="宋体"/>
          <w:color w:val="000000"/>
          <w:sz w:val="24"/>
          <w:highlight w:val="none"/>
          <w:lang w:val="zh-CN"/>
        </w:rPr>
        <w:t>：</w:t>
      </w:r>
    </w:p>
    <w:p w14:paraId="07E88483">
      <w:pPr>
        <w:pageBreakBefore w:val="0"/>
        <w:spacing w:line="420" w:lineRule="exact"/>
        <w:ind w:firstLine="48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w:t>
      </w: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zh-CN"/>
        </w:rPr>
        <w:t>）不具备磋商文件中规定的资格要求的；</w:t>
      </w:r>
    </w:p>
    <w:p w14:paraId="15BEF501">
      <w:pPr>
        <w:pageBreakBefore w:val="0"/>
        <w:spacing w:line="420" w:lineRule="exact"/>
        <w:ind w:firstLine="48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w:t>
      </w:r>
      <w:r>
        <w:rPr>
          <w:rFonts w:hint="eastAsia" w:ascii="宋体" w:hAnsi="宋体" w:eastAsia="宋体" w:cs="宋体"/>
          <w:color w:val="000000"/>
          <w:sz w:val="24"/>
          <w:highlight w:val="none"/>
        </w:rPr>
        <w:t>2</w:t>
      </w:r>
      <w:r>
        <w:rPr>
          <w:rFonts w:hint="eastAsia" w:ascii="宋体" w:hAnsi="宋体" w:eastAsia="宋体" w:cs="宋体"/>
          <w:color w:val="000000"/>
          <w:sz w:val="24"/>
          <w:highlight w:val="none"/>
          <w:lang w:val="zh-CN"/>
        </w:rPr>
        <w:t>）</w:t>
      </w:r>
      <w:r>
        <w:rPr>
          <w:rFonts w:hint="eastAsia" w:ascii="宋体" w:hAnsi="宋体" w:eastAsia="宋体" w:cs="宋体"/>
          <w:color w:val="000000"/>
          <w:sz w:val="24"/>
          <w:highlight w:val="none"/>
        </w:rPr>
        <w:t>供应商被“信用中国”网站、“中国政府采购网”列入失信被执行人、重大税收违法案件当事人名单、政府采购严重违法失信行为记录名单。</w:t>
      </w:r>
    </w:p>
    <w:p w14:paraId="23DB1E1E">
      <w:pPr>
        <w:pageBreakBefore w:val="0"/>
        <w:spacing w:line="420" w:lineRule="exact"/>
        <w:ind w:firstLine="480"/>
        <w:rPr>
          <w:rFonts w:hint="eastAsia" w:ascii="宋体" w:hAnsi="宋体" w:eastAsia="宋体" w:cs="宋体"/>
          <w:color w:val="000000"/>
          <w:sz w:val="24"/>
          <w:highlight w:val="none"/>
          <w:lang w:val="zh-CN"/>
        </w:rPr>
      </w:pPr>
      <w:r>
        <w:rPr>
          <w:rFonts w:hint="eastAsia" w:ascii="宋体" w:hAnsi="宋体" w:eastAsia="宋体" w:cs="宋体"/>
          <w:bCs/>
          <w:color w:val="000000"/>
          <w:sz w:val="24"/>
          <w:highlight w:val="none"/>
        </w:rPr>
        <w:t>19.2响应文件的符合性审查</w:t>
      </w:r>
    </w:p>
    <w:p w14:paraId="27ECF615">
      <w:pPr>
        <w:pageBreakBefore w:val="0"/>
        <w:spacing w:line="420" w:lineRule="exact"/>
        <w:ind w:firstLine="48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19.2.1磋商小组对响应文件的有效性、完整性和对磋商文件的响应程度进行审查，</w:t>
      </w:r>
      <w:r>
        <w:rPr>
          <w:rFonts w:hint="eastAsia" w:ascii="宋体" w:hAnsi="宋体" w:eastAsia="宋体" w:cs="宋体"/>
          <w:color w:val="000000"/>
          <w:sz w:val="24"/>
          <w:highlight w:val="none"/>
          <w:lang w:val="zh-CN"/>
        </w:rPr>
        <w:t>以确定是否对磋商文件的实质性要求作出响应。</w:t>
      </w:r>
    </w:p>
    <w:p w14:paraId="483903F2">
      <w:pPr>
        <w:pageBreakBefore w:val="0"/>
        <w:spacing w:line="420" w:lineRule="exact"/>
        <w:ind w:firstLine="460"/>
        <w:rPr>
          <w:rFonts w:hint="eastAsia" w:ascii="宋体" w:hAnsi="宋体" w:eastAsia="宋体" w:cs="宋体"/>
          <w:color w:val="000000"/>
          <w:sz w:val="24"/>
          <w:highlight w:val="none"/>
        </w:rPr>
      </w:pPr>
      <w:r>
        <w:rPr>
          <w:rFonts w:hint="eastAsia" w:ascii="宋体" w:hAnsi="宋体" w:eastAsia="宋体" w:cs="宋体"/>
          <w:color w:val="000000"/>
          <w:sz w:val="24"/>
          <w:highlight w:val="none"/>
        </w:rPr>
        <w:t>19.2.2实质性响应是指响应文件与磋商文件要求的全部条款、条件和要求相符，而没有重大偏离或保留。重大偏离或保留系指影响到磋商文件规定的供货期、供货范围、质量和性能；或者在实质上与磋商文件不一致，或限制了甲方的权力和供应商的义务，而纠正这些偏离将会对其他提交了实质性响应文件的供应商的竞争地位产生不公正的影响。重大负偏离的认定必须经磋商小组三分之二以上（含）成员同意。磋商小组判断响应文件的响应性只根据响应文件本身的内容，而不寻求外部的证据。</w:t>
      </w:r>
    </w:p>
    <w:p w14:paraId="106FD47C">
      <w:pPr>
        <w:pageBreakBefore w:val="0"/>
        <w:spacing w:line="420" w:lineRule="exact"/>
        <w:ind w:firstLine="460"/>
        <w:rPr>
          <w:rFonts w:hint="eastAsia" w:ascii="宋体" w:hAnsi="宋体" w:eastAsia="宋体" w:cs="宋体"/>
          <w:color w:val="000000"/>
          <w:sz w:val="24"/>
          <w:highlight w:val="none"/>
        </w:rPr>
      </w:pPr>
      <w:r>
        <w:rPr>
          <w:rFonts w:hint="eastAsia" w:ascii="宋体" w:hAnsi="宋体" w:eastAsia="宋体" w:cs="宋体"/>
          <w:color w:val="000000"/>
          <w:sz w:val="24"/>
          <w:highlight w:val="none"/>
        </w:rPr>
        <w:t>19.2.3如果响应文件没有实质上响应磋商文件的要求，磋商小组将予以拒绝。</w:t>
      </w:r>
    </w:p>
    <w:p w14:paraId="1FFDB7A0">
      <w:pPr>
        <w:pageBreakBefore w:val="0"/>
        <w:spacing w:line="420" w:lineRule="exact"/>
        <w:ind w:firstLine="540"/>
        <w:rPr>
          <w:rFonts w:hint="eastAsia" w:ascii="宋体" w:hAnsi="宋体" w:eastAsia="宋体" w:cs="宋体"/>
          <w:color w:val="000000"/>
          <w:sz w:val="24"/>
          <w:highlight w:val="none"/>
        </w:rPr>
      </w:pPr>
      <w:r>
        <w:rPr>
          <w:rFonts w:hint="eastAsia" w:ascii="宋体" w:hAnsi="宋体" w:eastAsia="宋体" w:cs="宋体"/>
          <w:color w:val="000000"/>
          <w:sz w:val="24"/>
          <w:highlight w:val="none"/>
        </w:rPr>
        <w:t>19.2.4磋商小组</w:t>
      </w:r>
      <w:r>
        <w:rPr>
          <w:rFonts w:hint="eastAsia" w:ascii="宋体" w:hAnsi="宋体" w:eastAsia="宋体" w:cs="宋体"/>
          <w:bCs/>
          <w:color w:val="000000"/>
          <w:sz w:val="24"/>
          <w:highlight w:val="none"/>
        </w:rPr>
        <w:t>将对确定为实质性响应的响应文件进行进一步</w:t>
      </w:r>
      <w:r>
        <w:rPr>
          <w:rFonts w:hint="eastAsia" w:ascii="宋体" w:hAnsi="宋体" w:eastAsia="宋体" w:cs="宋体"/>
          <w:color w:val="000000"/>
          <w:sz w:val="24"/>
          <w:highlight w:val="none"/>
        </w:rPr>
        <w:t>初审，</w:t>
      </w:r>
      <w:r>
        <w:rPr>
          <w:rFonts w:hint="eastAsia" w:ascii="宋体" w:hAnsi="宋体" w:eastAsia="宋体" w:cs="宋体"/>
          <w:bCs/>
          <w:color w:val="000000"/>
          <w:sz w:val="24"/>
          <w:highlight w:val="none"/>
        </w:rPr>
        <w:t>看其是否有计算上或累加上的算术错误，</w:t>
      </w:r>
      <w:r>
        <w:rPr>
          <w:rFonts w:hint="eastAsia" w:ascii="宋体" w:hAnsi="宋体" w:eastAsia="宋体" w:cs="宋体"/>
          <w:color w:val="000000"/>
          <w:sz w:val="24"/>
          <w:highlight w:val="none"/>
        </w:rPr>
        <w:t>修正原则如下</w:t>
      </w:r>
      <w:r>
        <w:rPr>
          <w:rFonts w:hint="eastAsia" w:ascii="宋体" w:hAnsi="宋体" w:cs="宋体"/>
          <w:color w:val="000000"/>
          <w:sz w:val="24"/>
          <w:highlight w:val="none"/>
          <w:lang w:eastAsia="zh-CN"/>
        </w:rPr>
        <w:t>：</w:t>
      </w:r>
    </w:p>
    <w:p w14:paraId="68D42636">
      <w:pPr>
        <w:pageBreakBefore w:val="0"/>
        <w:spacing w:line="420" w:lineRule="exact"/>
        <w:ind w:firstLine="46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（1）大写金额和小写金额不一致的，以大写金额为准.</w:t>
      </w:r>
    </w:p>
    <w:p w14:paraId="7C8F8082">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（2）总价金额与按单价汇总金额不一致的，以单价金额计算结果为准。</w:t>
      </w:r>
    </w:p>
    <w:p w14:paraId="6C7E9E64">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（3）单价金额小数点有明显错位的，以总价为准并修改单价。</w:t>
      </w:r>
    </w:p>
    <w:p w14:paraId="2F6A703D">
      <w:pPr>
        <w:pageBreakBefore w:val="0"/>
        <w:spacing w:line="420" w:lineRule="exact"/>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同时出现两种以上错误的，按照前款规定的顺序修正。</w:t>
      </w:r>
    </w:p>
    <w:p w14:paraId="43CD1DD5">
      <w:pPr>
        <w:pageBreakBefore w:val="0"/>
        <w:spacing w:line="420" w:lineRule="exact"/>
        <w:ind w:firstLine="48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磋商小组将按上述修正错误的方法调整响应文件中的磋商报价，调整后的价格应对供应商具有约束力。如果供应商不同意修正的，其响应文件无效。</w:t>
      </w:r>
    </w:p>
    <w:p w14:paraId="566497DC">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19.3</w:t>
      </w:r>
      <w:r>
        <w:rPr>
          <w:rFonts w:hint="eastAsia" w:ascii="宋体" w:hAnsi="宋体" w:eastAsia="宋体" w:cs="宋体"/>
          <w:bCs/>
          <w:color w:val="000000"/>
          <w:sz w:val="24"/>
          <w:highlight w:val="none"/>
        </w:rPr>
        <w:t>磋商</w:t>
      </w:r>
      <w:r>
        <w:rPr>
          <w:rFonts w:hint="eastAsia" w:ascii="宋体" w:hAnsi="宋体" w:eastAsia="宋体" w:cs="宋体"/>
          <w:color w:val="000000"/>
          <w:sz w:val="24"/>
          <w:highlight w:val="none"/>
        </w:rPr>
        <w:t>小组通过开标大厅与单一供应商以视频方式分别进行磋商，并给予所有参加</w:t>
      </w:r>
      <w:r>
        <w:rPr>
          <w:rFonts w:hint="eastAsia" w:ascii="宋体" w:hAnsi="宋体" w:eastAsia="宋体" w:cs="宋体"/>
          <w:bCs/>
          <w:color w:val="000000"/>
          <w:sz w:val="24"/>
          <w:highlight w:val="none"/>
        </w:rPr>
        <w:t>磋商</w:t>
      </w:r>
      <w:r>
        <w:rPr>
          <w:rFonts w:hint="eastAsia" w:ascii="宋体" w:hAnsi="宋体" w:eastAsia="宋体" w:cs="宋体"/>
          <w:color w:val="000000"/>
          <w:sz w:val="24"/>
          <w:highlight w:val="none"/>
        </w:rPr>
        <w:t>的供应商平等的</w:t>
      </w:r>
      <w:r>
        <w:rPr>
          <w:rFonts w:hint="eastAsia" w:ascii="宋体" w:hAnsi="宋体" w:eastAsia="宋体" w:cs="宋体"/>
          <w:bCs/>
          <w:color w:val="000000"/>
          <w:sz w:val="24"/>
          <w:highlight w:val="none"/>
        </w:rPr>
        <w:t>磋商</w:t>
      </w:r>
      <w:r>
        <w:rPr>
          <w:rFonts w:hint="eastAsia" w:ascii="宋体" w:hAnsi="宋体" w:eastAsia="宋体" w:cs="宋体"/>
          <w:color w:val="000000"/>
          <w:sz w:val="24"/>
          <w:highlight w:val="none"/>
        </w:rPr>
        <w:t>机会。</w:t>
      </w:r>
      <w:r>
        <w:rPr>
          <w:rFonts w:hint="eastAsia" w:ascii="宋体" w:hAnsi="宋体" w:eastAsia="宋体" w:cs="宋体"/>
          <w:bCs/>
          <w:color w:val="000000"/>
          <w:sz w:val="24"/>
          <w:highlight w:val="none"/>
        </w:rPr>
        <w:t>磋商</w:t>
      </w:r>
      <w:r>
        <w:rPr>
          <w:rFonts w:hint="eastAsia" w:ascii="宋体" w:hAnsi="宋体" w:eastAsia="宋体" w:cs="宋体"/>
          <w:color w:val="000000"/>
          <w:sz w:val="24"/>
          <w:highlight w:val="none"/>
        </w:rPr>
        <w:t>可以是多轮次进行。</w:t>
      </w:r>
    </w:p>
    <w:p w14:paraId="0E5CAA41">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19.3.1在视频单一</w:t>
      </w:r>
      <w:r>
        <w:rPr>
          <w:rFonts w:hint="eastAsia" w:ascii="宋体" w:hAnsi="宋体" w:eastAsia="宋体" w:cs="宋体"/>
          <w:bCs/>
          <w:color w:val="000000"/>
          <w:sz w:val="24"/>
          <w:highlight w:val="none"/>
        </w:rPr>
        <w:t>磋商</w:t>
      </w:r>
      <w:r>
        <w:rPr>
          <w:rFonts w:hint="eastAsia" w:ascii="宋体" w:hAnsi="宋体" w:eastAsia="宋体" w:cs="宋体"/>
          <w:color w:val="000000"/>
          <w:sz w:val="24"/>
          <w:highlight w:val="none"/>
        </w:rPr>
        <w:t>时，</w:t>
      </w:r>
      <w:r>
        <w:rPr>
          <w:rFonts w:hint="eastAsia" w:ascii="宋体" w:hAnsi="宋体" w:eastAsia="宋体" w:cs="宋体"/>
          <w:bCs/>
          <w:color w:val="000000"/>
          <w:sz w:val="24"/>
          <w:highlight w:val="none"/>
        </w:rPr>
        <w:t>磋商</w:t>
      </w:r>
      <w:r>
        <w:rPr>
          <w:rFonts w:hint="eastAsia" w:ascii="宋体" w:hAnsi="宋体" w:eastAsia="宋体" w:cs="宋体"/>
          <w:color w:val="000000"/>
          <w:sz w:val="24"/>
          <w:highlight w:val="none"/>
        </w:rPr>
        <w:t>小组首先会核实授权委托人或</w:t>
      </w:r>
      <w:r>
        <w:rPr>
          <w:rFonts w:hint="eastAsia" w:ascii="宋体" w:hAnsi="宋体" w:cs="宋体"/>
          <w:color w:val="000000"/>
          <w:sz w:val="24"/>
          <w:highlight w:val="none"/>
          <w:lang w:eastAsia="zh-CN"/>
        </w:rPr>
        <w:t>法定代表人</w:t>
      </w:r>
      <w:r>
        <w:rPr>
          <w:rFonts w:hint="eastAsia" w:ascii="宋体" w:hAnsi="宋体" w:eastAsia="宋体" w:cs="宋体"/>
          <w:color w:val="000000"/>
          <w:sz w:val="24"/>
          <w:highlight w:val="none"/>
        </w:rPr>
        <w:t>的身份信息，如身份信息不符视同供应商放弃磋商的权利。</w:t>
      </w:r>
    </w:p>
    <w:p w14:paraId="69CA8831">
      <w:pPr>
        <w:pageBreakBefore w:val="0"/>
        <w:spacing w:line="420" w:lineRule="exact"/>
        <w:ind w:firstLine="482"/>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19.3.2</w:t>
      </w:r>
      <w:r>
        <w:rPr>
          <w:rFonts w:hint="eastAsia" w:ascii="宋体" w:hAnsi="宋体" w:eastAsia="宋体" w:cs="宋体"/>
          <w:b/>
          <w:bCs/>
          <w:color w:val="000000"/>
          <w:sz w:val="24"/>
          <w:highlight w:val="none"/>
        </w:rPr>
        <w:t>磋商</w:t>
      </w:r>
      <w:r>
        <w:rPr>
          <w:rFonts w:hint="eastAsia" w:ascii="宋体" w:hAnsi="宋体" w:eastAsia="宋体" w:cs="宋体"/>
          <w:b/>
          <w:color w:val="000000"/>
          <w:sz w:val="24"/>
          <w:highlight w:val="none"/>
        </w:rPr>
        <w:t>小组发起</w:t>
      </w:r>
      <w:r>
        <w:rPr>
          <w:rFonts w:hint="eastAsia" w:ascii="宋体" w:hAnsi="宋体" w:eastAsia="宋体" w:cs="宋体"/>
          <w:b/>
          <w:bCs/>
          <w:color w:val="000000"/>
          <w:sz w:val="24"/>
          <w:highlight w:val="none"/>
        </w:rPr>
        <w:t>磋商</w:t>
      </w:r>
      <w:r>
        <w:rPr>
          <w:rFonts w:hint="eastAsia" w:ascii="宋体" w:hAnsi="宋体" w:eastAsia="宋体" w:cs="宋体"/>
          <w:b/>
          <w:color w:val="000000"/>
          <w:sz w:val="24"/>
          <w:highlight w:val="none"/>
        </w:rPr>
        <w:t>邀请后供应商未及时响应，</w:t>
      </w:r>
      <w:r>
        <w:rPr>
          <w:rFonts w:hint="eastAsia" w:ascii="宋体" w:hAnsi="宋体" w:eastAsia="宋体" w:cs="宋体"/>
          <w:b/>
          <w:bCs/>
          <w:color w:val="000000"/>
          <w:sz w:val="24"/>
          <w:highlight w:val="none"/>
        </w:rPr>
        <w:t>磋商</w:t>
      </w:r>
      <w:r>
        <w:rPr>
          <w:rFonts w:hint="eastAsia" w:ascii="宋体" w:hAnsi="宋体" w:eastAsia="宋体" w:cs="宋体"/>
          <w:b/>
          <w:color w:val="000000"/>
          <w:sz w:val="24"/>
          <w:highlight w:val="none"/>
        </w:rPr>
        <w:t>小组继续和下一家供应商进行</w:t>
      </w:r>
      <w:r>
        <w:rPr>
          <w:rFonts w:hint="eastAsia" w:ascii="宋体" w:hAnsi="宋体" w:eastAsia="宋体" w:cs="宋体"/>
          <w:b/>
          <w:bCs/>
          <w:color w:val="000000"/>
          <w:sz w:val="24"/>
          <w:highlight w:val="none"/>
        </w:rPr>
        <w:t>磋商</w:t>
      </w:r>
      <w:r>
        <w:rPr>
          <w:rFonts w:hint="eastAsia" w:ascii="宋体" w:hAnsi="宋体" w:eastAsia="宋体" w:cs="宋体"/>
          <w:b/>
          <w:color w:val="000000"/>
          <w:sz w:val="24"/>
          <w:highlight w:val="none"/>
        </w:rPr>
        <w:t>，未及时响应</w:t>
      </w:r>
      <w:r>
        <w:rPr>
          <w:rFonts w:hint="eastAsia" w:ascii="宋体" w:hAnsi="宋体" w:eastAsia="宋体" w:cs="宋体"/>
          <w:b/>
          <w:bCs/>
          <w:color w:val="000000"/>
          <w:sz w:val="24"/>
          <w:highlight w:val="none"/>
        </w:rPr>
        <w:t>磋商</w:t>
      </w:r>
      <w:r>
        <w:rPr>
          <w:rFonts w:hint="eastAsia" w:ascii="宋体" w:hAnsi="宋体" w:eastAsia="宋体" w:cs="宋体"/>
          <w:b/>
          <w:color w:val="000000"/>
          <w:sz w:val="24"/>
          <w:highlight w:val="none"/>
        </w:rPr>
        <w:t>邀请的供应商在</w:t>
      </w:r>
      <w:r>
        <w:rPr>
          <w:rFonts w:hint="eastAsia" w:ascii="宋体" w:hAnsi="宋体" w:eastAsia="宋体" w:cs="宋体"/>
          <w:b/>
          <w:bCs/>
          <w:color w:val="000000"/>
          <w:sz w:val="24"/>
          <w:highlight w:val="none"/>
        </w:rPr>
        <w:t>磋商</w:t>
      </w:r>
      <w:r>
        <w:rPr>
          <w:rFonts w:hint="eastAsia" w:ascii="宋体" w:hAnsi="宋体" w:eastAsia="宋体" w:cs="宋体"/>
          <w:b/>
          <w:color w:val="000000"/>
          <w:sz w:val="24"/>
          <w:highlight w:val="none"/>
        </w:rPr>
        <w:t>小组与其他所有供应商单一磋商结束前可以主动发起</w:t>
      </w:r>
      <w:r>
        <w:rPr>
          <w:rFonts w:hint="eastAsia" w:ascii="宋体" w:hAnsi="宋体" w:eastAsia="宋体" w:cs="宋体"/>
          <w:b/>
          <w:bCs/>
          <w:color w:val="000000"/>
          <w:sz w:val="24"/>
          <w:highlight w:val="none"/>
        </w:rPr>
        <w:t>磋商</w:t>
      </w:r>
      <w:r>
        <w:rPr>
          <w:rFonts w:hint="eastAsia" w:ascii="宋体" w:hAnsi="宋体" w:eastAsia="宋体" w:cs="宋体"/>
          <w:b/>
          <w:color w:val="000000"/>
          <w:sz w:val="24"/>
          <w:highlight w:val="none"/>
        </w:rPr>
        <w:t>申请，</w:t>
      </w:r>
      <w:r>
        <w:rPr>
          <w:rFonts w:hint="eastAsia" w:ascii="宋体" w:hAnsi="宋体" w:eastAsia="宋体" w:cs="宋体"/>
          <w:b/>
          <w:bCs/>
          <w:color w:val="000000"/>
          <w:sz w:val="24"/>
          <w:highlight w:val="none"/>
        </w:rPr>
        <w:t>磋商</w:t>
      </w:r>
      <w:r>
        <w:rPr>
          <w:rFonts w:hint="eastAsia" w:ascii="宋体" w:hAnsi="宋体" w:eastAsia="宋体" w:cs="宋体"/>
          <w:b/>
          <w:color w:val="000000"/>
          <w:sz w:val="24"/>
          <w:highlight w:val="none"/>
        </w:rPr>
        <w:t>小组在收到</w:t>
      </w:r>
      <w:r>
        <w:rPr>
          <w:rFonts w:hint="eastAsia" w:ascii="宋体" w:hAnsi="宋体" w:eastAsia="宋体" w:cs="宋体"/>
          <w:b/>
          <w:bCs/>
          <w:color w:val="000000"/>
          <w:sz w:val="24"/>
          <w:highlight w:val="none"/>
        </w:rPr>
        <w:t>磋商</w:t>
      </w:r>
      <w:r>
        <w:rPr>
          <w:rFonts w:hint="eastAsia" w:ascii="宋体" w:hAnsi="宋体" w:eastAsia="宋体" w:cs="宋体"/>
          <w:b/>
          <w:color w:val="000000"/>
          <w:sz w:val="24"/>
          <w:highlight w:val="none"/>
        </w:rPr>
        <w:t>申请后将和供应商进行单一</w:t>
      </w:r>
      <w:r>
        <w:rPr>
          <w:rFonts w:hint="eastAsia" w:ascii="宋体" w:hAnsi="宋体" w:eastAsia="宋体" w:cs="宋体"/>
          <w:b/>
          <w:bCs/>
          <w:color w:val="000000"/>
          <w:sz w:val="24"/>
          <w:highlight w:val="none"/>
        </w:rPr>
        <w:t>磋商</w:t>
      </w:r>
      <w:r>
        <w:rPr>
          <w:rFonts w:hint="eastAsia" w:ascii="宋体" w:hAnsi="宋体" w:eastAsia="宋体" w:cs="宋体"/>
          <w:b/>
          <w:color w:val="000000"/>
          <w:sz w:val="24"/>
          <w:highlight w:val="none"/>
        </w:rPr>
        <w:t>，未及时响应</w:t>
      </w:r>
      <w:r>
        <w:rPr>
          <w:rFonts w:hint="eastAsia" w:ascii="宋体" w:hAnsi="宋体" w:eastAsia="宋体" w:cs="宋体"/>
          <w:b/>
          <w:bCs/>
          <w:color w:val="000000"/>
          <w:sz w:val="24"/>
          <w:highlight w:val="none"/>
        </w:rPr>
        <w:t>磋商</w:t>
      </w:r>
      <w:r>
        <w:rPr>
          <w:rFonts w:hint="eastAsia" w:ascii="宋体" w:hAnsi="宋体" w:eastAsia="宋体" w:cs="宋体"/>
          <w:b/>
          <w:color w:val="000000"/>
          <w:sz w:val="24"/>
          <w:highlight w:val="none"/>
        </w:rPr>
        <w:t>邀请的供应商未能在</w:t>
      </w:r>
      <w:r>
        <w:rPr>
          <w:rFonts w:hint="eastAsia" w:ascii="宋体" w:hAnsi="宋体" w:eastAsia="宋体" w:cs="宋体"/>
          <w:b/>
          <w:bCs/>
          <w:color w:val="000000"/>
          <w:sz w:val="24"/>
          <w:highlight w:val="none"/>
        </w:rPr>
        <w:t>磋商</w:t>
      </w:r>
      <w:r>
        <w:rPr>
          <w:rFonts w:hint="eastAsia" w:ascii="宋体" w:hAnsi="宋体" w:eastAsia="宋体" w:cs="宋体"/>
          <w:b/>
          <w:color w:val="000000"/>
          <w:sz w:val="24"/>
          <w:highlight w:val="none"/>
        </w:rPr>
        <w:t>小组与其他所有供应商单一</w:t>
      </w:r>
      <w:r>
        <w:rPr>
          <w:rFonts w:hint="eastAsia" w:ascii="宋体" w:hAnsi="宋体" w:eastAsia="宋体" w:cs="宋体"/>
          <w:b/>
          <w:bCs/>
          <w:color w:val="000000"/>
          <w:sz w:val="24"/>
          <w:highlight w:val="none"/>
        </w:rPr>
        <w:t>磋商</w:t>
      </w:r>
      <w:r>
        <w:rPr>
          <w:rFonts w:hint="eastAsia" w:ascii="宋体" w:hAnsi="宋体" w:eastAsia="宋体" w:cs="宋体"/>
          <w:b/>
          <w:color w:val="000000"/>
          <w:sz w:val="24"/>
          <w:highlight w:val="none"/>
        </w:rPr>
        <w:t>结束前发起</w:t>
      </w:r>
      <w:r>
        <w:rPr>
          <w:rFonts w:hint="eastAsia" w:ascii="宋体" w:hAnsi="宋体" w:eastAsia="宋体" w:cs="宋体"/>
          <w:b/>
          <w:bCs/>
          <w:color w:val="000000"/>
          <w:sz w:val="24"/>
          <w:highlight w:val="none"/>
        </w:rPr>
        <w:t>磋商</w:t>
      </w:r>
      <w:r>
        <w:rPr>
          <w:rFonts w:hint="eastAsia" w:ascii="宋体" w:hAnsi="宋体" w:eastAsia="宋体" w:cs="宋体"/>
          <w:b/>
          <w:color w:val="000000"/>
          <w:sz w:val="24"/>
          <w:highlight w:val="none"/>
        </w:rPr>
        <w:t>申请的将视同供应商放弃</w:t>
      </w:r>
      <w:r>
        <w:rPr>
          <w:rFonts w:hint="eastAsia" w:ascii="宋体" w:hAnsi="宋体" w:eastAsia="宋体" w:cs="宋体"/>
          <w:b/>
          <w:bCs/>
          <w:color w:val="000000"/>
          <w:sz w:val="24"/>
          <w:highlight w:val="none"/>
        </w:rPr>
        <w:t>磋商</w:t>
      </w:r>
      <w:r>
        <w:rPr>
          <w:rFonts w:hint="eastAsia" w:ascii="宋体" w:hAnsi="宋体" w:eastAsia="宋体" w:cs="宋体"/>
          <w:b/>
          <w:color w:val="000000"/>
          <w:sz w:val="24"/>
          <w:highlight w:val="none"/>
        </w:rPr>
        <w:t>的权利。</w:t>
      </w:r>
    </w:p>
    <w:p w14:paraId="3FDA640A">
      <w:pPr>
        <w:pageBreakBefore w:val="0"/>
        <w:spacing w:line="420" w:lineRule="exact"/>
        <w:ind w:firstLine="540"/>
        <w:rPr>
          <w:rFonts w:hint="eastAsia" w:ascii="宋体" w:hAnsi="宋体" w:eastAsia="宋体" w:cs="宋体"/>
          <w:color w:val="000000"/>
          <w:sz w:val="24"/>
          <w:highlight w:val="none"/>
        </w:rPr>
      </w:pPr>
      <w:r>
        <w:rPr>
          <w:rFonts w:hint="eastAsia" w:ascii="宋体" w:hAnsi="宋体" w:eastAsia="宋体" w:cs="宋体"/>
          <w:color w:val="000000"/>
          <w:sz w:val="24"/>
          <w:highlight w:val="none"/>
        </w:rPr>
        <w:t>19.4</w:t>
      </w:r>
      <w:r>
        <w:rPr>
          <w:rFonts w:hint="eastAsia" w:ascii="宋体" w:hAnsi="宋体" w:eastAsia="宋体" w:cs="宋体"/>
          <w:bCs/>
          <w:color w:val="000000"/>
          <w:sz w:val="24"/>
          <w:highlight w:val="none"/>
        </w:rPr>
        <w:t>磋商</w:t>
      </w:r>
      <w:r>
        <w:rPr>
          <w:rFonts w:hint="eastAsia" w:ascii="宋体" w:hAnsi="宋体" w:eastAsia="宋体" w:cs="宋体"/>
          <w:color w:val="000000"/>
          <w:sz w:val="24"/>
          <w:highlight w:val="none"/>
        </w:rPr>
        <w:t>过程中，</w:t>
      </w:r>
      <w:r>
        <w:rPr>
          <w:rFonts w:hint="eastAsia" w:ascii="宋体" w:hAnsi="宋体" w:eastAsia="宋体" w:cs="宋体"/>
          <w:bCs/>
          <w:color w:val="000000"/>
          <w:sz w:val="24"/>
          <w:highlight w:val="none"/>
        </w:rPr>
        <w:t>磋商</w:t>
      </w:r>
      <w:r>
        <w:rPr>
          <w:rFonts w:hint="eastAsia" w:ascii="宋体" w:hAnsi="宋体" w:eastAsia="宋体" w:cs="宋体"/>
          <w:color w:val="000000"/>
          <w:sz w:val="24"/>
          <w:highlight w:val="none"/>
        </w:rPr>
        <w:t>小组根据</w:t>
      </w:r>
      <w:r>
        <w:rPr>
          <w:rFonts w:hint="eastAsia" w:ascii="宋体" w:hAnsi="宋体" w:eastAsia="宋体" w:cs="宋体"/>
          <w:bCs/>
          <w:color w:val="000000"/>
          <w:sz w:val="24"/>
          <w:highlight w:val="none"/>
        </w:rPr>
        <w:t>磋商</w:t>
      </w:r>
      <w:r>
        <w:rPr>
          <w:rFonts w:hint="eastAsia" w:ascii="宋体" w:hAnsi="宋体" w:eastAsia="宋体" w:cs="宋体"/>
          <w:color w:val="000000"/>
          <w:sz w:val="24"/>
          <w:highlight w:val="none"/>
        </w:rPr>
        <w:t>文件和</w:t>
      </w:r>
      <w:r>
        <w:rPr>
          <w:rFonts w:hint="eastAsia" w:ascii="宋体" w:hAnsi="宋体" w:eastAsia="宋体" w:cs="宋体"/>
          <w:bCs/>
          <w:color w:val="000000"/>
          <w:sz w:val="24"/>
          <w:highlight w:val="none"/>
        </w:rPr>
        <w:t>磋商</w:t>
      </w:r>
      <w:r>
        <w:rPr>
          <w:rFonts w:hint="eastAsia" w:ascii="宋体" w:hAnsi="宋体" w:eastAsia="宋体" w:cs="宋体"/>
          <w:color w:val="000000"/>
          <w:sz w:val="24"/>
          <w:highlight w:val="none"/>
        </w:rPr>
        <w:t>情况可能实质性变动采购需求中的技术、服务要求以及合同草案条款。实质性变动是</w:t>
      </w:r>
      <w:r>
        <w:rPr>
          <w:rFonts w:hint="eastAsia" w:ascii="宋体" w:hAnsi="宋体" w:eastAsia="宋体" w:cs="宋体"/>
          <w:bCs/>
          <w:color w:val="000000"/>
          <w:sz w:val="24"/>
          <w:highlight w:val="none"/>
        </w:rPr>
        <w:t>磋商</w:t>
      </w:r>
      <w:r>
        <w:rPr>
          <w:rFonts w:hint="eastAsia" w:ascii="宋体" w:hAnsi="宋体" w:eastAsia="宋体" w:cs="宋体"/>
          <w:color w:val="000000"/>
          <w:sz w:val="24"/>
          <w:highlight w:val="none"/>
        </w:rPr>
        <w:t>文件的有效组成部分，</w:t>
      </w:r>
      <w:r>
        <w:rPr>
          <w:rFonts w:hint="eastAsia" w:ascii="宋体" w:hAnsi="宋体" w:eastAsia="宋体" w:cs="宋体"/>
          <w:bCs/>
          <w:color w:val="000000"/>
          <w:sz w:val="24"/>
          <w:highlight w:val="none"/>
        </w:rPr>
        <w:t>磋商</w:t>
      </w:r>
      <w:r>
        <w:rPr>
          <w:rFonts w:hint="eastAsia" w:ascii="宋体" w:hAnsi="宋体" w:eastAsia="宋体" w:cs="宋体"/>
          <w:color w:val="000000"/>
          <w:sz w:val="24"/>
          <w:highlight w:val="none"/>
        </w:rPr>
        <w:t>小组将以电子文件形式通知所有参加</w:t>
      </w:r>
      <w:r>
        <w:rPr>
          <w:rFonts w:hint="eastAsia" w:ascii="宋体" w:hAnsi="宋体" w:eastAsia="宋体" w:cs="宋体"/>
          <w:bCs/>
          <w:color w:val="000000"/>
          <w:sz w:val="24"/>
          <w:highlight w:val="none"/>
        </w:rPr>
        <w:t>磋商</w:t>
      </w:r>
      <w:r>
        <w:rPr>
          <w:rFonts w:hint="eastAsia" w:ascii="宋体" w:hAnsi="宋体" w:eastAsia="宋体" w:cs="宋体"/>
          <w:color w:val="000000"/>
          <w:sz w:val="24"/>
          <w:highlight w:val="none"/>
        </w:rPr>
        <w:t>的供应商，所有参加</w:t>
      </w:r>
      <w:r>
        <w:rPr>
          <w:rFonts w:hint="eastAsia" w:ascii="宋体" w:hAnsi="宋体" w:eastAsia="宋体" w:cs="宋体"/>
          <w:bCs/>
          <w:color w:val="000000"/>
          <w:sz w:val="24"/>
          <w:highlight w:val="none"/>
        </w:rPr>
        <w:t>磋商</w:t>
      </w:r>
      <w:r>
        <w:rPr>
          <w:rFonts w:hint="eastAsia" w:ascii="宋体" w:hAnsi="宋体" w:eastAsia="宋体" w:cs="宋体"/>
          <w:color w:val="000000"/>
          <w:sz w:val="24"/>
          <w:highlight w:val="none"/>
        </w:rPr>
        <w:t>的供应商必须电子签章确认（在规定时间内未进行确认的，视同其默认）。</w:t>
      </w:r>
    </w:p>
    <w:p w14:paraId="3A5C7980">
      <w:pPr>
        <w:pageBreakBefore w:val="0"/>
        <w:spacing w:line="420" w:lineRule="exact"/>
        <w:ind w:firstLine="540"/>
        <w:rPr>
          <w:rFonts w:hint="eastAsia" w:ascii="宋体" w:hAnsi="宋体" w:eastAsia="宋体" w:cs="宋体"/>
          <w:color w:val="000000"/>
          <w:sz w:val="24"/>
          <w:highlight w:val="none"/>
        </w:rPr>
      </w:pPr>
      <w:r>
        <w:rPr>
          <w:rFonts w:hint="eastAsia" w:ascii="宋体" w:hAnsi="宋体" w:eastAsia="宋体" w:cs="宋体"/>
          <w:color w:val="000000"/>
          <w:sz w:val="24"/>
          <w:highlight w:val="none"/>
        </w:rPr>
        <w:t>19.5</w:t>
      </w:r>
      <w:r>
        <w:rPr>
          <w:rFonts w:hint="eastAsia" w:ascii="宋体" w:hAnsi="宋体" w:eastAsia="宋体" w:cs="宋体"/>
          <w:bCs/>
          <w:color w:val="000000"/>
          <w:sz w:val="24"/>
          <w:highlight w:val="none"/>
        </w:rPr>
        <w:t>磋商</w:t>
      </w:r>
      <w:r>
        <w:rPr>
          <w:rFonts w:hint="eastAsia" w:ascii="宋体" w:hAnsi="宋体" w:eastAsia="宋体" w:cs="宋体"/>
          <w:color w:val="000000"/>
          <w:sz w:val="24"/>
          <w:highlight w:val="none"/>
        </w:rPr>
        <w:t>中，</w:t>
      </w:r>
      <w:r>
        <w:rPr>
          <w:rFonts w:hint="eastAsia" w:ascii="宋体" w:hAnsi="宋体" w:eastAsia="宋体" w:cs="宋体"/>
          <w:bCs/>
          <w:color w:val="000000"/>
          <w:sz w:val="24"/>
          <w:highlight w:val="none"/>
        </w:rPr>
        <w:t>磋商</w:t>
      </w:r>
      <w:r>
        <w:rPr>
          <w:rFonts w:hint="eastAsia" w:ascii="宋体" w:hAnsi="宋体" w:eastAsia="宋体" w:cs="宋体"/>
          <w:color w:val="000000"/>
          <w:sz w:val="24"/>
          <w:highlight w:val="none"/>
        </w:rPr>
        <w:t>的任何一方不得透露与</w:t>
      </w:r>
      <w:r>
        <w:rPr>
          <w:rFonts w:hint="eastAsia" w:ascii="宋体" w:hAnsi="宋体" w:eastAsia="宋体" w:cs="宋体"/>
          <w:bCs/>
          <w:color w:val="000000"/>
          <w:sz w:val="24"/>
          <w:highlight w:val="none"/>
        </w:rPr>
        <w:t>磋商</w:t>
      </w:r>
      <w:r>
        <w:rPr>
          <w:rFonts w:hint="eastAsia" w:ascii="宋体" w:hAnsi="宋体" w:eastAsia="宋体" w:cs="宋体"/>
          <w:color w:val="000000"/>
          <w:sz w:val="24"/>
          <w:highlight w:val="none"/>
        </w:rPr>
        <w:t>有关的其他参加供应商的技术资料、价格和其他信息。如果参加供应商试图向采购中心和</w:t>
      </w:r>
      <w:r>
        <w:rPr>
          <w:rFonts w:hint="eastAsia" w:ascii="宋体" w:hAnsi="宋体" w:eastAsia="宋体" w:cs="宋体"/>
          <w:bCs/>
          <w:color w:val="000000"/>
          <w:sz w:val="24"/>
          <w:highlight w:val="none"/>
        </w:rPr>
        <w:t>磋商</w:t>
      </w:r>
      <w:r>
        <w:rPr>
          <w:rFonts w:hint="eastAsia" w:ascii="宋体" w:hAnsi="宋体" w:eastAsia="宋体" w:cs="宋体"/>
          <w:color w:val="000000"/>
          <w:sz w:val="24"/>
          <w:highlight w:val="none"/>
        </w:rPr>
        <w:t>小组人员施加任何影响，都将会导致其</w:t>
      </w:r>
      <w:r>
        <w:rPr>
          <w:rFonts w:hint="eastAsia" w:ascii="宋体" w:hAnsi="宋体" w:eastAsia="宋体" w:cs="宋体"/>
          <w:bCs/>
          <w:color w:val="000000"/>
          <w:sz w:val="24"/>
          <w:highlight w:val="none"/>
        </w:rPr>
        <w:t>磋商</w:t>
      </w:r>
      <w:r>
        <w:rPr>
          <w:rFonts w:hint="eastAsia" w:ascii="宋体" w:hAnsi="宋体" w:eastAsia="宋体" w:cs="宋体"/>
          <w:color w:val="000000"/>
          <w:sz w:val="24"/>
          <w:highlight w:val="none"/>
        </w:rPr>
        <w:t>被拒绝。</w:t>
      </w:r>
    </w:p>
    <w:p w14:paraId="5AE47DE2">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bCs/>
          <w:color w:val="000000"/>
          <w:sz w:val="24"/>
          <w:highlight w:val="none"/>
        </w:rPr>
        <w:t>19.6响应文件的澄清</w:t>
      </w:r>
    </w:p>
    <w:p w14:paraId="5A38606D">
      <w:pPr>
        <w:pageBreakBefore w:val="0"/>
        <w:spacing w:line="420" w:lineRule="exact"/>
        <w:ind w:firstLine="460"/>
        <w:rPr>
          <w:rFonts w:hint="eastAsia" w:ascii="宋体" w:hAnsi="宋体" w:eastAsia="宋体" w:cs="宋体"/>
          <w:color w:val="000000"/>
          <w:sz w:val="24"/>
          <w:highlight w:val="none"/>
        </w:rPr>
      </w:pPr>
      <w:r>
        <w:rPr>
          <w:rFonts w:hint="eastAsia" w:ascii="宋体" w:hAnsi="宋体" w:eastAsia="宋体" w:cs="宋体"/>
          <w:color w:val="000000"/>
          <w:sz w:val="24"/>
          <w:highlight w:val="none"/>
        </w:rPr>
        <w:t>19.6.1在</w:t>
      </w:r>
      <w:r>
        <w:rPr>
          <w:rFonts w:hint="eastAsia" w:ascii="宋体" w:hAnsi="宋体" w:eastAsia="宋体" w:cs="宋体"/>
          <w:bCs/>
          <w:color w:val="000000"/>
          <w:sz w:val="24"/>
          <w:highlight w:val="none"/>
        </w:rPr>
        <w:t>磋商</w:t>
      </w:r>
      <w:r>
        <w:rPr>
          <w:rFonts w:hint="eastAsia" w:ascii="宋体" w:hAnsi="宋体" w:eastAsia="宋体" w:cs="宋体"/>
          <w:color w:val="000000"/>
          <w:sz w:val="24"/>
          <w:highlight w:val="none"/>
        </w:rPr>
        <w:t>期间，为有助于对响应文件的审查、评价和比较，</w:t>
      </w:r>
      <w:r>
        <w:rPr>
          <w:rFonts w:hint="eastAsia" w:ascii="宋体" w:hAnsi="宋体" w:eastAsia="宋体" w:cs="宋体"/>
          <w:bCs/>
          <w:color w:val="000000"/>
          <w:sz w:val="24"/>
          <w:highlight w:val="none"/>
        </w:rPr>
        <w:t>磋商</w:t>
      </w:r>
      <w:r>
        <w:rPr>
          <w:rFonts w:hint="eastAsia" w:ascii="宋体" w:hAnsi="宋体" w:eastAsia="宋体" w:cs="宋体"/>
          <w:color w:val="000000"/>
          <w:sz w:val="24"/>
          <w:highlight w:val="none"/>
        </w:rPr>
        <w:t>小组有权通过开标大厅进行视频交流并要求供应商对其响应文件中含义不明确、同类问题表述不一致或者有明显文字和计算错误的内容进行澄清</w:t>
      </w:r>
      <w:r>
        <w:rPr>
          <w:rFonts w:hint="eastAsia" w:ascii="宋体" w:hAnsi="宋体" w:eastAsia="宋体" w:cs="宋体"/>
          <w:b/>
          <w:color w:val="000000"/>
          <w:sz w:val="24"/>
          <w:highlight w:val="none"/>
        </w:rPr>
        <w:t>（在视频交流时，</w:t>
      </w:r>
      <w:r>
        <w:rPr>
          <w:rFonts w:hint="eastAsia" w:ascii="宋体" w:hAnsi="宋体" w:eastAsia="宋体" w:cs="宋体"/>
          <w:b/>
          <w:bCs/>
          <w:color w:val="000000"/>
          <w:sz w:val="24"/>
          <w:highlight w:val="none"/>
        </w:rPr>
        <w:t>磋商</w:t>
      </w:r>
      <w:r>
        <w:rPr>
          <w:rFonts w:hint="eastAsia" w:ascii="宋体" w:hAnsi="宋体" w:eastAsia="宋体" w:cs="宋体"/>
          <w:b/>
          <w:color w:val="000000"/>
          <w:sz w:val="24"/>
          <w:highlight w:val="none"/>
        </w:rPr>
        <w:t>小组首先会核实授权委托人或</w:t>
      </w:r>
      <w:r>
        <w:rPr>
          <w:rFonts w:hint="eastAsia" w:ascii="宋体" w:hAnsi="宋体" w:cs="宋体"/>
          <w:b/>
          <w:color w:val="000000"/>
          <w:sz w:val="24"/>
          <w:highlight w:val="none"/>
          <w:lang w:eastAsia="zh-CN"/>
        </w:rPr>
        <w:t>法定代表人</w:t>
      </w:r>
      <w:r>
        <w:rPr>
          <w:rFonts w:hint="eastAsia" w:ascii="宋体" w:hAnsi="宋体" w:eastAsia="宋体" w:cs="宋体"/>
          <w:b/>
          <w:color w:val="000000"/>
          <w:sz w:val="24"/>
          <w:highlight w:val="none"/>
        </w:rPr>
        <w:t>的身份信息，如身份信息不符或者供应商在</w:t>
      </w:r>
      <w:r>
        <w:rPr>
          <w:rFonts w:hint="eastAsia" w:ascii="宋体" w:hAnsi="宋体" w:eastAsia="宋体" w:cs="宋体"/>
          <w:b/>
          <w:bCs/>
          <w:color w:val="000000"/>
          <w:sz w:val="24"/>
          <w:highlight w:val="none"/>
        </w:rPr>
        <w:t>磋商</w:t>
      </w:r>
      <w:r>
        <w:rPr>
          <w:rFonts w:hint="eastAsia" w:ascii="宋体" w:hAnsi="宋体" w:eastAsia="宋体" w:cs="宋体"/>
          <w:b/>
          <w:color w:val="000000"/>
          <w:sz w:val="24"/>
          <w:highlight w:val="none"/>
        </w:rPr>
        <w:t>小组发起澄清邀请后未能及时响应的，则视同供应商放弃澄清、说明或者补正的权利）</w:t>
      </w:r>
      <w:r>
        <w:rPr>
          <w:rFonts w:hint="eastAsia" w:ascii="宋体" w:hAnsi="宋体" w:eastAsia="宋体" w:cs="宋体"/>
          <w:color w:val="000000"/>
          <w:sz w:val="24"/>
          <w:highlight w:val="none"/>
        </w:rPr>
        <w:t>。</w:t>
      </w:r>
      <w:r>
        <w:rPr>
          <w:rFonts w:hint="eastAsia" w:ascii="宋体" w:hAnsi="宋体"/>
          <w:bCs/>
          <w:sz w:val="24"/>
        </w:rPr>
        <w:t>供应商的澄清要通过</w:t>
      </w:r>
      <w:r>
        <w:rPr>
          <w:rFonts w:hint="eastAsia" w:ascii="宋体" w:hAnsi="宋体"/>
          <w:sz w:val="24"/>
        </w:rPr>
        <w:t>“苏采云政府采购一体化平台”</w:t>
      </w:r>
      <w:r>
        <w:rPr>
          <w:rFonts w:hint="eastAsia" w:ascii="宋体" w:hAnsi="宋体"/>
          <w:bCs/>
          <w:sz w:val="24"/>
        </w:rPr>
        <w:t>向磋商小组进行澄清回复，同时必须将澄清内容形成电子文件加盖电子签章通过</w:t>
      </w:r>
      <w:r>
        <w:rPr>
          <w:rFonts w:hint="eastAsia" w:ascii="宋体" w:hAnsi="宋体"/>
          <w:sz w:val="24"/>
        </w:rPr>
        <w:t>“苏采云政府采购一体化平台”</w:t>
      </w:r>
      <w:r>
        <w:rPr>
          <w:rFonts w:hint="eastAsia" w:ascii="宋体" w:hAnsi="宋体"/>
          <w:bCs/>
          <w:sz w:val="24"/>
        </w:rPr>
        <w:t>上传。</w:t>
      </w:r>
    </w:p>
    <w:p w14:paraId="465EA721">
      <w:pPr>
        <w:pageBreakBefore w:val="0"/>
        <w:spacing w:line="420" w:lineRule="exact"/>
        <w:ind w:firstLine="460"/>
        <w:rPr>
          <w:rFonts w:hint="eastAsia" w:ascii="宋体" w:hAnsi="宋体" w:eastAsia="宋体" w:cs="宋体"/>
          <w:color w:val="000000"/>
          <w:sz w:val="24"/>
          <w:highlight w:val="none"/>
        </w:rPr>
      </w:pPr>
      <w:r>
        <w:rPr>
          <w:rFonts w:hint="eastAsia" w:ascii="宋体" w:hAnsi="宋体" w:eastAsia="宋体" w:cs="宋体"/>
          <w:color w:val="000000"/>
          <w:sz w:val="24"/>
          <w:highlight w:val="none"/>
        </w:rPr>
        <w:t>19.6.2接到</w:t>
      </w:r>
      <w:r>
        <w:rPr>
          <w:rFonts w:hint="eastAsia" w:ascii="宋体" w:hAnsi="宋体" w:eastAsia="宋体" w:cs="宋体"/>
          <w:bCs/>
          <w:color w:val="000000"/>
          <w:sz w:val="24"/>
          <w:highlight w:val="none"/>
        </w:rPr>
        <w:t>磋商</w:t>
      </w:r>
      <w:r>
        <w:rPr>
          <w:rFonts w:hint="eastAsia" w:ascii="宋体" w:hAnsi="宋体" w:eastAsia="宋体" w:cs="宋体"/>
          <w:color w:val="000000"/>
          <w:sz w:val="24"/>
          <w:highlight w:val="none"/>
        </w:rPr>
        <w:t>小组澄清要求的供应商如未按第19.6.1的规定作出澄清的，将视为放弃该澄清权利。</w:t>
      </w:r>
    </w:p>
    <w:p w14:paraId="2AE6F4AE">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19.7</w:t>
      </w:r>
      <w:r>
        <w:rPr>
          <w:rFonts w:hint="eastAsia" w:ascii="宋体" w:hAnsi="宋体" w:eastAsia="宋体" w:cs="宋体"/>
          <w:bCs/>
          <w:color w:val="000000"/>
          <w:sz w:val="24"/>
          <w:highlight w:val="none"/>
        </w:rPr>
        <w:t>磋商</w:t>
      </w:r>
      <w:r>
        <w:rPr>
          <w:rFonts w:hint="eastAsia" w:ascii="宋体" w:hAnsi="宋体" w:eastAsia="宋体" w:cs="宋体"/>
          <w:color w:val="000000"/>
          <w:sz w:val="24"/>
          <w:highlight w:val="none"/>
        </w:rPr>
        <w:t>结束后，</w:t>
      </w:r>
      <w:r>
        <w:rPr>
          <w:rFonts w:hint="eastAsia" w:ascii="宋体" w:hAnsi="宋体" w:eastAsia="宋体" w:cs="宋体"/>
          <w:bCs/>
          <w:color w:val="000000"/>
          <w:sz w:val="24"/>
          <w:highlight w:val="none"/>
        </w:rPr>
        <w:t>磋商</w:t>
      </w:r>
      <w:r>
        <w:rPr>
          <w:rFonts w:hint="eastAsia" w:ascii="宋体" w:hAnsi="宋体" w:eastAsia="宋体" w:cs="宋体"/>
          <w:color w:val="000000"/>
          <w:sz w:val="24"/>
          <w:highlight w:val="none"/>
        </w:rPr>
        <w:t>小组将要求所有继续参加</w:t>
      </w:r>
      <w:r>
        <w:rPr>
          <w:rFonts w:hint="eastAsia" w:ascii="宋体" w:hAnsi="宋体" w:eastAsia="宋体" w:cs="宋体"/>
          <w:bCs/>
          <w:color w:val="000000"/>
          <w:sz w:val="24"/>
          <w:highlight w:val="none"/>
        </w:rPr>
        <w:t>磋商</w:t>
      </w:r>
      <w:r>
        <w:rPr>
          <w:rFonts w:hint="eastAsia" w:ascii="宋体" w:hAnsi="宋体" w:eastAsia="宋体" w:cs="宋体"/>
          <w:color w:val="000000"/>
          <w:sz w:val="24"/>
          <w:highlight w:val="none"/>
        </w:rPr>
        <w:t>的供应商凭CA锁</w:t>
      </w:r>
      <w:r>
        <w:rPr>
          <w:rFonts w:hint="eastAsia" w:ascii="宋体" w:hAnsi="宋体" w:cs="宋体"/>
          <w:color w:val="000000"/>
          <w:sz w:val="24"/>
          <w:highlight w:val="none"/>
          <w:lang w:eastAsia="zh-CN"/>
        </w:rPr>
        <w:t>登录</w:t>
      </w:r>
      <w:r>
        <w:rPr>
          <w:rFonts w:hint="eastAsia" w:ascii="宋体" w:hAnsi="宋体" w:cs="宋体"/>
          <w:color w:val="000000"/>
          <w:sz w:val="24"/>
          <w:highlight w:val="none"/>
          <w:lang w:val="en-US" w:eastAsia="zh-CN"/>
        </w:rPr>
        <w:t>苏彩云</w:t>
      </w:r>
      <w:r>
        <w:rPr>
          <w:rFonts w:hint="eastAsia" w:ascii="宋体" w:hAnsi="宋体" w:eastAsia="宋体" w:cs="宋体"/>
          <w:color w:val="000000"/>
          <w:sz w:val="24"/>
          <w:highlight w:val="none"/>
        </w:rPr>
        <w:t>平台在规定的时间内进行两次或两次以上的</w:t>
      </w:r>
      <w:r>
        <w:rPr>
          <w:rFonts w:hint="eastAsia" w:ascii="宋体" w:hAnsi="宋体" w:eastAsia="宋体" w:cs="宋体"/>
          <w:bCs/>
          <w:color w:val="000000"/>
          <w:sz w:val="24"/>
          <w:highlight w:val="none"/>
        </w:rPr>
        <w:t>磋商</w:t>
      </w:r>
      <w:r>
        <w:rPr>
          <w:rFonts w:hint="eastAsia" w:ascii="宋体" w:hAnsi="宋体" w:eastAsia="宋体" w:cs="宋体"/>
          <w:color w:val="000000"/>
          <w:sz w:val="24"/>
          <w:highlight w:val="none"/>
        </w:rPr>
        <w:t>报价（最终报价将作为评审的依据）。</w:t>
      </w:r>
    </w:p>
    <w:p w14:paraId="706FFC82">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19.7.1如果供应商未在规定时间内进行报价或因其自身网络问题无法及时提交报价的，系统将默认其报价为电子响应文件提交的初始报价。</w:t>
      </w:r>
    </w:p>
    <w:p w14:paraId="1AAB0A97">
      <w:pPr>
        <w:pageBreakBefore w:val="0"/>
        <w:spacing w:line="42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20.出现下列情形之一的，响应文件按照无效处理:</w:t>
      </w:r>
    </w:p>
    <w:p w14:paraId="602876BF">
      <w:pPr>
        <w:pageBreakBefore w:val="0"/>
        <w:widowControl/>
        <w:spacing w:line="420" w:lineRule="exact"/>
        <w:ind w:firstLine="480"/>
        <w:jc w:val="left"/>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lang w:val="zh-CN"/>
        </w:rPr>
        <w:t>（1）</w:t>
      </w:r>
      <w:r>
        <w:rPr>
          <w:rFonts w:hint="eastAsia" w:ascii="宋体" w:hAnsi="宋体" w:eastAsia="宋体" w:cs="宋体"/>
          <w:color w:val="000000"/>
          <w:sz w:val="24"/>
          <w:highlight w:val="none"/>
        </w:rPr>
        <w:t>未按照</w:t>
      </w:r>
      <w:r>
        <w:rPr>
          <w:rFonts w:hint="eastAsia" w:ascii="宋体" w:hAnsi="宋体" w:eastAsia="宋体" w:cs="宋体"/>
          <w:bCs/>
          <w:color w:val="000000"/>
          <w:sz w:val="24"/>
          <w:highlight w:val="none"/>
        </w:rPr>
        <w:t>磋商</w:t>
      </w:r>
      <w:r>
        <w:rPr>
          <w:rFonts w:hint="eastAsia" w:ascii="宋体" w:hAnsi="宋体" w:eastAsia="宋体" w:cs="宋体"/>
          <w:color w:val="000000"/>
          <w:sz w:val="24"/>
          <w:highlight w:val="none"/>
        </w:rPr>
        <w:t>文件规定要求进行电子签字、电子签章的</w:t>
      </w:r>
      <w:r>
        <w:rPr>
          <w:rFonts w:hint="eastAsia" w:ascii="宋体" w:hAnsi="宋体" w:eastAsia="宋体" w:cs="宋体"/>
          <w:color w:val="000000"/>
          <w:sz w:val="24"/>
          <w:highlight w:val="none"/>
          <w:lang w:val="zh-CN"/>
        </w:rPr>
        <w:t>；</w:t>
      </w:r>
    </w:p>
    <w:p w14:paraId="6D39DD84">
      <w:pPr>
        <w:pageBreakBefore w:val="0"/>
        <w:widowControl/>
        <w:spacing w:line="420" w:lineRule="exact"/>
        <w:ind w:firstLine="48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（2）已上传电子响应文件但因供应商原因未在规定时间前进行系统签到的；</w:t>
      </w:r>
    </w:p>
    <w:p w14:paraId="174F3FF2">
      <w:pPr>
        <w:pageBreakBefore w:val="0"/>
        <w:widowControl/>
        <w:spacing w:line="420" w:lineRule="exact"/>
        <w:ind w:firstLine="48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3）因供应商网络与电源不稳定、未按操作手册要求配置软硬件、解密锁发生故障或用错、故意不在要求时限内完成解密等自身原因，导致响应文件在规定时间内未能解密、解密失败或解密超时的或未在规定时间内电子签章以确认其未在规定时间内成功解密响应文件的；</w:t>
      </w:r>
    </w:p>
    <w:p w14:paraId="60B6F039">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（4）经</w:t>
      </w:r>
      <w:r>
        <w:rPr>
          <w:rFonts w:hint="eastAsia" w:ascii="宋体" w:hAnsi="宋体" w:eastAsia="宋体" w:cs="宋体"/>
          <w:bCs/>
          <w:color w:val="000000"/>
          <w:sz w:val="24"/>
          <w:highlight w:val="none"/>
        </w:rPr>
        <w:t>磋商</w:t>
      </w:r>
      <w:r>
        <w:rPr>
          <w:rFonts w:hint="eastAsia" w:ascii="宋体" w:hAnsi="宋体" w:eastAsia="宋体" w:cs="宋体"/>
          <w:color w:val="000000"/>
          <w:sz w:val="24"/>
          <w:highlight w:val="none"/>
        </w:rPr>
        <w:t>，供应商仍不承诺满足</w:t>
      </w:r>
      <w:r>
        <w:rPr>
          <w:rFonts w:hint="eastAsia" w:ascii="宋体" w:hAnsi="宋体" w:eastAsia="宋体" w:cs="宋体"/>
          <w:bCs/>
          <w:color w:val="000000"/>
          <w:sz w:val="24"/>
          <w:highlight w:val="none"/>
        </w:rPr>
        <w:t>磋商</w:t>
      </w:r>
      <w:r>
        <w:rPr>
          <w:rFonts w:hint="eastAsia" w:ascii="宋体" w:hAnsi="宋体" w:eastAsia="宋体" w:cs="宋体"/>
          <w:color w:val="000000"/>
          <w:sz w:val="24"/>
          <w:highlight w:val="none"/>
        </w:rPr>
        <w:t>文件要求的；</w:t>
      </w:r>
    </w:p>
    <w:p w14:paraId="6F77F1CC">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（5）不符合</w:t>
      </w:r>
      <w:r>
        <w:rPr>
          <w:rFonts w:hint="eastAsia" w:ascii="宋体" w:hAnsi="宋体" w:cs="宋体"/>
          <w:color w:val="000000"/>
          <w:sz w:val="24"/>
          <w:highlight w:val="none"/>
          <w:lang w:eastAsia="zh-CN"/>
        </w:rPr>
        <w:t>法律法规</w:t>
      </w:r>
      <w:r>
        <w:rPr>
          <w:rFonts w:hint="eastAsia" w:ascii="宋体" w:hAnsi="宋体" w:eastAsia="宋体" w:cs="宋体"/>
          <w:color w:val="000000"/>
          <w:sz w:val="24"/>
          <w:highlight w:val="none"/>
        </w:rPr>
        <w:t>和</w:t>
      </w:r>
      <w:r>
        <w:rPr>
          <w:rFonts w:hint="eastAsia" w:ascii="宋体" w:hAnsi="宋体" w:eastAsia="宋体" w:cs="宋体"/>
          <w:bCs/>
          <w:color w:val="000000"/>
          <w:sz w:val="24"/>
          <w:highlight w:val="none"/>
        </w:rPr>
        <w:t>磋商</w:t>
      </w:r>
      <w:r>
        <w:rPr>
          <w:rFonts w:hint="eastAsia" w:ascii="宋体" w:hAnsi="宋体" w:eastAsia="宋体" w:cs="宋体"/>
          <w:color w:val="000000"/>
          <w:sz w:val="24"/>
          <w:highlight w:val="none"/>
        </w:rPr>
        <w:t>文件中规定的其他实质性要求的；</w:t>
      </w:r>
    </w:p>
    <w:p w14:paraId="538BAEB4">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（6）经查实提供虚假材料谋取成交的。</w:t>
      </w:r>
    </w:p>
    <w:p w14:paraId="7B668025">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（7）供应商参加磋商时，未提供项目管理方案或经三分之二磋商小组认定方案存在重大偏差的；</w:t>
      </w:r>
    </w:p>
    <w:p w14:paraId="20EE5B5D">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（8）供应商未完全满足磋商文件要求的；</w:t>
      </w:r>
    </w:p>
    <w:p w14:paraId="48D92E30">
      <w:pPr>
        <w:pageBreakBefore w:val="0"/>
        <w:spacing w:line="42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21.出现下列情形之一的，磋商终止:</w:t>
      </w:r>
    </w:p>
    <w:p w14:paraId="6A396DE7">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zh-CN"/>
        </w:rPr>
        <w:t>（1）</w:t>
      </w:r>
      <w:r>
        <w:rPr>
          <w:rFonts w:hint="eastAsia" w:ascii="宋体" w:hAnsi="宋体" w:eastAsia="宋体" w:cs="宋体"/>
          <w:color w:val="000000"/>
          <w:sz w:val="24"/>
          <w:highlight w:val="none"/>
        </w:rPr>
        <w:t>因情况变化，不再符合规定的竞争性磋商采购方式适用情形的；</w:t>
      </w:r>
    </w:p>
    <w:p w14:paraId="2A4503A7">
      <w:pPr>
        <w:pageBreakBefore w:val="0"/>
        <w:spacing w:line="420" w:lineRule="exact"/>
        <w:ind w:firstLine="484"/>
        <w:rPr>
          <w:rFonts w:hint="eastAsia" w:ascii="宋体" w:hAnsi="宋体" w:eastAsia="宋体" w:cs="宋体"/>
          <w:color w:val="000000"/>
          <w:sz w:val="24"/>
          <w:highlight w:val="none"/>
        </w:rPr>
      </w:pPr>
      <w:r>
        <w:rPr>
          <w:rFonts w:hint="eastAsia" w:ascii="宋体" w:hAnsi="宋体" w:eastAsia="宋体" w:cs="宋体"/>
          <w:color w:val="000000"/>
          <w:sz w:val="24"/>
          <w:highlight w:val="none"/>
        </w:rPr>
        <w:t>（2）出现影响采购公正的违法、违规行为的；</w:t>
      </w:r>
    </w:p>
    <w:p w14:paraId="4474AFCD">
      <w:pPr>
        <w:pageBreakBefore w:val="0"/>
        <w:spacing w:line="420" w:lineRule="exact"/>
        <w:ind w:firstLine="484"/>
        <w:rPr>
          <w:rFonts w:hint="eastAsia" w:ascii="宋体" w:hAnsi="宋体" w:eastAsia="宋体" w:cs="宋体"/>
          <w:color w:val="000000"/>
          <w:sz w:val="24"/>
          <w:highlight w:val="none"/>
        </w:rPr>
      </w:pPr>
      <w:r>
        <w:rPr>
          <w:rFonts w:hint="eastAsia" w:ascii="宋体" w:hAnsi="宋体" w:eastAsia="宋体" w:cs="宋体"/>
          <w:color w:val="000000"/>
          <w:sz w:val="24"/>
          <w:highlight w:val="none"/>
        </w:rPr>
        <w:t>（3）除《政府采购竞争性磋商采购方式管理暂行办法》财库【2014】214号文件第二十一条第三款规定的情形除外，在采购过程中符合竞争要求的供应商或者报价未超过采购预算的供应商不足3家的。</w:t>
      </w:r>
    </w:p>
    <w:p w14:paraId="01428A42">
      <w:pPr>
        <w:pageBreakBefore w:val="0"/>
        <w:spacing w:line="420" w:lineRule="exact"/>
        <w:ind w:firstLine="480"/>
        <w:rPr>
          <w:rFonts w:hint="eastAsia" w:ascii="宋体" w:hAnsi="宋体" w:eastAsia="宋体" w:cs="宋体"/>
          <w:bCs/>
          <w:color w:val="000000"/>
          <w:sz w:val="24"/>
          <w:highlight w:val="none"/>
        </w:rPr>
      </w:pPr>
      <w:r>
        <w:rPr>
          <w:rFonts w:hint="eastAsia" w:ascii="宋体" w:hAnsi="宋体" w:eastAsia="宋体" w:cs="宋体"/>
          <w:color w:val="000000"/>
          <w:sz w:val="24"/>
          <w:highlight w:val="none"/>
        </w:rPr>
        <w:t>磋商终止后，采购人应当将磋商终止的理由通知所有供应商。在特殊情况下，经采购人申请后，可以与两家或一家供应商进行磋商。</w:t>
      </w:r>
    </w:p>
    <w:p w14:paraId="5F911240">
      <w:pPr>
        <w:pageBreakBefore w:val="0"/>
        <w:spacing w:line="420" w:lineRule="exac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22.推荐成交候选供应商</w:t>
      </w:r>
    </w:p>
    <w:p w14:paraId="755BADCB">
      <w:pPr>
        <w:pageBreakBefore w:val="0"/>
        <w:spacing w:line="420" w:lineRule="exact"/>
        <w:ind w:firstLine="539"/>
        <w:rPr>
          <w:rFonts w:hint="eastAsia" w:ascii="宋体" w:hAnsi="宋体" w:eastAsia="宋体" w:cs="宋体"/>
          <w:color w:val="000000"/>
          <w:sz w:val="24"/>
          <w:highlight w:val="none"/>
        </w:rPr>
      </w:pPr>
      <w:r>
        <w:rPr>
          <w:rFonts w:hint="eastAsia" w:ascii="宋体" w:hAnsi="宋体" w:eastAsia="宋体" w:cs="宋体"/>
          <w:color w:val="000000"/>
          <w:sz w:val="24"/>
          <w:highlight w:val="none"/>
        </w:rPr>
        <w:t>22.1磋商小组将对通过资格性审查和符合性审查的响应文件进行评价和比较。</w:t>
      </w:r>
    </w:p>
    <w:p w14:paraId="7EE83AE8">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22.2磋商小组按磋商文件第三章中公布的评标标准对每份合格响应文件进行评审，推荐1名成交候选供应商。 </w:t>
      </w:r>
    </w:p>
    <w:p w14:paraId="5C3669E4">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22.3 磋商小组发现磋商文件存在歧义、重大缺陷导致评审工作无法进行，或者磋商文件内容存在违反国家有关规定的，评审工作停止，采购中心修改磋商文件后重新组织采购活动。</w:t>
      </w:r>
    </w:p>
    <w:p w14:paraId="61F179F5">
      <w:pPr>
        <w:pageBreakBefore w:val="0"/>
        <w:spacing w:line="420" w:lineRule="exact"/>
        <w:ind w:right="-634"/>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23.磋商过程保密</w:t>
      </w:r>
    </w:p>
    <w:p w14:paraId="337EA1DB">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23.1在宣布成交结果前，凡属于审查、澄清、磋商、评审响应文件和确定成交等相关信息，均不得泄露给任何供应商或与评审工作无关的人员。</w:t>
      </w:r>
    </w:p>
    <w:p w14:paraId="698D79A0">
      <w:pPr>
        <w:pageBreakBefore w:val="0"/>
        <w:spacing w:line="420" w:lineRule="exact"/>
        <w:ind w:firstLine="540"/>
        <w:rPr>
          <w:rFonts w:hint="eastAsia" w:ascii="宋体" w:hAnsi="宋体" w:eastAsia="宋体" w:cs="宋体"/>
          <w:color w:val="000000"/>
          <w:sz w:val="24"/>
          <w:highlight w:val="none"/>
        </w:rPr>
      </w:pPr>
      <w:r>
        <w:rPr>
          <w:rFonts w:hint="eastAsia" w:ascii="宋体" w:hAnsi="宋体" w:eastAsia="宋体" w:cs="宋体"/>
          <w:color w:val="000000"/>
          <w:sz w:val="24"/>
          <w:highlight w:val="none"/>
        </w:rPr>
        <w:t>23.2供应商不得探听上述信息，不得以任何行为影响磋商过程，否则将被取消成交资格。</w:t>
      </w:r>
    </w:p>
    <w:p w14:paraId="0475217B">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23.3 磋商小组名单在磋商前确定，并在磋商结果确定前保密。</w:t>
      </w:r>
    </w:p>
    <w:p w14:paraId="7F25443E">
      <w:pPr>
        <w:pageBreakBefore w:val="0"/>
        <w:spacing w:line="420" w:lineRule="exact"/>
        <w:ind w:right="-634"/>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六、确定成交及签订合同</w:t>
      </w:r>
    </w:p>
    <w:p w14:paraId="1EC6916D">
      <w:pPr>
        <w:pageBreakBefore w:val="0"/>
        <w:spacing w:line="420" w:lineRule="exact"/>
        <w:ind w:right="-634"/>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24.确定成交供应商</w:t>
      </w:r>
    </w:p>
    <w:p w14:paraId="593B7B5C">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24.1采购人将从磋商小组推荐的符合采购需求的成交候选供应商中按排名先后确定成交供应商。</w:t>
      </w:r>
    </w:p>
    <w:p w14:paraId="4E27C4A3">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24.2采购人将在淮安市政府采购网发布成交结果公告。</w:t>
      </w:r>
    </w:p>
    <w:p w14:paraId="3E932992">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24.3成交候选人在合同签订前，如经查实从参加该成交项目之日起计算所参加的政府采购活动前三年内，在经营活动中有行贿犯罪记录的，采购中心将取消其成交候选人资格。</w:t>
      </w:r>
    </w:p>
    <w:p w14:paraId="0AFB6960">
      <w:pPr>
        <w:pageBreakBefore w:val="0"/>
        <w:spacing w:line="420" w:lineRule="exact"/>
        <w:ind w:right="-302"/>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25.成交通知书</w:t>
      </w:r>
    </w:p>
    <w:p w14:paraId="63923488">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25.1成交结果公示结束且在无疑义情况下，采购中心将通过“采购业务管理子系统”通知成交供应商。</w:t>
      </w:r>
    </w:p>
    <w:p w14:paraId="41441BE0">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25.2成交通知书将是合同的一个组成部分。</w:t>
      </w:r>
    </w:p>
    <w:p w14:paraId="163EC008">
      <w:pPr>
        <w:pageBreakBefore w:val="0"/>
        <w:spacing w:line="42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26.签订合同</w:t>
      </w:r>
    </w:p>
    <w:p w14:paraId="7C8E4FB7">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26.1采购人与成交供应商应在成交通知书发出之日起十</w:t>
      </w:r>
      <w:r>
        <w:rPr>
          <w:rFonts w:hint="eastAsia" w:ascii="宋体" w:hAnsi="宋体" w:cs="宋体"/>
          <w:color w:val="000000"/>
          <w:sz w:val="24"/>
          <w:highlight w:val="none"/>
          <w:lang w:val="en-US" w:eastAsia="zh-CN"/>
        </w:rPr>
        <w:t>二</w:t>
      </w:r>
      <w:r>
        <w:rPr>
          <w:rFonts w:hint="eastAsia" w:ascii="宋体" w:hAnsi="宋体" w:eastAsia="宋体" w:cs="宋体"/>
          <w:color w:val="000000"/>
          <w:sz w:val="24"/>
          <w:highlight w:val="none"/>
        </w:rPr>
        <w:t>日内签订政府采购合同。磋商文件、成交供应商的响应文件及澄清文件等均为签订合同依据。</w:t>
      </w:r>
    </w:p>
    <w:p w14:paraId="061098BE">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26.2成交供应商自成交通知书发出之日起十</w:t>
      </w:r>
      <w:r>
        <w:rPr>
          <w:rFonts w:hint="eastAsia" w:ascii="宋体" w:hAnsi="宋体" w:cs="宋体"/>
          <w:color w:val="000000"/>
          <w:sz w:val="24"/>
          <w:highlight w:val="none"/>
          <w:lang w:val="en-US" w:eastAsia="zh-CN"/>
        </w:rPr>
        <w:t>二</w:t>
      </w:r>
      <w:r>
        <w:rPr>
          <w:rFonts w:hint="eastAsia" w:ascii="宋体" w:hAnsi="宋体" w:eastAsia="宋体" w:cs="宋体"/>
          <w:color w:val="000000"/>
          <w:sz w:val="24"/>
          <w:highlight w:val="none"/>
        </w:rPr>
        <w:t>日内无正当理由不与采购人签订合同并经财政局备案的，将按规定进行处理。</w:t>
      </w:r>
    </w:p>
    <w:p w14:paraId="171B3289">
      <w:pPr>
        <w:pageBreakBefore w:val="0"/>
        <w:spacing w:line="42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27.货物和服务的减少</w:t>
      </w:r>
    </w:p>
    <w:p w14:paraId="330E5D9E">
      <w:pPr>
        <w:pageBreakBefore w:val="0"/>
        <w:spacing w:line="420" w:lineRule="exact"/>
        <w:ind w:firstLine="460"/>
        <w:rPr>
          <w:rFonts w:hint="eastAsia" w:ascii="宋体" w:hAnsi="宋体" w:eastAsia="宋体" w:cs="宋体"/>
          <w:color w:val="000000"/>
          <w:sz w:val="24"/>
          <w:highlight w:val="none"/>
        </w:rPr>
      </w:pPr>
      <w:r>
        <w:rPr>
          <w:rFonts w:hint="eastAsia" w:ascii="宋体" w:hAnsi="宋体" w:eastAsia="宋体" w:cs="宋体"/>
          <w:color w:val="000000"/>
          <w:sz w:val="24"/>
          <w:highlight w:val="none"/>
        </w:rPr>
        <w:t>27.1采购结束后，采购人若由于各种客观原因，必须对采购项目所牵涉的货物和服务进行适当的减少时，在双方协商一致的前提下，可以按照磋商时的价格水平做相应的调减，并据此签订补充合同。</w:t>
      </w:r>
    </w:p>
    <w:p w14:paraId="605C9CCB">
      <w:pPr>
        <w:pageBreakBefore w:val="0"/>
        <w:spacing w:line="42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28.履约保证金</w:t>
      </w:r>
    </w:p>
    <w:p w14:paraId="3200DAEE">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28.1乙方交纳人民币_________元作为本合同的履约保证金。（不得超过合同金额的1%）</w:t>
      </w:r>
    </w:p>
    <w:p w14:paraId="0584A50F">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color w:val="000000"/>
          <w:sz w:val="24"/>
          <w:szCs w:val="24"/>
          <w:highlight w:val="none"/>
          <w:lang w:val="en-US" w:eastAsia="zh-CN" w:bidi="ar-SA"/>
        </w:rPr>
      </w:pPr>
      <w:r>
        <w:rPr>
          <w:rFonts w:hint="eastAsia" w:ascii="宋体" w:hAnsi="宋体" w:cs="宋体"/>
          <w:color w:val="000000"/>
          <w:sz w:val="24"/>
          <w:szCs w:val="24"/>
          <w:highlight w:val="none"/>
          <w:lang w:val="en-US" w:eastAsia="zh-CN" w:bidi="ar-SA"/>
        </w:rPr>
        <w:t>28.2</w:t>
      </w:r>
      <w:r>
        <w:rPr>
          <w:rFonts w:hint="eastAsia" w:ascii="宋体" w:hAnsi="宋体" w:eastAsia="宋体" w:cs="宋体"/>
          <w:color w:val="000000"/>
          <w:sz w:val="24"/>
          <w:szCs w:val="24"/>
          <w:highlight w:val="none"/>
          <w:lang w:val="en-US" w:eastAsia="zh-CN" w:bidi="ar-SA"/>
        </w:rPr>
        <w:t>乙方提供的履约保证金可以是人民币形式（银行本票、汇票、支票、电汇），或银行保函、担保公司的保证担保或保险公司的保证保险等多种形式。</w:t>
      </w:r>
    </w:p>
    <w:p w14:paraId="4CA98D83">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color w:val="000000"/>
          <w:sz w:val="24"/>
          <w:szCs w:val="24"/>
          <w:highlight w:val="none"/>
          <w:lang w:val="en-US" w:eastAsia="zh-CN" w:bidi="ar-SA"/>
        </w:rPr>
      </w:pPr>
      <w:r>
        <w:rPr>
          <w:rFonts w:hint="eastAsia" w:ascii="宋体" w:hAnsi="宋体" w:cs="宋体"/>
          <w:color w:val="000000"/>
          <w:sz w:val="24"/>
          <w:szCs w:val="24"/>
          <w:highlight w:val="none"/>
          <w:lang w:val="en-US" w:eastAsia="zh-CN" w:bidi="ar-SA"/>
        </w:rPr>
        <w:t>28.3</w:t>
      </w:r>
      <w:r>
        <w:rPr>
          <w:rFonts w:hint="eastAsia" w:ascii="宋体" w:hAnsi="宋体" w:eastAsia="宋体" w:cs="宋体"/>
          <w:color w:val="000000"/>
          <w:sz w:val="24"/>
          <w:szCs w:val="24"/>
          <w:highlight w:val="none"/>
          <w:lang w:val="en-US" w:eastAsia="zh-CN" w:bidi="ar-SA"/>
        </w:rPr>
        <w:t>乙方选取银行保函、担保公司的保证担保或保险公司的保证保险等形式的向采购人缴纳的，如保函（担保、保险等）的约定期到期但乙方履约仍未结束的，乙方须进行续保。</w:t>
      </w:r>
    </w:p>
    <w:p w14:paraId="4E87DFC6">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color w:val="000000"/>
          <w:sz w:val="24"/>
          <w:szCs w:val="24"/>
          <w:highlight w:val="none"/>
          <w:lang w:val="en-US" w:eastAsia="zh-CN" w:bidi="ar-SA"/>
        </w:rPr>
      </w:pPr>
      <w:r>
        <w:rPr>
          <w:rFonts w:hint="eastAsia" w:ascii="宋体" w:hAnsi="宋体" w:cs="宋体"/>
          <w:color w:val="000000"/>
          <w:sz w:val="24"/>
          <w:szCs w:val="24"/>
          <w:highlight w:val="none"/>
          <w:lang w:val="en-US" w:eastAsia="zh-CN" w:bidi="ar-SA"/>
        </w:rPr>
        <w:t>28.4</w:t>
      </w:r>
      <w:r>
        <w:rPr>
          <w:rFonts w:hint="eastAsia" w:ascii="宋体" w:hAnsi="宋体" w:eastAsia="宋体" w:cs="宋体"/>
          <w:color w:val="000000"/>
          <w:sz w:val="24"/>
          <w:szCs w:val="24"/>
          <w:highlight w:val="none"/>
          <w:lang w:val="en-US" w:eastAsia="zh-CN" w:bidi="ar-SA"/>
        </w:rPr>
        <w:t>乙方选取以履约保函（保险）形式向采购人缴纳的，按照《关于在全省政府采购领域推行电子履约保函（保险）的通知》（苏财购【2023】150号）的要求，登录“政府采购电子履约保函（保险）平台”，选择第三方机构并提交保函（保险）申请，经审核通过后支付相关费用。</w:t>
      </w:r>
    </w:p>
    <w:p w14:paraId="2EFA2CD5">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color w:val="000000"/>
          <w:sz w:val="24"/>
          <w:szCs w:val="24"/>
          <w:highlight w:val="none"/>
          <w:lang w:val="en-US" w:eastAsia="zh-CN" w:bidi="ar-SA"/>
        </w:rPr>
      </w:pPr>
      <w:r>
        <w:rPr>
          <w:rFonts w:hint="eastAsia" w:ascii="宋体" w:hAnsi="宋体" w:cs="宋体"/>
          <w:color w:val="000000"/>
          <w:sz w:val="24"/>
          <w:szCs w:val="24"/>
          <w:highlight w:val="none"/>
          <w:lang w:val="en-US" w:eastAsia="zh-CN" w:bidi="ar-SA"/>
        </w:rPr>
        <w:t>28.5</w:t>
      </w:r>
      <w:r>
        <w:rPr>
          <w:rFonts w:hint="eastAsia" w:ascii="宋体" w:hAnsi="宋体" w:eastAsia="宋体" w:cs="宋体"/>
          <w:color w:val="000000"/>
          <w:sz w:val="24"/>
          <w:szCs w:val="24"/>
          <w:highlight w:val="none"/>
          <w:lang w:val="en-US" w:eastAsia="zh-CN" w:bidi="ar-SA"/>
        </w:rPr>
        <w:t>如乙方未能履行合同规定的义务，甲方有权从履约保证金中取得补偿。</w:t>
      </w:r>
    </w:p>
    <w:p w14:paraId="76D9F562">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color w:val="000000"/>
          <w:sz w:val="24"/>
          <w:szCs w:val="24"/>
          <w:highlight w:val="none"/>
          <w:lang w:val="en-US" w:eastAsia="zh-CN" w:bidi="ar-SA"/>
        </w:rPr>
      </w:pPr>
      <w:r>
        <w:rPr>
          <w:rFonts w:hint="eastAsia" w:ascii="宋体" w:hAnsi="宋体" w:cs="宋体"/>
          <w:color w:val="000000"/>
          <w:sz w:val="24"/>
          <w:szCs w:val="24"/>
          <w:highlight w:val="none"/>
          <w:lang w:val="en-US" w:eastAsia="zh-CN" w:bidi="ar-SA"/>
        </w:rPr>
        <w:t>28.6</w:t>
      </w:r>
      <w:r>
        <w:rPr>
          <w:rFonts w:hint="eastAsia" w:ascii="宋体" w:hAnsi="宋体" w:eastAsia="宋体" w:cs="宋体"/>
          <w:color w:val="000000"/>
          <w:sz w:val="24"/>
          <w:szCs w:val="24"/>
          <w:highlight w:val="none"/>
          <w:lang w:val="en-US" w:eastAsia="zh-CN" w:bidi="ar-SA"/>
        </w:rPr>
        <w:t>履约保证金在合同约定期间内不予退还或者应完全有效，约定期间届满之日起 5个工作日内，甲方应将履约保证金退还乙方；逾期退还的，按中国人民银行同期贷款基利率上浮20%后的利率支付超期资金占用费，但因乙方自身原因导致无法及时退还的除外。</w:t>
      </w:r>
    </w:p>
    <w:p w14:paraId="2A068D1E">
      <w:pPr>
        <w:pStyle w:val="3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cs="宋体"/>
          <w:color w:val="000000"/>
          <w:sz w:val="24"/>
          <w:highlight w:val="none"/>
          <w:lang w:eastAsia="zh-CN"/>
        </w:rPr>
      </w:pPr>
      <w:r>
        <w:rPr>
          <w:rFonts w:hint="eastAsia" w:ascii="宋体" w:hAnsi="宋体" w:cs="宋体"/>
          <w:color w:val="000000"/>
          <w:sz w:val="24"/>
          <w:szCs w:val="24"/>
          <w:highlight w:val="none"/>
          <w:lang w:val="en-US" w:eastAsia="zh-CN" w:bidi="ar-SA"/>
        </w:rPr>
        <w:t>28.7</w:t>
      </w:r>
      <w:r>
        <w:rPr>
          <w:rFonts w:hint="eastAsia" w:ascii="宋体" w:hAnsi="宋体" w:eastAsia="宋体" w:cs="宋体"/>
          <w:color w:val="000000"/>
          <w:sz w:val="24"/>
          <w:szCs w:val="24"/>
          <w:highlight w:val="none"/>
          <w:lang w:val="en-US" w:eastAsia="zh-CN" w:bidi="ar-SA"/>
        </w:rPr>
        <w:t>履约保证金在合同约定期间内不予退还或者应完全有效，履约保证金在项目验收合格后退还给乙方。</w:t>
      </w:r>
    </w:p>
    <w:p w14:paraId="124BF179">
      <w:pPr>
        <w:pageBreakBefore w:val="0"/>
        <w:spacing w:line="420" w:lineRule="exact"/>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28.8</w:t>
      </w:r>
      <w:r>
        <w:rPr>
          <w:rFonts w:hint="eastAsia" w:ascii="宋体" w:hAnsi="宋体" w:eastAsia="宋体" w:cs="宋体"/>
          <w:color w:val="000000"/>
          <w:sz w:val="24"/>
          <w:highlight w:val="none"/>
        </w:rPr>
        <w:t>如果成交供应商没有按照26条的规定去做，采购人可报财政部门取消其成交资格，在此情况下采购人可将标授予下一个成交候选供应商，或重新采购。</w:t>
      </w:r>
    </w:p>
    <w:p w14:paraId="3094B50E">
      <w:pPr>
        <w:pageBreakBefore w:val="0"/>
        <w:spacing w:line="420" w:lineRule="exac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七、质疑处理</w:t>
      </w:r>
    </w:p>
    <w:p w14:paraId="0EF3FBCD">
      <w:pPr>
        <w:pageBreakBefore w:val="0"/>
        <w:spacing w:line="42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29.质疑处理</w:t>
      </w:r>
    </w:p>
    <w:p w14:paraId="3E3AEF88">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29.1 投标人认为采购文件、采购过程和中标结果使自己的权益受到损害的，可以在知道或者应知其权益受到损害之日起七个工作日内，以电子文件形式从网站首页点击“交易平台”→“政府采购</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投标人”</w:t>
      </w:r>
      <w:r>
        <w:rPr>
          <w:rFonts w:hint="eastAsia" w:ascii="宋体" w:hAnsi="宋体" w:cs="宋体"/>
          <w:color w:val="000000"/>
          <w:sz w:val="24"/>
          <w:highlight w:val="none"/>
          <w:lang w:eastAsia="zh-CN"/>
        </w:rPr>
        <w:t>登录</w:t>
      </w:r>
      <w:r>
        <w:rPr>
          <w:rFonts w:hint="eastAsia" w:ascii="宋体" w:hAnsi="宋体" w:eastAsia="宋体" w:cs="宋体"/>
          <w:color w:val="000000"/>
          <w:sz w:val="24"/>
          <w:highlight w:val="none"/>
        </w:rPr>
        <w:t>，从“采购业务</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质疑”模块</w:t>
      </w:r>
      <w:r>
        <w:rPr>
          <w:rFonts w:hint="eastAsia" w:ascii="宋体" w:hAnsi="宋体" w:cs="宋体"/>
          <w:color w:val="000000"/>
          <w:sz w:val="24"/>
          <w:highlight w:val="none"/>
          <w:lang w:eastAsia="zh-CN"/>
        </w:rPr>
        <w:t>质疑</w:t>
      </w:r>
      <w:r>
        <w:rPr>
          <w:rFonts w:hint="eastAsia" w:ascii="宋体" w:hAnsi="宋体" w:eastAsia="宋体" w:cs="宋体"/>
          <w:color w:val="000000"/>
          <w:sz w:val="24"/>
          <w:highlight w:val="none"/>
        </w:rPr>
        <w:t xml:space="preserve">；同时必须将质疑函的原件邮寄至采购人或招标代理。未通过交易平台、未邮寄质疑函原件、七个工作日之外以及匿名的质疑均不予受理。 </w:t>
      </w:r>
    </w:p>
    <w:p w14:paraId="12E275F6">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29.2上述应知其权益受到损害之日是指</w:t>
      </w:r>
      <w:r>
        <w:rPr>
          <w:rFonts w:hint="eastAsia" w:ascii="宋体" w:hAnsi="宋体" w:cs="宋体"/>
          <w:color w:val="000000"/>
          <w:sz w:val="24"/>
          <w:highlight w:val="none"/>
          <w:lang w:eastAsia="zh-CN"/>
        </w:rPr>
        <w:t>：</w:t>
      </w:r>
    </w:p>
    <w:p w14:paraId="743AE411">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（1）对招标文件提出质疑的，为采购文件公告期限届满之日起计算；</w:t>
      </w:r>
    </w:p>
    <w:p w14:paraId="67A58257">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（2）对采购过程提出质疑的，为各采购程序环节结束之日起计算；</w:t>
      </w:r>
    </w:p>
    <w:p w14:paraId="017886E2">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（3）对中标结果提出质疑的，为中标结果公告期限届满之日起计算。  </w:t>
      </w:r>
    </w:p>
    <w:p w14:paraId="2DBC2584">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29.3 质疑投标人是指直接参加本次投标活动的投标人，未参加投标活动的投标人或在投标活动中自身权益未受到损害的投标人所提出的质疑不予受理。</w:t>
      </w:r>
    </w:p>
    <w:p w14:paraId="51FF3059">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29.4 质疑投标人在法定质疑期内应当一次性提出针对同一采购环节</w:t>
      </w:r>
      <w:r>
        <w:rPr>
          <w:rFonts w:hint="eastAsia" w:ascii="宋体" w:hAnsi="宋体" w:cs="宋体"/>
          <w:color w:val="000000"/>
          <w:sz w:val="24"/>
          <w:highlight w:val="none"/>
          <w:lang w:eastAsia="zh-CN"/>
        </w:rPr>
        <w:t>质疑</w:t>
      </w:r>
      <w:r>
        <w:rPr>
          <w:rFonts w:hint="eastAsia" w:ascii="宋体" w:hAnsi="宋体" w:eastAsia="宋体" w:cs="宋体"/>
          <w:color w:val="000000"/>
          <w:sz w:val="24"/>
          <w:highlight w:val="none"/>
        </w:rPr>
        <w:t>。</w:t>
      </w:r>
    </w:p>
    <w:p w14:paraId="2C92D31B">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29.5 质疑函必须以参加</w:t>
      </w:r>
      <w:r>
        <w:rPr>
          <w:rFonts w:hint="eastAsia" w:ascii="宋体" w:hAnsi="宋体" w:cs="宋体"/>
          <w:color w:val="000000"/>
          <w:sz w:val="24"/>
          <w:highlight w:val="none"/>
          <w:lang w:eastAsia="zh-CN"/>
        </w:rPr>
        <w:t>投标</w:t>
      </w:r>
      <w:r>
        <w:rPr>
          <w:rFonts w:hint="eastAsia" w:ascii="宋体" w:hAnsi="宋体" w:eastAsia="宋体" w:cs="宋体"/>
          <w:color w:val="000000"/>
          <w:sz w:val="24"/>
          <w:highlight w:val="none"/>
        </w:rPr>
        <w:t>人法定代表人（签署本人姓名或印章）或授权代表[签署本人姓名或印章，应当同时提供法定代表人授权其办理质疑事项的授权书（授权中必须载明具体权限、期限和事项）]以原件送达的方式提交，未按上述要求提交的质疑函（含传真、电子邮件等）采购人有权不予受理。</w:t>
      </w:r>
    </w:p>
    <w:p w14:paraId="3078B60A">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29.6 质疑函应当包括以下主要内容，附上相关证明材料。否则，采购人不予受理。</w:t>
      </w:r>
    </w:p>
    <w:p w14:paraId="57B63B99">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（1）质疑投标人的名称、地址、邮编、联系人及联系电话； </w:t>
      </w:r>
    </w:p>
    <w:p w14:paraId="743DCB96">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（2）质疑项目的名称、编号；</w:t>
      </w:r>
    </w:p>
    <w:p w14:paraId="4ACAC6C8">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（3）具体、明确的质疑事项和与质疑事实相关的请求；</w:t>
      </w:r>
    </w:p>
    <w:p w14:paraId="0B7A1B6E">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（4）事实依据；</w:t>
      </w:r>
    </w:p>
    <w:p w14:paraId="070857B1">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（5）必要的法律依据；</w:t>
      </w:r>
    </w:p>
    <w:p w14:paraId="1A72860A">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（6）提起质疑的日期； </w:t>
      </w:r>
    </w:p>
    <w:p w14:paraId="70625517">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（7）质疑函应当署名</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 xml:space="preserve">应当由法定代表人签字并加盖单位公章。 </w:t>
      </w:r>
    </w:p>
    <w:p w14:paraId="0A2688A6">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29.7 采购人收到质疑函后，将对质疑的形式和内容进行审查，如质疑函内容、格式不符合规定，采购人或招标代理将告知质疑人进行补正。质疑人应当在法定质疑期限内进行补正并重新提交质疑函，拒不补正或者超过法定期限后未重新提交质疑函的，为无效质疑，采购人有权不予受理。 </w:t>
      </w:r>
    </w:p>
    <w:p w14:paraId="7BD15EB3">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29.8对于内容、格式符合规定的质疑函，采购人将在五个工作日内以书面形式或者电子文件形式作出答复，但质疑答复的内容不涉及商业秘密。</w:t>
      </w:r>
    </w:p>
    <w:p w14:paraId="75E7732C">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29.9 投标人提出书面质疑必须有理、有据，不得恶意质疑或提交虚假质疑。否则，一经查实，采购人有权依据政府采购的有关规定，报请盱眙县财政局对该投标人列入失信行为或不良行为记录名单，进行相应的行政处罚。 </w:t>
      </w:r>
    </w:p>
    <w:p w14:paraId="2C605D0F">
      <w:pPr>
        <w:spacing w:line="520" w:lineRule="exact"/>
        <w:rPr>
          <w:rFonts w:hint="eastAsia" w:ascii="仿宋" w:hAnsi="仿宋" w:eastAsia="仿宋"/>
          <w:b/>
          <w:bCs/>
          <w:sz w:val="32"/>
          <w:szCs w:val="28"/>
        </w:rPr>
      </w:pPr>
      <w:r>
        <w:rPr>
          <w:rFonts w:hint="eastAsia" w:ascii="仿宋" w:hAnsi="仿宋" w:eastAsia="仿宋"/>
          <w:b/>
          <w:bCs/>
          <w:sz w:val="32"/>
          <w:szCs w:val="28"/>
        </w:rPr>
        <w:t>八、政府采购政策功能落实</w:t>
      </w:r>
    </w:p>
    <w:p w14:paraId="7F3D7741">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val="en-US" w:eastAsia="zh-CN"/>
        </w:rPr>
        <w:t>0</w:t>
      </w:r>
      <w:r>
        <w:rPr>
          <w:rFonts w:hint="eastAsia" w:ascii="宋体" w:hAnsi="宋体" w:eastAsia="宋体" w:cs="宋体"/>
          <w:color w:val="000000"/>
          <w:sz w:val="24"/>
          <w:highlight w:val="none"/>
        </w:rPr>
        <w:t>.政策功能落实</w:t>
      </w:r>
    </w:p>
    <w:p w14:paraId="4C286A3B">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val="en-US" w:eastAsia="zh-CN"/>
        </w:rPr>
        <w:t>0</w:t>
      </w:r>
      <w:r>
        <w:rPr>
          <w:rFonts w:hint="eastAsia" w:ascii="宋体" w:hAnsi="宋体" w:eastAsia="宋体" w:cs="宋体"/>
          <w:color w:val="000000"/>
          <w:sz w:val="24"/>
          <w:highlight w:val="none"/>
        </w:rPr>
        <w:t>.1小微型企业价格扣除</w:t>
      </w:r>
    </w:p>
    <w:p w14:paraId="4F3E91E1">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val="en-US" w:eastAsia="zh-CN"/>
        </w:rPr>
        <w:t>0</w:t>
      </w:r>
      <w:r>
        <w:rPr>
          <w:rFonts w:hint="eastAsia" w:ascii="宋体" w:hAnsi="宋体" w:eastAsia="宋体" w:cs="宋体"/>
          <w:color w:val="000000"/>
          <w:sz w:val="24"/>
          <w:highlight w:val="none"/>
        </w:rPr>
        <w:t>.1.1</w:t>
      </w:r>
      <w:r>
        <w:rPr>
          <w:rFonts w:hint="eastAsia" w:ascii="宋体" w:hAnsi="宋体" w:eastAsia="宋体" w:cs="宋体"/>
          <w:color w:val="000000"/>
          <w:sz w:val="24"/>
          <w:highlight w:val="none"/>
          <w:lang w:val="zh-CN"/>
        </w:rPr>
        <w:t>对于未预留份额专门面向中小企业采购的采购项目，供应商提供的货物或者服务</w:t>
      </w:r>
      <w:r>
        <w:rPr>
          <w:rFonts w:hint="eastAsia" w:ascii="宋体" w:hAnsi="宋体" w:eastAsia="宋体" w:cs="宋体"/>
          <w:color w:val="000000"/>
          <w:sz w:val="24"/>
          <w:highlight w:val="none"/>
        </w:rPr>
        <w:t>符合下列情形的，享受本办法规定的中小企业扶持政策给予小微企业报价20%的扣除，用扣除后的价格参与评审：</w:t>
      </w:r>
    </w:p>
    <w:p w14:paraId="0762A288">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（1）在货物采购项目中，货物由中小企业制造，即货物由中小企业生产且使用该中小企业商号或者注册商标；</w:t>
      </w:r>
    </w:p>
    <w:p w14:paraId="200773AD">
      <w:pPr>
        <w:pageBreakBefore w:val="0"/>
        <w:spacing w:line="420" w:lineRule="exact"/>
        <w:ind w:firstLine="480"/>
        <w:rPr>
          <w:rFonts w:hint="eastAsia" w:ascii="仿宋" w:hAnsi="仿宋" w:eastAsia="仿宋"/>
          <w:sz w:val="28"/>
          <w:szCs w:val="28"/>
        </w:rPr>
      </w:pPr>
      <w:r>
        <w:rPr>
          <w:rFonts w:hint="eastAsia" w:ascii="宋体" w:hAnsi="宋体" w:eastAsia="宋体" w:cs="宋体"/>
          <w:color w:val="000000"/>
          <w:sz w:val="24"/>
          <w:highlight w:val="none"/>
        </w:rPr>
        <w:t>（2）在服务采购项目中，服务由中小企业承接，即提供服务的人员为中小企业依照《中华人民共和国劳动合同法》订立劳动合同的从业人员。</w:t>
      </w:r>
    </w:p>
    <w:p w14:paraId="56D532A6">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val="en-US" w:eastAsia="zh-CN"/>
        </w:rPr>
        <w:t>0</w:t>
      </w:r>
      <w:r>
        <w:rPr>
          <w:rFonts w:hint="eastAsia" w:ascii="宋体" w:hAnsi="宋体" w:eastAsia="宋体" w:cs="宋体"/>
          <w:color w:val="000000"/>
          <w:sz w:val="24"/>
          <w:highlight w:val="none"/>
        </w:rPr>
        <w:t>.1.2在货物采购项目中，供应商提供的货物既有中小企业制造货物，也有大型企业制造货物的，不享受本办法规定的中小企业扶持政策。</w:t>
      </w:r>
    </w:p>
    <w:p w14:paraId="5B6493A3">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val="en-US" w:eastAsia="zh-CN"/>
        </w:rPr>
        <w:t>0</w:t>
      </w:r>
      <w:r>
        <w:rPr>
          <w:rFonts w:hint="eastAsia" w:ascii="宋体" w:hAnsi="宋体" w:eastAsia="宋体" w:cs="宋体"/>
          <w:color w:val="000000"/>
          <w:sz w:val="24"/>
          <w:highlight w:val="none"/>
        </w:rPr>
        <w:t>.2联合体及分包</w:t>
      </w:r>
    </w:p>
    <w:p w14:paraId="3507C189">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val="en-US" w:eastAsia="zh-CN"/>
        </w:rPr>
        <w:t>0</w:t>
      </w:r>
      <w:r>
        <w:rPr>
          <w:rFonts w:hint="eastAsia" w:ascii="宋体" w:hAnsi="宋体" w:eastAsia="宋体" w:cs="宋体"/>
          <w:color w:val="000000"/>
          <w:sz w:val="24"/>
          <w:highlight w:val="none"/>
        </w:rPr>
        <w:t>.2.1以联合体形式参加政府采购活动，联合体各方均为中小企业的，联合体视同中小企业。其中，联合体各方均为小微企业的，联合体视同小微企业。</w:t>
      </w:r>
    </w:p>
    <w:p w14:paraId="4FBE2C34">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val="en-US" w:eastAsia="zh-CN"/>
        </w:rPr>
        <w:t>0</w:t>
      </w:r>
      <w:r>
        <w:rPr>
          <w:rFonts w:hint="eastAsia" w:ascii="宋体" w:hAnsi="宋体" w:eastAsia="宋体" w:cs="宋体"/>
          <w:color w:val="000000"/>
          <w:sz w:val="24"/>
          <w:highlight w:val="none"/>
        </w:rPr>
        <w:t>.2.2享受扶持政策获得政府采购合同的，小微企业不得将合同分包给大中型企业，中型企业不得将合同分包给大型企业。</w:t>
      </w:r>
    </w:p>
    <w:p w14:paraId="26B50B55">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val="en-US" w:eastAsia="zh-CN"/>
        </w:rPr>
        <w:t>0</w:t>
      </w:r>
      <w:r>
        <w:rPr>
          <w:rFonts w:hint="eastAsia" w:ascii="宋体" w:hAnsi="宋体" w:eastAsia="宋体" w:cs="宋体"/>
          <w:color w:val="000000"/>
          <w:sz w:val="24"/>
          <w:highlight w:val="none"/>
        </w:rPr>
        <w:t>.2.3接受大中型企业与小微企业组成联合体或者允许大中型企业向一家或者多家小微企业分包的采购项目，对于联合协议或者分包意向协议约定小微企业的合同份额占到合同总金额 30%以上的，采购人应当对联合体或者大中型企业的报价给予5%的扣除，用扣除后的价格参加评审。</w:t>
      </w:r>
    </w:p>
    <w:p w14:paraId="43FD8289">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val="en-US" w:eastAsia="zh-CN"/>
        </w:rPr>
        <w:t>0</w:t>
      </w:r>
      <w:r>
        <w:rPr>
          <w:rFonts w:hint="eastAsia" w:ascii="宋体" w:hAnsi="宋体" w:eastAsia="宋体" w:cs="宋体"/>
          <w:color w:val="000000"/>
          <w:sz w:val="24"/>
          <w:highlight w:val="none"/>
        </w:rPr>
        <w:t>.2.4组成联合体或者接受分包的小微企业与联合体内其他企业、分包企业之间存在直接控股、管理关系的，不享受价格扣除优惠政策。价格扣除比例或者价格分加分比例对小型企业和微型企业同等对待，不作区分。</w:t>
      </w:r>
    </w:p>
    <w:p w14:paraId="5F8B25B6">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val="en-US" w:eastAsia="zh-CN"/>
        </w:rPr>
        <w:t>0</w:t>
      </w:r>
      <w:r>
        <w:rPr>
          <w:rFonts w:hint="eastAsia" w:ascii="宋体" w:hAnsi="宋体" w:eastAsia="宋体" w:cs="宋体"/>
          <w:color w:val="000000"/>
          <w:sz w:val="24"/>
          <w:highlight w:val="none"/>
        </w:rPr>
        <w:t>.3小微型企业</w:t>
      </w:r>
    </w:p>
    <w:p w14:paraId="60F2CB27">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（1）供应商须按照磋商文件的要求提供相应的《企业声明函》，详见磋商文件第六章示范格式。</w:t>
      </w:r>
    </w:p>
    <w:p w14:paraId="519D4E1B">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（2）企业标准请参照《政府采购促进中小企业发展管理办法》（财库【2020】46号）文件规定自行填写。</w:t>
      </w:r>
    </w:p>
    <w:p w14:paraId="70D73C5E">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val="en-US" w:eastAsia="zh-CN"/>
        </w:rPr>
        <w:t>0</w:t>
      </w:r>
      <w:r>
        <w:rPr>
          <w:rFonts w:hint="eastAsia" w:ascii="宋体" w:hAnsi="宋体" w:eastAsia="宋体" w:cs="宋体"/>
          <w:color w:val="000000"/>
          <w:sz w:val="24"/>
          <w:highlight w:val="none"/>
        </w:rPr>
        <w:t>.4残疾人福利单位</w:t>
      </w:r>
    </w:p>
    <w:p w14:paraId="64B4C3E1">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（1）残疾人福利单位需按照招标文件的要求提供《残疾人福利性单位声明函》，详见招标文件第六章示范格式。</w:t>
      </w:r>
    </w:p>
    <w:p w14:paraId="73148F8E">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（2）残疾人福利单位标准请参照《关于促进残疾人就业政府采购政策的通知》（财库〔2017〕141号）。</w:t>
      </w:r>
    </w:p>
    <w:p w14:paraId="77FDFA74">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val="en-US" w:eastAsia="zh-CN"/>
        </w:rPr>
        <w:t>0</w:t>
      </w:r>
      <w:r>
        <w:rPr>
          <w:rFonts w:hint="eastAsia" w:ascii="宋体" w:hAnsi="宋体" w:eastAsia="宋体" w:cs="宋体"/>
          <w:color w:val="000000"/>
          <w:sz w:val="24"/>
          <w:highlight w:val="none"/>
        </w:rPr>
        <w:t>.5监狱和戒毒企业</w:t>
      </w:r>
    </w:p>
    <w:p w14:paraId="0CE5FCFD">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（1）监狱企业参加政府采购活动时，需提供由省级以上监狱管理局、戒毒管理局（含新疆生产建设兵团）出具的属于监狱企业的证明文件）（磋商文件中上传加盖出具单位公章的电子件）。</w:t>
      </w:r>
    </w:p>
    <w:p w14:paraId="1176ABE8">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（2）监狱企业标准请参照《关于政府采购支持监狱企业发展有关问题的通知》（财库[2014]68号）。</w:t>
      </w:r>
    </w:p>
    <w:p w14:paraId="55D3C924">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 节能、环保政策（本项目不涉及）</w:t>
      </w:r>
    </w:p>
    <w:p w14:paraId="4EC6A9D3">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.1根据《财政部 发展改革委 生态环境部 市场监管总局关于调整优化节能产品、环境标志产品政府采购执行机制的通知》【财库〔2019〕9号】要求，依据品目清单对获得节能产品、环境标志产品认证证书的产品实施政府优先采购或强制采购。</w:t>
      </w:r>
    </w:p>
    <w:p w14:paraId="6F83D32F">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.2节能产品</w:t>
      </w:r>
    </w:p>
    <w:p w14:paraId="131D7DDA">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本项目/被列入“节能产品品目清单”的，实行（优先采购/强制采购）。</w:t>
      </w:r>
    </w:p>
    <w:p w14:paraId="24F6834F">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.3环保产品</w:t>
      </w:r>
    </w:p>
    <w:p w14:paraId="33BB2ED2">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本项目中 /被列入“环境标志产品品目清单”的，实行优先采购。</w:t>
      </w:r>
    </w:p>
    <w:p w14:paraId="7DD03C5B">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4本项目中实行“强制采购”的，需提供国家市场监督管理总局确定的列入“参与实施政府采购节能产品认证机构名录”内的认证机构出具的、有效期内的该产品环境标志产品认证证书电子件，未提供的作无效投标处理；实行“优先采购”的，在评分标准的“政策导向”处参与加分（详见第三章评标标准）。</w:t>
      </w:r>
    </w:p>
    <w:p w14:paraId="334D8900">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5节能、环保产品的品目清单按照《关于印发环境标志产品政府采购品目清单的通知》（财库〔2019〕18号）、《关于印发节能产品政府采购品目清单的通知》（财库〔2019〕19号）执行。国家对品目清单进行调整的，按照最新调整的品目清单执行。</w:t>
      </w:r>
    </w:p>
    <w:p w14:paraId="409E071C">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．政府绿色采购</w:t>
      </w:r>
    </w:p>
    <w:p w14:paraId="0066CF2B">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根据《江苏省财政厅关于加强政府绿色采购有关事项的通知》（苏财购〔2023〕65号）的要求，落实政府绿色采购相关政策，具体如下：</w:t>
      </w:r>
    </w:p>
    <w:p w14:paraId="064E04F7">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.1本项目为货物类采购项目的，所提供的产品需综合考虑节能环保、节水、循环再生、低碳、有机等因素；本项目为物业、合同能源管理等服务类采购项目的，应在服务中加强绿色低碳管理。</w:t>
      </w:r>
    </w:p>
    <w:p w14:paraId="5FD44D5A">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2本项目中涉及商品的包装应按照“财办库〔2020〕123号《关于印发《商品包装政府采购需求标准（试行）》、《快递包装政府采购需求标准（试行）》的通知》”执行,在供货、安装过程中能到做到低碳物流、环保节约、提高资源利用率；涉及设备运维参考《绿色数据中心政府采购需求标准（试行）》（财库【2023】7号文）执行。</w:t>
      </w:r>
    </w:p>
    <w:p w14:paraId="301D33C8">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.3本项目中涉及涂料、胶黏剂、油墨、清洗剂等挥发性有机物产品的，要执行国家和江苏省VOCs含量限制标准，优先使用低挥发性原辅材料，使用低VOCs含量的涂料、胶黏剂等。</w:t>
      </w:r>
    </w:p>
    <w:p w14:paraId="2673C1FF">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 履约资金扶持政策</w:t>
      </w:r>
    </w:p>
    <w:p w14:paraId="43D4A649">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1政府采购合同信用融资是为支持中小企业发展，缓解中小企业融资难题推出的一项融资服务举措，成交人可凭政府采购合同办理融资贷款。该贷款无需抵押、担保，按照双方自愿的原则提供便捷、优惠的贷款服务。详情请见江苏政府采购网“政采贷”专栏。</w:t>
      </w:r>
    </w:p>
    <w:p w14:paraId="1C496DC1">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.2有融资贷款需求的成交人，与采购人在苏采云【合同在线签订】模块中进行合同在线签订时，【账户信息完善】的“是否融资”一栏中需选择“是”，同时完善收款账号信息和合同补充协议（融资账号）。</w:t>
      </w:r>
    </w:p>
    <w:p w14:paraId="44995F35">
      <w:pPr>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br w:type="page" w:clear="all"/>
      </w:r>
    </w:p>
    <w:p w14:paraId="1F9938E0">
      <w:pPr>
        <w:pageBreakBefore w:val="0"/>
        <w:spacing w:line="420" w:lineRule="exact"/>
        <w:jc w:val="center"/>
        <w:outlineLvl w:val="0"/>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第三章  评标标准</w:t>
      </w:r>
    </w:p>
    <w:p w14:paraId="3FD37FDC">
      <w:pPr>
        <w:spacing w:line="440" w:lineRule="exact"/>
        <w:ind w:firstLine="539"/>
        <w:rPr>
          <w:rFonts w:ascii="宋体" w:cs="宋体"/>
          <w:color w:val="000000"/>
          <w:sz w:val="24"/>
          <w:lang w:val="zh-CN"/>
        </w:rPr>
      </w:pPr>
      <w:r>
        <w:rPr>
          <w:rFonts w:hint="eastAsia" w:ascii="宋体" w:cs="宋体"/>
          <w:color w:val="000000"/>
          <w:sz w:val="24"/>
          <w:lang w:val="zh-CN"/>
        </w:rPr>
        <w:t>一、本项目采用综合评分法进行评审。</w:t>
      </w:r>
      <w:r>
        <w:rPr>
          <w:rFonts w:hint="eastAsia" w:ascii="宋体" w:cs="宋体"/>
          <w:color w:val="000000"/>
          <w:sz w:val="24"/>
        </w:rPr>
        <w:t>磋商小组仅对确定为实质上响应磋商文件要求的响应文件进行评价和比较。综合评分法，是指响应文件满足磋商文件全部要求且按照按评审因素的量化指标评审得分最高的供应商为成交候选供应商的评标方法。</w:t>
      </w:r>
    </w:p>
    <w:p w14:paraId="0A462531">
      <w:pPr>
        <w:spacing w:line="440" w:lineRule="exact"/>
        <w:ind w:firstLine="539"/>
        <w:rPr>
          <w:rFonts w:hint="eastAsia" w:ascii="宋体" w:cs="宋体"/>
          <w:color w:val="000000"/>
          <w:sz w:val="24"/>
        </w:rPr>
      </w:pPr>
      <w:r>
        <w:rPr>
          <w:rFonts w:hint="eastAsia" w:ascii="宋体" w:cs="宋体"/>
          <w:color w:val="000000"/>
          <w:sz w:val="24"/>
        </w:rPr>
        <w:t>磋商小组将依据下列评分细则进行评标（总分值:100分）：投标报价得分保留小数点后两位，小数点后第三位四舍五入。</w:t>
      </w:r>
    </w:p>
    <w:p w14:paraId="742AF016">
      <w:pPr>
        <w:pageBreakBefore w:val="0"/>
        <w:spacing w:line="42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综合评审因素和评分标准（100分）</w:t>
      </w:r>
    </w:p>
    <w:p w14:paraId="1714B0FF">
      <w:pPr>
        <w:rPr>
          <w:b/>
          <w:color w:val="000000"/>
        </w:rPr>
      </w:pPr>
    </w:p>
    <w:tbl>
      <w:tblPr>
        <w:tblStyle w:val="36"/>
        <w:tblW w:w="8515" w:type="dxa"/>
        <w:jc w:val="center"/>
        <w:tblLayout w:type="fixed"/>
        <w:tblCellMar>
          <w:top w:w="0" w:type="dxa"/>
          <w:left w:w="108" w:type="dxa"/>
          <w:bottom w:w="0" w:type="dxa"/>
          <w:right w:w="108" w:type="dxa"/>
        </w:tblCellMar>
      </w:tblPr>
      <w:tblGrid>
        <w:gridCol w:w="749"/>
        <w:gridCol w:w="1048"/>
        <w:gridCol w:w="6003"/>
        <w:gridCol w:w="715"/>
      </w:tblGrid>
      <w:tr w14:paraId="7ACFB064">
        <w:tblPrEx>
          <w:tblCellMar>
            <w:top w:w="0" w:type="dxa"/>
            <w:left w:w="108" w:type="dxa"/>
            <w:bottom w:w="0" w:type="dxa"/>
            <w:right w:w="108" w:type="dxa"/>
          </w:tblCellMar>
        </w:tblPrEx>
        <w:trPr>
          <w:trHeight w:val="472"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797E091A">
            <w:pPr>
              <w:rPr>
                <w:rFonts w:hint="eastAsia"/>
              </w:rPr>
            </w:pPr>
            <w:r>
              <w:rPr>
                <w:rFonts w:hint="eastAsia"/>
              </w:rPr>
              <w:t>序号</w:t>
            </w:r>
          </w:p>
        </w:tc>
        <w:tc>
          <w:tcPr>
            <w:tcW w:w="1048" w:type="dxa"/>
            <w:tcBorders>
              <w:top w:val="single" w:color="auto" w:sz="4" w:space="0"/>
              <w:left w:val="nil"/>
              <w:bottom w:val="single" w:color="auto" w:sz="4" w:space="0"/>
              <w:right w:val="single" w:color="auto" w:sz="4" w:space="0"/>
            </w:tcBorders>
            <w:noWrap w:val="0"/>
            <w:vAlign w:val="center"/>
          </w:tcPr>
          <w:p w14:paraId="12602986">
            <w:pPr>
              <w:rPr>
                <w:rFonts w:hint="eastAsia"/>
              </w:rPr>
            </w:pPr>
            <w:r>
              <w:rPr>
                <w:rFonts w:hint="eastAsia"/>
              </w:rPr>
              <w:t>评分因素</w:t>
            </w:r>
          </w:p>
        </w:tc>
        <w:tc>
          <w:tcPr>
            <w:tcW w:w="6003" w:type="dxa"/>
            <w:tcBorders>
              <w:top w:val="single" w:color="auto" w:sz="4" w:space="0"/>
              <w:left w:val="nil"/>
              <w:bottom w:val="single" w:color="auto" w:sz="4" w:space="0"/>
              <w:right w:val="single" w:color="auto" w:sz="4" w:space="0"/>
            </w:tcBorders>
            <w:noWrap w:val="0"/>
            <w:vAlign w:val="center"/>
          </w:tcPr>
          <w:p w14:paraId="3011AFE4">
            <w:pPr>
              <w:rPr>
                <w:rFonts w:hint="eastAsia"/>
              </w:rPr>
            </w:pPr>
            <w:r>
              <w:rPr>
                <w:rFonts w:hint="eastAsia"/>
              </w:rPr>
              <w:t>评审标准</w:t>
            </w:r>
          </w:p>
        </w:tc>
        <w:tc>
          <w:tcPr>
            <w:tcW w:w="715" w:type="dxa"/>
            <w:tcBorders>
              <w:top w:val="single" w:color="auto" w:sz="4" w:space="0"/>
              <w:left w:val="nil"/>
              <w:bottom w:val="single" w:color="auto" w:sz="4" w:space="0"/>
              <w:right w:val="single" w:color="auto" w:sz="4" w:space="0"/>
            </w:tcBorders>
            <w:noWrap w:val="0"/>
            <w:vAlign w:val="center"/>
          </w:tcPr>
          <w:p w14:paraId="41B3EF9B">
            <w:pPr>
              <w:rPr>
                <w:rFonts w:hint="eastAsia"/>
              </w:rPr>
            </w:pPr>
            <w:r>
              <w:rPr>
                <w:rFonts w:hint="eastAsia"/>
              </w:rPr>
              <w:t>分值</w:t>
            </w:r>
          </w:p>
        </w:tc>
      </w:tr>
      <w:tr w14:paraId="2B9D8410">
        <w:tblPrEx>
          <w:tblCellMar>
            <w:top w:w="0" w:type="dxa"/>
            <w:left w:w="108" w:type="dxa"/>
            <w:bottom w:w="0" w:type="dxa"/>
            <w:right w:w="108" w:type="dxa"/>
          </w:tblCellMar>
        </w:tblPrEx>
        <w:trPr>
          <w:trHeight w:val="1129"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5EC72B97">
            <w:pPr>
              <w:rPr>
                <w:rFonts w:hint="eastAsia"/>
              </w:rPr>
            </w:pPr>
            <w:r>
              <w:rPr>
                <w:rFonts w:hint="eastAsia"/>
              </w:rPr>
              <w:t>1</w:t>
            </w:r>
          </w:p>
        </w:tc>
        <w:tc>
          <w:tcPr>
            <w:tcW w:w="1048" w:type="dxa"/>
            <w:tcBorders>
              <w:top w:val="single" w:color="auto" w:sz="4" w:space="0"/>
              <w:left w:val="nil"/>
              <w:bottom w:val="single" w:color="auto" w:sz="4" w:space="0"/>
              <w:right w:val="single" w:color="auto" w:sz="4" w:space="0"/>
            </w:tcBorders>
            <w:noWrap w:val="0"/>
            <w:vAlign w:val="center"/>
          </w:tcPr>
          <w:p w14:paraId="719015D3">
            <w:pPr>
              <w:rPr>
                <w:rFonts w:hint="eastAsia"/>
              </w:rPr>
            </w:pPr>
            <w:r>
              <w:rPr>
                <w:rFonts w:hint="eastAsia"/>
              </w:rPr>
              <w:t>价格</w:t>
            </w:r>
          </w:p>
          <w:p w14:paraId="6DCB1A83">
            <w:pPr>
              <w:rPr>
                <w:rFonts w:hint="eastAsia"/>
              </w:rPr>
            </w:pPr>
            <w:r>
              <w:rPr>
                <w:rFonts w:hint="eastAsia"/>
              </w:rPr>
              <w:t>（10分）</w:t>
            </w:r>
          </w:p>
        </w:tc>
        <w:tc>
          <w:tcPr>
            <w:tcW w:w="6003" w:type="dxa"/>
            <w:tcBorders>
              <w:top w:val="single" w:color="auto" w:sz="4" w:space="0"/>
              <w:left w:val="nil"/>
              <w:bottom w:val="single" w:color="auto" w:sz="4" w:space="0"/>
              <w:right w:val="single" w:color="auto" w:sz="4" w:space="0"/>
            </w:tcBorders>
            <w:noWrap w:val="0"/>
            <w:vAlign w:val="center"/>
          </w:tcPr>
          <w:p w14:paraId="7F11FBF2">
            <w:pPr>
              <w:rPr>
                <w:rFonts w:hint="eastAsia"/>
              </w:rPr>
            </w:pPr>
            <w:r>
              <w:rPr>
                <w:rFonts w:hint="eastAsia" w:ascii="宋体" w:hAnsi="宋体" w:cs="宋体"/>
                <w:szCs w:val="21"/>
              </w:rPr>
              <w:t>满足投标文件要求且</w:t>
            </w:r>
            <w:r>
              <w:rPr>
                <w:rFonts w:hint="eastAsia" w:ascii="宋体" w:hAnsi="宋体" w:cs="宋体"/>
                <w:szCs w:val="21"/>
                <w:highlight w:val="yellow"/>
              </w:rPr>
              <w:t>最终报价</w:t>
            </w:r>
            <w:r>
              <w:rPr>
                <w:rFonts w:hint="eastAsia" w:ascii="宋体" w:hAnsi="宋体" w:cs="宋体"/>
                <w:szCs w:val="21"/>
              </w:rPr>
              <w:t>最低的为评标基准价，其价格分为满分。其他供应商的价格分按照下列公式计算（小数点保留两位）：投标报价得分＝（评标基准价/投标报价）×10（分四舍五入，精确到小数点后两位)</w:t>
            </w:r>
            <w:r>
              <w:rPr>
                <w:rFonts w:hint="eastAsia"/>
              </w:rPr>
              <w:t>。</w:t>
            </w:r>
          </w:p>
        </w:tc>
        <w:tc>
          <w:tcPr>
            <w:tcW w:w="715" w:type="dxa"/>
            <w:tcBorders>
              <w:top w:val="single" w:color="auto" w:sz="4" w:space="0"/>
              <w:left w:val="nil"/>
              <w:bottom w:val="single" w:color="auto" w:sz="4" w:space="0"/>
              <w:right w:val="single" w:color="auto" w:sz="4" w:space="0"/>
            </w:tcBorders>
            <w:noWrap w:val="0"/>
            <w:vAlign w:val="center"/>
          </w:tcPr>
          <w:p w14:paraId="72A13ED1">
            <w:pPr>
              <w:rPr>
                <w:rFonts w:hint="eastAsia"/>
              </w:rPr>
            </w:pPr>
            <w:r>
              <w:rPr>
                <w:rFonts w:hint="eastAsia"/>
              </w:rPr>
              <w:t>10</w:t>
            </w:r>
          </w:p>
        </w:tc>
      </w:tr>
      <w:tr w14:paraId="49B6B9ED">
        <w:tblPrEx>
          <w:tblCellMar>
            <w:top w:w="0" w:type="dxa"/>
            <w:left w:w="108" w:type="dxa"/>
            <w:bottom w:w="0" w:type="dxa"/>
            <w:right w:w="108" w:type="dxa"/>
          </w:tblCellMar>
        </w:tblPrEx>
        <w:trPr>
          <w:trHeight w:val="23" w:hRule="atLeast"/>
          <w:jc w:val="center"/>
        </w:trPr>
        <w:tc>
          <w:tcPr>
            <w:tcW w:w="749" w:type="dxa"/>
            <w:vMerge w:val="restart"/>
            <w:tcBorders>
              <w:top w:val="single" w:color="auto" w:sz="4" w:space="0"/>
              <w:left w:val="single" w:color="auto" w:sz="4" w:space="0"/>
              <w:bottom w:val="single" w:color="auto" w:sz="4" w:space="0"/>
              <w:right w:val="single" w:color="auto" w:sz="4" w:space="0"/>
            </w:tcBorders>
            <w:noWrap w:val="0"/>
            <w:vAlign w:val="center"/>
          </w:tcPr>
          <w:p w14:paraId="768193D3">
            <w:pPr>
              <w:rPr>
                <w:rFonts w:hint="eastAsia"/>
              </w:rPr>
            </w:pPr>
            <w:r>
              <w:rPr>
                <w:rFonts w:hint="eastAsia"/>
              </w:rPr>
              <w:t>2</w:t>
            </w:r>
          </w:p>
        </w:tc>
        <w:tc>
          <w:tcPr>
            <w:tcW w:w="1048" w:type="dxa"/>
            <w:vMerge w:val="restart"/>
            <w:tcBorders>
              <w:top w:val="single" w:color="auto" w:sz="4" w:space="0"/>
              <w:left w:val="nil"/>
              <w:bottom w:val="single" w:color="auto" w:sz="4" w:space="0"/>
              <w:right w:val="single" w:color="auto" w:sz="4" w:space="0"/>
            </w:tcBorders>
            <w:noWrap w:val="0"/>
            <w:vAlign w:val="center"/>
          </w:tcPr>
          <w:p w14:paraId="28B20385">
            <w:pPr>
              <w:rPr>
                <w:rFonts w:hint="eastAsia"/>
              </w:rPr>
            </w:pPr>
            <w:r>
              <w:rPr>
                <w:rFonts w:hint="eastAsia"/>
              </w:rPr>
              <w:t>监理方案（49分）</w:t>
            </w:r>
          </w:p>
        </w:tc>
        <w:tc>
          <w:tcPr>
            <w:tcW w:w="6003" w:type="dxa"/>
            <w:tcBorders>
              <w:top w:val="single" w:color="auto" w:sz="4" w:space="0"/>
              <w:left w:val="nil"/>
              <w:bottom w:val="single" w:color="auto" w:sz="4" w:space="0"/>
              <w:right w:val="single" w:color="auto" w:sz="4" w:space="0"/>
            </w:tcBorders>
            <w:noWrap w:val="0"/>
            <w:vAlign w:val="center"/>
          </w:tcPr>
          <w:p w14:paraId="467E0B38">
            <w:pPr>
              <w:rPr>
                <w:rFonts w:hint="eastAsia"/>
              </w:rPr>
            </w:pPr>
            <w:r>
              <w:rPr>
                <w:rFonts w:hint="eastAsia"/>
              </w:rPr>
              <w:t>1、监理大纲概述：表述的清晰、全面、前瞻、合理、科学、可行、 针对性强的得</w:t>
            </w:r>
            <w:r>
              <w:rPr>
                <w:rFonts w:hint="eastAsia"/>
                <w:lang w:val="en-US" w:eastAsia="zh-CN"/>
              </w:rPr>
              <w:t>6-</w:t>
            </w:r>
            <w:r>
              <w:rPr>
                <w:rFonts w:hint="eastAsia"/>
              </w:rPr>
              <w:t>7分； 表述较为清晰、全面、前瞻、合理、科学、可行、针对性较强的得</w:t>
            </w:r>
            <w:r>
              <w:rPr>
                <w:rFonts w:hint="eastAsia"/>
                <w:lang w:val="en-US" w:eastAsia="zh-CN"/>
              </w:rPr>
              <w:t>4-</w:t>
            </w:r>
            <w:r>
              <w:rPr>
                <w:rFonts w:hint="eastAsia"/>
              </w:rPr>
              <w:t>5分；表述基本全面、合理性一般、科学、基本可行、针对性一般的得</w:t>
            </w:r>
            <w:r>
              <w:rPr>
                <w:rFonts w:hint="eastAsia"/>
                <w:lang w:val="en-US" w:eastAsia="zh-CN"/>
              </w:rPr>
              <w:t>1-</w:t>
            </w:r>
            <w:r>
              <w:rPr>
                <w:rFonts w:hint="eastAsia"/>
              </w:rPr>
              <w:t>3分；未提供不得分。</w:t>
            </w:r>
          </w:p>
        </w:tc>
        <w:tc>
          <w:tcPr>
            <w:tcW w:w="715" w:type="dxa"/>
            <w:tcBorders>
              <w:top w:val="single" w:color="auto" w:sz="4" w:space="0"/>
              <w:left w:val="nil"/>
              <w:bottom w:val="single" w:color="auto" w:sz="4" w:space="0"/>
              <w:right w:val="single" w:color="auto" w:sz="4" w:space="0"/>
            </w:tcBorders>
            <w:noWrap w:val="0"/>
            <w:vAlign w:val="center"/>
          </w:tcPr>
          <w:p w14:paraId="2EE798A0">
            <w:pPr>
              <w:rPr>
                <w:rFonts w:hint="eastAsia"/>
              </w:rPr>
            </w:pPr>
            <w:r>
              <w:rPr>
                <w:rFonts w:hint="eastAsia"/>
              </w:rPr>
              <w:t>7</w:t>
            </w:r>
          </w:p>
        </w:tc>
      </w:tr>
      <w:tr w14:paraId="5B98B172">
        <w:tblPrEx>
          <w:tblCellMar>
            <w:top w:w="0" w:type="dxa"/>
            <w:left w:w="108" w:type="dxa"/>
            <w:bottom w:w="0" w:type="dxa"/>
            <w:right w:w="108" w:type="dxa"/>
          </w:tblCellMar>
        </w:tblPrEx>
        <w:trPr>
          <w:trHeight w:val="290" w:hRule="atLeast"/>
          <w:jc w:val="center"/>
        </w:trPr>
        <w:tc>
          <w:tcPr>
            <w:tcW w:w="749" w:type="dxa"/>
            <w:vMerge w:val="continue"/>
            <w:tcBorders>
              <w:top w:val="single" w:color="auto" w:sz="4" w:space="0"/>
              <w:left w:val="single" w:color="auto" w:sz="4" w:space="0"/>
              <w:bottom w:val="single" w:color="auto" w:sz="4" w:space="0"/>
              <w:right w:val="single" w:color="auto" w:sz="4" w:space="0"/>
            </w:tcBorders>
            <w:noWrap w:val="0"/>
            <w:vAlign w:val="center"/>
          </w:tcPr>
          <w:p w14:paraId="44CF904E"/>
        </w:tc>
        <w:tc>
          <w:tcPr>
            <w:tcW w:w="1048" w:type="dxa"/>
            <w:vMerge w:val="continue"/>
            <w:tcBorders>
              <w:top w:val="single" w:color="auto" w:sz="4" w:space="0"/>
              <w:left w:val="nil"/>
              <w:bottom w:val="single" w:color="auto" w:sz="4" w:space="0"/>
              <w:right w:val="single" w:color="auto" w:sz="4" w:space="0"/>
            </w:tcBorders>
            <w:noWrap w:val="0"/>
            <w:vAlign w:val="center"/>
          </w:tcPr>
          <w:p w14:paraId="33BA89DB"/>
        </w:tc>
        <w:tc>
          <w:tcPr>
            <w:tcW w:w="6003" w:type="dxa"/>
            <w:tcBorders>
              <w:top w:val="single" w:color="auto" w:sz="4" w:space="0"/>
              <w:left w:val="nil"/>
              <w:bottom w:val="single" w:color="auto" w:sz="4" w:space="0"/>
              <w:right w:val="single" w:color="auto" w:sz="4" w:space="0"/>
            </w:tcBorders>
            <w:noWrap w:val="0"/>
            <w:vAlign w:val="center"/>
          </w:tcPr>
          <w:p w14:paraId="5B1541CA">
            <w:pPr>
              <w:rPr>
                <w:rFonts w:hint="eastAsia"/>
              </w:rPr>
            </w:pPr>
            <w:r>
              <w:rPr>
                <w:rFonts w:hint="eastAsia"/>
              </w:rPr>
              <w:t>2、质量控制管理方案：表述的清晰、全面、前瞻、合理、科学、可行、 针对性强的得</w:t>
            </w:r>
            <w:r>
              <w:rPr>
                <w:rFonts w:hint="eastAsia"/>
                <w:lang w:val="en-US" w:eastAsia="zh-CN"/>
              </w:rPr>
              <w:t>6-</w:t>
            </w:r>
            <w:r>
              <w:rPr>
                <w:rFonts w:hint="eastAsia"/>
              </w:rPr>
              <w:t>7分； 表述较为清晰、全面、前瞻、合理、科学、可行、针对性较强的得</w:t>
            </w:r>
            <w:r>
              <w:rPr>
                <w:rFonts w:hint="eastAsia"/>
                <w:lang w:val="en-US" w:eastAsia="zh-CN"/>
              </w:rPr>
              <w:t>4-</w:t>
            </w:r>
            <w:r>
              <w:rPr>
                <w:rFonts w:hint="eastAsia"/>
              </w:rPr>
              <w:t>5分；表述基本全面、合理性一般、科学、基本可行、针对性一般的得</w:t>
            </w:r>
            <w:r>
              <w:rPr>
                <w:rFonts w:hint="eastAsia"/>
                <w:lang w:val="en-US" w:eastAsia="zh-CN"/>
              </w:rPr>
              <w:t>1-</w:t>
            </w:r>
            <w:r>
              <w:rPr>
                <w:rFonts w:hint="eastAsia"/>
              </w:rPr>
              <w:t>3分；未提供不得分。</w:t>
            </w:r>
          </w:p>
        </w:tc>
        <w:tc>
          <w:tcPr>
            <w:tcW w:w="715" w:type="dxa"/>
            <w:tcBorders>
              <w:top w:val="single" w:color="auto" w:sz="4" w:space="0"/>
              <w:left w:val="nil"/>
              <w:bottom w:val="single" w:color="auto" w:sz="4" w:space="0"/>
              <w:right w:val="single" w:color="auto" w:sz="4" w:space="0"/>
            </w:tcBorders>
            <w:noWrap w:val="0"/>
            <w:vAlign w:val="center"/>
          </w:tcPr>
          <w:p w14:paraId="7897CEC9">
            <w:pPr>
              <w:rPr>
                <w:rFonts w:hint="eastAsia"/>
              </w:rPr>
            </w:pPr>
            <w:r>
              <w:rPr>
                <w:rFonts w:hint="eastAsia"/>
              </w:rPr>
              <w:t>7</w:t>
            </w:r>
          </w:p>
        </w:tc>
      </w:tr>
      <w:tr w14:paraId="7C83DAAA">
        <w:tblPrEx>
          <w:tblCellMar>
            <w:top w:w="0" w:type="dxa"/>
            <w:left w:w="108" w:type="dxa"/>
            <w:bottom w:w="0" w:type="dxa"/>
            <w:right w:w="108" w:type="dxa"/>
          </w:tblCellMar>
        </w:tblPrEx>
        <w:trPr>
          <w:trHeight w:val="290" w:hRule="atLeast"/>
          <w:jc w:val="center"/>
        </w:trPr>
        <w:tc>
          <w:tcPr>
            <w:tcW w:w="749" w:type="dxa"/>
            <w:vMerge w:val="continue"/>
            <w:tcBorders>
              <w:top w:val="single" w:color="auto" w:sz="4" w:space="0"/>
              <w:left w:val="single" w:color="auto" w:sz="4" w:space="0"/>
              <w:bottom w:val="single" w:color="auto" w:sz="4" w:space="0"/>
              <w:right w:val="single" w:color="auto" w:sz="4" w:space="0"/>
            </w:tcBorders>
            <w:noWrap w:val="0"/>
            <w:vAlign w:val="center"/>
          </w:tcPr>
          <w:p w14:paraId="37398D0E"/>
        </w:tc>
        <w:tc>
          <w:tcPr>
            <w:tcW w:w="1048" w:type="dxa"/>
            <w:vMerge w:val="continue"/>
            <w:tcBorders>
              <w:top w:val="single" w:color="auto" w:sz="4" w:space="0"/>
              <w:left w:val="nil"/>
              <w:bottom w:val="single" w:color="auto" w:sz="4" w:space="0"/>
              <w:right w:val="single" w:color="auto" w:sz="4" w:space="0"/>
            </w:tcBorders>
            <w:noWrap w:val="0"/>
            <w:vAlign w:val="center"/>
          </w:tcPr>
          <w:p w14:paraId="4C43FB17"/>
        </w:tc>
        <w:tc>
          <w:tcPr>
            <w:tcW w:w="6003" w:type="dxa"/>
            <w:tcBorders>
              <w:top w:val="single" w:color="auto" w:sz="4" w:space="0"/>
              <w:left w:val="nil"/>
              <w:bottom w:val="single" w:color="auto" w:sz="4" w:space="0"/>
              <w:right w:val="single" w:color="auto" w:sz="4" w:space="0"/>
            </w:tcBorders>
            <w:noWrap w:val="0"/>
            <w:vAlign w:val="center"/>
          </w:tcPr>
          <w:p w14:paraId="3B4C4A70">
            <w:pPr>
              <w:rPr>
                <w:rFonts w:hint="eastAsia"/>
              </w:rPr>
            </w:pPr>
            <w:r>
              <w:rPr>
                <w:rFonts w:hint="eastAsia"/>
              </w:rPr>
              <w:t>3、进度控制管理方案：表述的清晰、全面、前瞻、合理、科学、可行、 针对性强的得</w:t>
            </w:r>
            <w:r>
              <w:rPr>
                <w:rFonts w:hint="eastAsia"/>
                <w:lang w:val="en-US" w:eastAsia="zh-CN"/>
              </w:rPr>
              <w:t>6-</w:t>
            </w:r>
            <w:r>
              <w:rPr>
                <w:rFonts w:hint="eastAsia"/>
              </w:rPr>
              <w:t>7分； 表述较为清晰、全面、前瞻、合理、科学、可行、针对性较强的得</w:t>
            </w:r>
            <w:r>
              <w:rPr>
                <w:rFonts w:hint="eastAsia"/>
                <w:lang w:val="en-US" w:eastAsia="zh-CN"/>
              </w:rPr>
              <w:t>4-</w:t>
            </w:r>
            <w:r>
              <w:rPr>
                <w:rFonts w:hint="eastAsia"/>
              </w:rPr>
              <w:t>5分；表述基本全面、合理性一般、科学、基本可行、针对性一般的得</w:t>
            </w:r>
            <w:r>
              <w:rPr>
                <w:rFonts w:hint="eastAsia"/>
                <w:lang w:val="en-US" w:eastAsia="zh-CN"/>
              </w:rPr>
              <w:t>1-</w:t>
            </w:r>
            <w:r>
              <w:rPr>
                <w:rFonts w:hint="eastAsia"/>
              </w:rPr>
              <w:t>3分；未提供不得分。</w:t>
            </w:r>
          </w:p>
        </w:tc>
        <w:tc>
          <w:tcPr>
            <w:tcW w:w="715" w:type="dxa"/>
            <w:tcBorders>
              <w:top w:val="single" w:color="auto" w:sz="4" w:space="0"/>
              <w:left w:val="nil"/>
              <w:bottom w:val="single" w:color="auto" w:sz="4" w:space="0"/>
              <w:right w:val="single" w:color="auto" w:sz="4" w:space="0"/>
            </w:tcBorders>
            <w:noWrap w:val="0"/>
            <w:vAlign w:val="center"/>
          </w:tcPr>
          <w:p w14:paraId="52C93147">
            <w:pPr>
              <w:rPr>
                <w:rFonts w:hint="eastAsia"/>
              </w:rPr>
            </w:pPr>
            <w:r>
              <w:rPr>
                <w:rFonts w:hint="eastAsia"/>
              </w:rPr>
              <w:t>7</w:t>
            </w:r>
          </w:p>
        </w:tc>
      </w:tr>
      <w:tr w14:paraId="6D0EA93B">
        <w:tblPrEx>
          <w:tblCellMar>
            <w:top w:w="0" w:type="dxa"/>
            <w:left w:w="108" w:type="dxa"/>
            <w:bottom w:w="0" w:type="dxa"/>
            <w:right w:w="108" w:type="dxa"/>
          </w:tblCellMar>
        </w:tblPrEx>
        <w:trPr>
          <w:trHeight w:val="758" w:hRule="atLeast"/>
          <w:jc w:val="center"/>
        </w:trPr>
        <w:tc>
          <w:tcPr>
            <w:tcW w:w="749" w:type="dxa"/>
            <w:vMerge w:val="continue"/>
            <w:tcBorders>
              <w:top w:val="single" w:color="auto" w:sz="4" w:space="0"/>
              <w:left w:val="single" w:color="auto" w:sz="4" w:space="0"/>
              <w:bottom w:val="single" w:color="auto" w:sz="4" w:space="0"/>
              <w:right w:val="single" w:color="auto" w:sz="4" w:space="0"/>
            </w:tcBorders>
            <w:noWrap w:val="0"/>
            <w:vAlign w:val="center"/>
          </w:tcPr>
          <w:p w14:paraId="5B25A1F7"/>
        </w:tc>
        <w:tc>
          <w:tcPr>
            <w:tcW w:w="1048" w:type="dxa"/>
            <w:vMerge w:val="continue"/>
            <w:tcBorders>
              <w:top w:val="single" w:color="auto" w:sz="4" w:space="0"/>
              <w:left w:val="nil"/>
              <w:bottom w:val="single" w:color="auto" w:sz="4" w:space="0"/>
              <w:right w:val="single" w:color="auto" w:sz="4" w:space="0"/>
            </w:tcBorders>
            <w:noWrap w:val="0"/>
            <w:vAlign w:val="center"/>
          </w:tcPr>
          <w:p w14:paraId="559FE0D7"/>
        </w:tc>
        <w:tc>
          <w:tcPr>
            <w:tcW w:w="6003" w:type="dxa"/>
            <w:tcBorders>
              <w:top w:val="single" w:color="auto" w:sz="4" w:space="0"/>
              <w:left w:val="nil"/>
              <w:bottom w:val="single" w:color="auto" w:sz="4" w:space="0"/>
              <w:right w:val="single" w:color="auto" w:sz="4" w:space="0"/>
            </w:tcBorders>
            <w:noWrap w:val="0"/>
            <w:vAlign w:val="center"/>
          </w:tcPr>
          <w:p w14:paraId="5344F1C8">
            <w:pPr>
              <w:rPr>
                <w:rFonts w:hint="eastAsia"/>
              </w:rPr>
            </w:pPr>
            <w:r>
              <w:rPr>
                <w:rFonts w:hint="eastAsia"/>
              </w:rPr>
              <w:t>4、投资控制管理方案：表述的清晰、全面、前瞻、合理、科学、可行、 针对性强的得</w:t>
            </w:r>
            <w:r>
              <w:rPr>
                <w:rFonts w:hint="eastAsia"/>
                <w:lang w:val="en-US" w:eastAsia="zh-CN"/>
              </w:rPr>
              <w:t>6-</w:t>
            </w:r>
            <w:r>
              <w:rPr>
                <w:rFonts w:hint="eastAsia"/>
              </w:rPr>
              <w:t>7分； 表述较为清晰、全面、前瞻、合理、科学、可行、针对性较强的得</w:t>
            </w:r>
            <w:r>
              <w:rPr>
                <w:rFonts w:hint="eastAsia"/>
                <w:lang w:val="en-US" w:eastAsia="zh-CN"/>
              </w:rPr>
              <w:t>4-</w:t>
            </w:r>
            <w:r>
              <w:rPr>
                <w:rFonts w:hint="eastAsia"/>
              </w:rPr>
              <w:t>5分；表述基本全面、合理性一般、科学、基本可行、针对性一般的得</w:t>
            </w:r>
            <w:r>
              <w:rPr>
                <w:rFonts w:hint="eastAsia"/>
                <w:lang w:val="en-US" w:eastAsia="zh-CN"/>
              </w:rPr>
              <w:t>1-</w:t>
            </w:r>
            <w:r>
              <w:rPr>
                <w:rFonts w:hint="eastAsia"/>
              </w:rPr>
              <w:t>3分；未提供不得分。</w:t>
            </w:r>
          </w:p>
        </w:tc>
        <w:tc>
          <w:tcPr>
            <w:tcW w:w="715" w:type="dxa"/>
            <w:tcBorders>
              <w:top w:val="single" w:color="auto" w:sz="4" w:space="0"/>
              <w:left w:val="nil"/>
              <w:bottom w:val="single" w:color="auto" w:sz="4" w:space="0"/>
              <w:right w:val="single" w:color="auto" w:sz="4" w:space="0"/>
            </w:tcBorders>
            <w:noWrap w:val="0"/>
            <w:vAlign w:val="center"/>
          </w:tcPr>
          <w:p w14:paraId="5F110C5C">
            <w:pPr>
              <w:rPr>
                <w:rFonts w:hint="eastAsia"/>
              </w:rPr>
            </w:pPr>
            <w:r>
              <w:rPr>
                <w:rFonts w:hint="eastAsia"/>
              </w:rPr>
              <w:t>7</w:t>
            </w:r>
          </w:p>
        </w:tc>
      </w:tr>
      <w:tr w14:paraId="6571DDF7">
        <w:tblPrEx>
          <w:tblCellMar>
            <w:top w:w="0" w:type="dxa"/>
            <w:left w:w="108" w:type="dxa"/>
            <w:bottom w:w="0" w:type="dxa"/>
            <w:right w:w="108" w:type="dxa"/>
          </w:tblCellMar>
        </w:tblPrEx>
        <w:trPr>
          <w:trHeight w:val="758" w:hRule="atLeast"/>
          <w:jc w:val="center"/>
        </w:trPr>
        <w:tc>
          <w:tcPr>
            <w:tcW w:w="749" w:type="dxa"/>
            <w:vMerge w:val="continue"/>
            <w:tcBorders>
              <w:top w:val="single" w:color="auto" w:sz="4" w:space="0"/>
              <w:left w:val="single" w:color="auto" w:sz="4" w:space="0"/>
              <w:bottom w:val="single" w:color="auto" w:sz="4" w:space="0"/>
              <w:right w:val="single" w:color="auto" w:sz="4" w:space="0"/>
            </w:tcBorders>
            <w:noWrap w:val="0"/>
            <w:vAlign w:val="center"/>
          </w:tcPr>
          <w:p w14:paraId="1E48197B"/>
        </w:tc>
        <w:tc>
          <w:tcPr>
            <w:tcW w:w="1048" w:type="dxa"/>
            <w:vMerge w:val="continue"/>
            <w:tcBorders>
              <w:top w:val="single" w:color="auto" w:sz="4" w:space="0"/>
              <w:left w:val="nil"/>
              <w:bottom w:val="single" w:color="auto" w:sz="4" w:space="0"/>
              <w:right w:val="single" w:color="auto" w:sz="4" w:space="0"/>
            </w:tcBorders>
            <w:noWrap w:val="0"/>
            <w:vAlign w:val="center"/>
          </w:tcPr>
          <w:p w14:paraId="45A4F425"/>
        </w:tc>
        <w:tc>
          <w:tcPr>
            <w:tcW w:w="6003" w:type="dxa"/>
            <w:tcBorders>
              <w:top w:val="single" w:color="auto" w:sz="4" w:space="0"/>
              <w:left w:val="nil"/>
              <w:bottom w:val="single" w:color="auto" w:sz="4" w:space="0"/>
              <w:right w:val="single" w:color="auto" w:sz="4" w:space="0"/>
            </w:tcBorders>
            <w:noWrap w:val="0"/>
            <w:vAlign w:val="center"/>
          </w:tcPr>
          <w:p w14:paraId="7EBA7A8D">
            <w:pPr>
              <w:rPr>
                <w:rFonts w:hint="eastAsia"/>
              </w:rPr>
            </w:pPr>
            <w:r>
              <w:rPr>
                <w:rFonts w:hint="eastAsia"/>
              </w:rPr>
              <w:t>5、安全控制管理方案：表述的清晰、全面、前瞻、合理、科学、可行、 针对性强的得</w:t>
            </w:r>
            <w:r>
              <w:rPr>
                <w:rFonts w:hint="eastAsia"/>
                <w:lang w:val="en-US" w:eastAsia="zh-CN"/>
              </w:rPr>
              <w:t>6-</w:t>
            </w:r>
            <w:r>
              <w:rPr>
                <w:rFonts w:hint="eastAsia"/>
              </w:rPr>
              <w:t>7分； 表述较为清晰、全面、前瞻、合理、科学、可行、针对性较强的得</w:t>
            </w:r>
            <w:r>
              <w:rPr>
                <w:rFonts w:hint="eastAsia"/>
                <w:lang w:val="en-US" w:eastAsia="zh-CN"/>
              </w:rPr>
              <w:t>4-</w:t>
            </w:r>
            <w:r>
              <w:rPr>
                <w:rFonts w:hint="eastAsia"/>
              </w:rPr>
              <w:t>5分；表述基本全面、合理性一般、科学、基本可行、针对性一般的得</w:t>
            </w:r>
            <w:r>
              <w:rPr>
                <w:rFonts w:hint="eastAsia"/>
                <w:lang w:val="en-US" w:eastAsia="zh-CN"/>
              </w:rPr>
              <w:t>1-</w:t>
            </w:r>
            <w:r>
              <w:rPr>
                <w:rFonts w:hint="eastAsia"/>
              </w:rPr>
              <w:t>3分；未提供不得分。</w:t>
            </w:r>
          </w:p>
        </w:tc>
        <w:tc>
          <w:tcPr>
            <w:tcW w:w="715" w:type="dxa"/>
            <w:tcBorders>
              <w:top w:val="single" w:color="auto" w:sz="4" w:space="0"/>
              <w:left w:val="nil"/>
              <w:bottom w:val="single" w:color="auto" w:sz="4" w:space="0"/>
              <w:right w:val="single" w:color="auto" w:sz="4" w:space="0"/>
            </w:tcBorders>
            <w:noWrap w:val="0"/>
            <w:vAlign w:val="center"/>
          </w:tcPr>
          <w:p w14:paraId="302A154F">
            <w:pPr>
              <w:rPr>
                <w:rFonts w:hint="eastAsia"/>
              </w:rPr>
            </w:pPr>
            <w:r>
              <w:rPr>
                <w:rFonts w:hint="eastAsia"/>
              </w:rPr>
              <w:t>7</w:t>
            </w:r>
          </w:p>
        </w:tc>
      </w:tr>
      <w:tr w14:paraId="435DAACB">
        <w:tblPrEx>
          <w:tblCellMar>
            <w:top w:w="0" w:type="dxa"/>
            <w:left w:w="108" w:type="dxa"/>
            <w:bottom w:w="0" w:type="dxa"/>
            <w:right w:w="108" w:type="dxa"/>
          </w:tblCellMar>
        </w:tblPrEx>
        <w:trPr>
          <w:trHeight w:val="1306" w:hRule="atLeast"/>
          <w:jc w:val="center"/>
        </w:trPr>
        <w:tc>
          <w:tcPr>
            <w:tcW w:w="749" w:type="dxa"/>
            <w:vMerge w:val="continue"/>
            <w:tcBorders>
              <w:top w:val="single" w:color="auto" w:sz="4" w:space="0"/>
              <w:left w:val="single" w:color="auto" w:sz="4" w:space="0"/>
              <w:bottom w:val="single" w:color="auto" w:sz="4" w:space="0"/>
              <w:right w:val="single" w:color="auto" w:sz="4" w:space="0"/>
            </w:tcBorders>
            <w:noWrap w:val="0"/>
            <w:vAlign w:val="center"/>
          </w:tcPr>
          <w:p w14:paraId="1D3C25EA"/>
        </w:tc>
        <w:tc>
          <w:tcPr>
            <w:tcW w:w="1048" w:type="dxa"/>
            <w:vMerge w:val="continue"/>
            <w:tcBorders>
              <w:top w:val="single" w:color="auto" w:sz="4" w:space="0"/>
              <w:left w:val="nil"/>
              <w:bottom w:val="single" w:color="auto" w:sz="4" w:space="0"/>
              <w:right w:val="single" w:color="auto" w:sz="4" w:space="0"/>
            </w:tcBorders>
            <w:noWrap w:val="0"/>
            <w:vAlign w:val="center"/>
          </w:tcPr>
          <w:p w14:paraId="4ACB1AC3"/>
        </w:tc>
        <w:tc>
          <w:tcPr>
            <w:tcW w:w="6003" w:type="dxa"/>
            <w:tcBorders>
              <w:top w:val="single" w:color="auto" w:sz="4" w:space="0"/>
              <w:left w:val="nil"/>
              <w:bottom w:val="single" w:color="auto" w:sz="4" w:space="0"/>
              <w:right w:val="single" w:color="auto" w:sz="4" w:space="0"/>
            </w:tcBorders>
            <w:noWrap w:val="0"/>
            <w:vAlign w:val="center"/>
          </w:tcPr>
          <w:p w14:paraId="2E8EAD4E">
            <w:pPr>
              <w:rPr>
                <w:rFonts w:hint="eastAsia"/>
              </w:rPr>
            </w:pPr>
            <w:r>
              <w:rPr>
                <w:rFonts w:hint="eastAsia"/>
              </w:rPr>
              <w:t>6、合同与信息管理方案：表述的清晰、全面、前瞻、合理、科学、可行、 针对性强的得</w:t>
            </w:r>
            <w:r>
              <w:rPr>
                <w:rFonts w:hint="eastAsia"/>
                <w:lang w:val="en-US" w:eastAsia="zh-CN"/>
              </w:rPr>
              <w:t>6-</w:t>
            </w:r>
            <w:r>
              <w:rPr>
                <w:rFonts w:hint="eastAsia"/>
              </w:rPr>
              <w:t>7分； 表述较为清晰、全面、前瞻、合理、科学、可行、针对性较强的得</w:t>
            </w:r>
            <w:r>
              <w:rPr>
                <w:rFonts w:hint="eastAsia"/>
                <w:lang w:val="en-US" w:eastAsia="zh-CN"/>
              </w:rPr>
              <w:t>4-</w:t>
            </w:r>
            <w:r>
              <w:rPr>
                <w:rFonts w:hint="eastAsia"/>
              </w:rPr>
              <w:t>5分；表述基本全面、合理性一般、科学、基本可行、针对性一般的得</w:t>
            </w:r>
            <w:r>
              <w:rPr>
                <w:rFonts w:hint="eastAsia"/>
                <w:lang w:val="en-US" w:eastAsia="zh-CN"/>
              </w:rPr>
              <w:t>1-</w:t>
            </w:r>
            <w:r>
              <w:rPr>
                <w:rFonts w:hint="eastAsia"/>
              </w:rPr>
              <w:t>3分；未提供不得分。</w:t>
            </w:r>
          </w:p>
        </w:tc>
        <w:tc>
          <w:tcPr>
            <w:tcW w:w="715" w:type="dxa"/>
            <w:tcBorders>
              <w:top w:val="single" w:color="auto" w:sz="4" w:space="0"/>
              <w:left w:val="nil"/>
              <w:bottom w:val="single" w:color="auto" w:sz="4" w:space="0"/>
              <w:right w:val="single" w:color="auto" w:sz="4" w:space="0"/>
            </w:tcBorders>
            <w:noWrap w:val="0"/>
            <w:vAlign w:val="center"/>
          </w:tcPr>
          <w:p w14:paraId="3F58986A">
            <w:pPr>
              <w:rPr>
                <w:rFonts w:hint="eastAsia"/>
              </w:rPr>
            </w:pPr>
            <w:r>
              <w:rPr>
                <w:rFonts w:hint="eastAsia"/>
              </w:rPr>
              <w:t>7</w:t>
            </w:r>
          </w:p>
        </w:tc>
      </w:tr>
      <w:tr w14:paraId="007B752D">
        <w:tblPrEx>
          <w:tblCellMar>
            <w:top w:w="0" w:type="dxa"/>
            <w:left w:w="108" w:type="dxa"/>
            <w:bottom w:w="0" w:type="dxa"/>
            <w:right w:w="108" w:type="dxa"/>
          </w:tblCellMar>
        </w:tblPrEx>
        <w:trPr>
          <w:trHeight w:val="758" w:hRule="atLeast"/>
          <w:jc w:val="center"/>
        </w:trPr>
        <w:tc>
          <w:tcPr>
            <w:tcW w:w="749" w:type="dxa"/>
            <w:vMerge w:val="continue"/>
            <w:tcBorders>
              <w:top w:val="single" w:color="auto" w:sz="4" w:space="0"/>
              <w:left w:val="single" w:color="auto" w:sz="4" w:space="0"/>
              <w:bottom w:val="single" w:color="auto" w:sz="4" w:space="0"/>
              <w:right w:val="single" w:color="auto" w:sz="4" w:space="0"/>
            </w:tcBorders>
            <w:noWrap w:val="0"/>
            <w:vAlign w:val="center"/>
          </w:tcPr>
          <w:p w14:paraId="392EB39F"/>
        </w:tc>
        <w:tc>
          <w:tcPr>
            <w:tcW w:w="1048" w:type="dxa"/>
            <w:vMerge w:val="continue"/>
            <w:tcBorders>
              <w:top w:val="single" w:color="auto" w:sz="4" w:space="0"/>
              <w:left w:val="nil"/>
              <w:bottom w:val="single" w:color="auto" w:sz="4" w:space="0"/>
              <w:right w:val="single" w:color="auto" w:sz="4" w:space="0"/>
            </w:tcBorders>
            <w:noWrap w:val="0"/>
            <w:vAlign w:val="center"/>
          </w:tcPr>
          <w:p w14:paraId="755EBA34"/>
        </w:tc>
        <w:tc>
          <w:tcPr>
            <w:tcW w:w="6003" w:type="dxa"/>
            <w:tcBorders>
              <w:top w:val="single" w:color="auto" w:sz="4" w:space="0"/>
              <w:left w:val="nil"/>
              <w:bottom w:val="single" w:color="auto" w:sz="4" w:space="0"/>
              <w:right w:val="single" w:color="auto" w:sz="4" w:space="0"/>
            </w:tcBorders>
            <w:noWrap w:val="0"/>
            <w:vAlign w:val="center"/>
          </w:tcPr>
          <w:p w14:paraId="31BF6D08">
            <w:pPr>
              <w:rPr>
                <w:rFonts w:hint="eastAsia"/>
              </w:rPr>
            </w:pPr>
            <w:r>
              <w:rPr>
                <w:rFonts w:hint="eastAsia"/>
              </w:rPr>
              <w:t>7、针对本项目特点、难点和重点制定的措施针对性强，提出</w:t>
            </w:r>
          </w:p>
          <w:p w14:paraId="5DB7BF44">
            <w:pPr>
              <w:rPr>
                <w:rFonts w:hint="eastAsia"/>
              </w:rPr>
            </w:pPr>
            <w:r>
              <w:rPr>
                <w:rFonts w:hint="eastAsia"/>
              </w:rPr>
              <w:t>的合理化建议具体：表述的清晰、全面、前瞻、合理、科学、可行、 针对性强的得</w:t>
            </w:r>
            <w:r>
              <w:rPr>
                <w:rFonts w:hint="eastAsia"/>
                <w:lang w:val="en-US" w:eastAsia="zh-CN"/>
              </w:rPr>
              <w:t>6-</w:t>
            </w:r>
            <w:r>
              <w:rPr>
                <w:rFonts w:hint="eastAsia"/>
              </w:rPr>
              <w:t>7分； 表述较为清晰、全面、前瞻、合理、科学、可行、针对性较强的得</w:t>
            </w:r>
            <w:r>
              <w:rPr>
                <w:rFonts w:hint="eastAsia"/>
                <w:lang w:val="en-US" w:eastAsia="zh-CN"/>
              </w:rPr>
              <w:t>4-</w:t>
            </w:r>
            <w:r>
              <w:rPr>
                <w:rFonts w:hint="eastAsia"/>
              </w:rPr>
              <w:t>5分；表述基本全面、合理性一般、科学、基本可行、针对性一般的得</w:t>
            </w:r>
            <w:r>
              <w:rPr>
                <w:rFonts w:hint="eastAsia"/>
                <w:lang w:val="en-US" w:eastAsia="zh-CN"/>
              </w:rPr>
              <w:t>1-</w:t>
            </w:r>
            <w:r>
              <w:rPr>
                <w:rFonts w:hint="eastAsia"/>
              </w:rPr>
              <w:t>3分；未提供不得分。</w:t>
            </w:r>
          </w:p>
        </w:tc>
        <w:tc>
          <w:tcPr>
            <w:tcW w:w="715" w:type="dxa"/>
            <w:tcBorders>
              <w:top w:val="single" w:color="auto" w:sz="4" w:space="0"/>
              <w:left w:val="nil"/>
              <w:bottom w:val="single" w:color="auto" w:sz="4" w:space="0"/>
              <w:right w:val="single" w:color="auto" w:sz="4" w:space="0"/>
            </w:tcBorders>
            <w:noWrap w:val="0"/>
            <w:vAlign w:val="center"/>
          </w:tcPr>
          <w:p w14:paraId="7A029C97">
            <w:pPr>
              <w:rPr>
                <w:rFonts w:hint="eastAsia"/>
              </w:rPr>
            </w:pPr>
            <w:r>
              <w:rPr>
                <w:rFonts w:hint="eastAsia"/>
              </w:rPr>
              <w:t>7</w:t>
            </w:r>
          </w:p>
        </w:tc>
      </w:tr>
      <w:tr w14:paraId="3570A9C0">
        <w:tblPrEx>
          <w:tblCellMar>
            <w:top w:w="0" w:type="dxa"/>
            <w:left w:w="108" w:type="dxa"/>
            <w:bottom w:w="0" w:type="dxa"/>
            <w:right w:w="108" w:type="dxa"/>
          </w:tblCellMar>
        </w:tblPrEx>
        <w:trPr>
          <w:trHeight w:val="1059"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3DAE8E2A">
            <w:pPr>
              <w:rPr>
                <w:rFonts w:hint="eastAsia"/>
              </w:rPr>
            </w:pPr>
            <w:r>
              <w:rPr>
                <w:rFonts w:hint="eastAsia"/>
              </w:rPr>
              <w:t>3</w:t>
            </w:r>
          </w:p>
        </w:tc>
        <w:tc>
          <w:tcPr>
            <w:tcW w:w="1048" w:type="dxa"/>
            <w:tcBorders>
              <w:top w:val="single" w:color="auto" w:sz="4" w:space="0"/>
              <w:left w:val="nil"/>
              <w:bottom w:val="single" w:color="auto" w:sz="4" w:space="0"/>
              <w:right w:val="single" w:color="auto" w:sz="4" w:space="0"/>
            </w:tcBorders>
            <w:noWrap w:val="0"/>
            <w:vAlign w:val="center"/>
          </w:tcPr>
          <w:p w14:paraId="790D929D">
            <w:pPr>
              <w:rPr>
                <w:rFonts w:hint="eastAsia"/>
              </w:rPr>
            </w:pPr>
            <w:r>
              <w:rPr>
                <w:rFonts w:hint="eastAsia"/>
              </w:rPr>
              <w:t>项目总监（</w:t>
            </w:r>
            <w:r>
              <w:t>6</w:t>
            </w:r>
            <w:r>
              <w:rPr>
                <w:rFonts w:hint="eastAsia"/>
              </w:rPr>
              <w:t>分）</w:t>
            </w:r>
          </w:p>
        </w:tc>
        <w:tc>
          <w:tcPr>
            <w:tcW w:w="6003" w:type="dxa"/>
            <w:tcBorders>
              <w:top w:val="single" w:color="auto" w:sz="4" w:space="0"/>
              <w:left w:val="nil"/>
              <w:bottom w:val="single" w:color="auto" w:sz="4" w:space="0"/>
              <w:right w:val="single" w:color="auto" w:sz="4" w:space="0"/>
            </w:tcBorders>
            <w:noWrap w:val="0"/>
            <w:vAlign w:val="center"/>
          </w:tcPr>
          <w:p w14:paraId="65CA3FAC">
            <w:r>
              <w:rPr>
                <w:rFonts w:hint="eastAsia"/>
              </w:rPr>
              <w:t>总监注册专业为</w:t>
            </w:r>
            <w:r>
              <w:rPr>
                <w:rFonts w:hint="eastAsia"/>
                <w:highlight w:val="yellow"/>
              </w:rPr>
              <w:t>房屋建筑工程</w:t>
            </w:r>
            <w:r>
              <w:rPr>
                <w:rFonts w:hint="eastAsia"/>
              </w:rPr>
              <w:t>的得</w:t>
            </w:r>
            <w:r>
              <w:t>6</w:t>
            </w:r>
            <w:r>
              <w:rPr>
                <w:rFonts w:hint="eastAsia"/>
              </w:rPr>
              <w:t>分。</w:t>
            </w:r>
            <w:r>
              <w:rPr>
                <w:rFonts w:hint="eastAsia" w:cs="Times New Roman"/>
                <w:sz w:val="21"/>
                <w:szCs w:val="21"/>
              </w:rPr>
              <w:t>（提供相关证明材料扫描件上传电子文件，专业以注册监理工程师证书上注明的注册专业为准）</w:t>
            </w:r>
            <w:r>
              <w:rPr>
                <w:rFonts w:hint="eastAsia"/>
              </w:rPr>
              <w:t>（满分</w:t>
            </w:r>
            <w:r>
              <w:t>6</w:t>
            </w:r>
            <w:r>
              <w:rPr>
                <w:rFonts w:hint="eastAsia"/>
              </w:rPr>
              <w:t>分）</w:t>
            </w:r>
          </w:p>
        </w:tc>
        <w:tc>
          <w:tcPr>
            <w:tcW w:w="715" w:type="dxa"/>
            <w:tcBorders>
              <w:top w:val="single" w:color="auto" w:sz="4" w:space="0"/>
              <w:left w:val="nil"/>
              <w:bottom w:val="single" w:color="auto" w:sz="4" w:space="0"/>
              <w:right w:val="single" w:color="auto" w:sz="4" w:space="0"/>
            </w:tcBorders>
            <w:noWrap w:val="0"/>
            <w:vAlign w:val="center"/>
          </w:tcPr>
          <w:p w14:paraId="5804642E">
            <w:r>
              <w:rPr>
                <w:rFonts w:hint="eastAsia"/>
              </w:rPr>
              <w:t>6</w:t>
            </w:r>
          </w:p>
        </w:tc>
      </w:tr>
      <w:tr w14:paraId="711D9B5A">
        <w:tblPrEx>
          <w:tblCellMar>
            <w:top w:w="0" w:type="dxa"/>
            <w:left w:w="108" w:type="dxa"/>
            <w:bottom w:w="0" w:type="dxa"/>
            <w:right w:w="108" w:type="dxa"/>
          </w:tblCellMar>
        </w:tblPrEx>
        <w:trPr>
          <w:trHeight w:val="1261" w:hRule="atLeast"/>
          <w:jc w:val="center"/>
        </w:trPr>
        <w:tc>
          <w:tcPr>
            <w:tcW w:w="749" w:type="dxa"/>
            <w:tcBorders>
              <w:top w:val="single" w:color="auto" w:sz="4" w:space="0"/>
              <w:left w:val="single" w:color="auto" w:sz="4" w:space="0"/>
              <w:bottom w:val="nil"/>
              <w:right w:val="single" w:color="auto" w:sz="4" w:space="0"/>
            </w:tcBorders>
            <w:noWrap w:val="0"/>
            <w:vAlign w:val="center"/>
          </w:tcPr>
          <w:p w14:paraId="0715B162">
            <w:pPr>
              <w:rPr>
                <w:rFonts w:hint="eastAsia"/>
              </w:rPr>
            </w:pPr>
            <w:r>
              <w:rPr>
                <w:rFonts w:hint="eastAsia"/>
              </w:rPr>
              <w:t>4</w:t>
            </w:r>
          </w:p>
        </w:tc>
        <w:tc>
          <w:tcPr>
            <w:tcW w:w="1048" w:type="dxa"/>
            <w:tcBorders>
              <w:top w:val="single" w:color="auto" w:sz="4" w:space="0"/>
              <w:left w:val="nil"/>
              <w:bottom w:val="nil"/>
              <w:right w:val="single" w:color="auto" w:sz="4" w:space="0"/>
            </w:tcBorders>
            <w:noWrap w:val="0"/>
            <w:vAlign w:val="center"/>
          </w:tcPr>
          <w:p w14:paraId="76382C62">
            <w:pPr>
              <w:rPr>
                <w:rFonts w:hint="eastAsia"/>
              </w:rPr>
            </w:pPr>
            <w:r>
              <w:rPr>
                <w:rFonts w:hint="eastAsia"/>
              </w:rPr>
              <w:t>监理人员（项目负责人除外）（20分）</w:t>
            </w:r>
          </w:p>
        </w:tc>
        <w:tc>
          <w:tcPr>
            <w:tcW w:w="6003" w:type="dxa"/>
            <w:tcBorders>
              <w:top w:val="single" w:color="auto" w:sz="4" w:space="0"/>
              <w:left w:val="nil"/>
              <w:bottom w:val="nil"/>
              <w:right w:val="single" w:color="auto" w:sz="4" w:space="0"/>
            </w:tcBorders>
            <w:noWrap w:val="0"/>
            <w:vAlign w:val="center"/>
          </w:tcPr>
          <w:p w14:paraId="34531F8E">
            <w:r>
              <w:rPr>
                <w:rFonts w:hint="eastAsia"/>
              </w:rPr>
              <w:t>（</w:t>
            </w:r>
            <w:r>
              <w:t>1</w:t>
            </w:r>
            <w:r>
              <w:rPr>
                <w:rFonts w:hint="eastAsia"/>
              </w:rPr>
              <w:t>）工民建专业监理工程师</w:t>
            </w:r>
            <w:r>
              <w:t>1</w:t>
            </w:r>
            <w:r>
              <w:rPr>
                <w:rFonts w:hint="eastAsia"/>
              </w:rPr>
              <w:t>名：具有国家注册监理工程师注册证书得</w:t>
            </w:r>
            <w:r>
              <w:t>1</w:t>
            </w:r>
            <w:r>
              <w:rPr>
                <w:rFonts w:hint="eastAsia"/>
              </w:rPr>
              <w:t>分，同时具有高级及以上职称的加0.5分，同时具有国家注册一级造价工程师（旧版为国家注册造价工程师）证书加0.5分</w:t>
            </w:r>
            <w:r>
              <w:t>,</w:t>
            </w:r>
            <w:r>
              <w:rPr>
                <w:rFonts w:hint="eastAsia"/>
              </w:rPr>
              <w:t>没有不得分。（提供相关证明材料扫描件加盖单位公章，专业以注册监理工程师证书上注明的所学专业为准；新版国家注册监理工程师无所学专业一栏的，所学专业以毕业证书为准）。（满分2分）</w:t>
            </w:r>
          </w:p>
          <w:p w14:paraId="1661AE17">
            <w:pPr>
              <w:rPr>
                <w:rFonts w:hint="eastAsia"/>
              </w:rPr>
            </w:pPr>
            <w:r>
              <w:rPr>
                <w:rFonts w:hint="eastAsia"/>
              </w:rPr>
              <w:t>（2）结构专业监理工程师</w:t>
            </w:r>
            <w:r>
              <w:t>1</w:t>
            </w:r>
            <w:r>
              <w:rPr>
                <w:rFonts w:hint="eastAsia"/>
              </w:rPr>
              <w:t>名：具有国家注册监理工程师注册证书得</w:t>
            </w:r>
            <w:r>
              <w:t>1</w:t>
            </w:r>
            <w:r>
              <w:rPr>
                <w:rFonts w:hint="eastAsia"/>
              </w:rPr>
              <w:t>分，同时具有高级及以上职称的加0.5分，同时具有一级注册结构工程师证书加0.5分</w:t>
            </w:r>
            <w:r>
              <w:t>,</w:t>
            </w:r>
            <w:r>
              <w:rPr>
                <w:rFonts w:hint="eastAsia"/>
              </w:rPr>
              <w:t>没有不得分。（提供相关证明材料扫描件加盖单位公章，专业以注册监理工程师证书上注明的所学专业为准；新版国家注册监理工程师无所学专业一栏的，所学专业以毕业证书为准）。（满分2分）</w:t>
            </w:r>
          </w:p>
          <w:p w14:paraId="4FF23F9B">
            <w:r>
              <w:rPr>
                <w:rFonts w:hint="eastAsia"/>
              </w:rPr>
              <w:t>（3）装饰专业监理工程师</w:t>
            </w:r>
            <w:r>
              <w:t>1</w:t>
            </w:r>
            <w:r>
              <w:rPr>
                <w:rFonts w:hint="eastAsia"/>
              </w:rPr>
              <w:t>名：具有国家注册监理工程师注册证书得</w:t>
            </w:r>
            <w:r>
              <w:t>1</w:t>
            </w:r>
            <w:r>
              <w:rPr>
                <w:rFonts w:hint="eastAsia"/>
              </w:rPr>
              <w:t>分，同时具有高级及以上职称的加0.5分，同时具有国家注册一级造价工程师（旧版为国家注册造价工程师）证书加0.5分</w:t>
            </w:r>
            <w:r>
              <w:t>,</w:t>
            </w:r>
            <w:r>
              <w:rPr>
                <w:rFonts w:hint="eastAsia"/>
              </w:rPr>
              <w:t>没有不得分。（提供相关证明材料扫描件加盖单位公章，专业以注册监理工程师证书上注明的所学专业为准；新版国家注册监理工程师无所学专业一栏的，所学专业以毕业证书为准）。（满分2分）</w:t>
            </w:r>
          </w:p>
          <w:p w14:paraId="212B416F">
            <w:pPr>
              <w:rPr>
                <w:rFonts w:hint="eastAsia"/>
              </w:rPr>
            </w:pPr>
            <w:r>
              <w:rPr>
                <w:rFonts w:hint="eastAsia"/>
              </w:rPr>
              <w:t>（4）暖通专业监理工程师</w:t>
            </w:r>
            <w:r>
              <w:t>1</w:t>
            </w:r>
            <w:r>
              <w:rPr>
                <w:rFonts w:hint="eastAsia"/>
              </w:rPr>
              <w:t>名：具有国家注册监理工程师注册证书得</w:t>
            </w:r>
            <w:r>
              <w:t>1</w:t>
            </w:r>
            <w:r>
              <w:rPr>
                <w:rFonts w:hint="eastAsia"/>
              </w:rPr>
              <w:t>分，同时具有高级及以上职称的加0.5分，同时具有国家注册一级造价工程师（旧版为国家注册造价工程师）证书加0.5分</w:t>
            </w:r>
            <w:r>
              <w:t>,</w:t>
            </w:r>
            <w:r>
              <w:rPr>
                <w:rFonts w:hint="eastAsia"/>
              </w:rPr>
              <w:t>没有不得分。（提供相关证明材料扫描件加盖单位公章，专业以注册监理工程师证书上注明的所学专业为准；新版国家注册监理工程师无所学专业一栏的，所学专业以毕业证书为准）。（满分2分）</w:t>
            </w:r>
          </w:p>
          <w:p w14:paraId="3952557C">
            <w:r>
              <w:rPr>
                <w:rFonts w:hint="eastAsia"/>
              </w:rPr>
              <w:t>（5）给排水专业监理工程师</w:t>
            </w:r>
            <w:r>
              <w:t>1</w:t>
            </w:r>
            <w:r>
              <w:rPr>
                <w:rFonts w:hint="eastAsia"/>
              </w:rPr>
              <w:t>名：具有国家注册监理工程师得</w:t>
            </w:r>
            <w:r>
              <w:t>1</w:t>
            </w:r>
            <w:r>
              <w:rPr>
                <w:rFonts w:hint="eastAsia"/>
              </w:rPr>
              <w:t>分，同时具有注册设备监理师的加1分。（提供相关证明材料扫描件加盖单位公章，专业以注册监理工程师证书上注明的所学专业为准；新版国家注册监理工程师无所学专业一栏的，所学专业以毕业证书为准）。（满分2分）</w:t>
            </w:r>
          </w:p>
          <w:p w14:paraId="11B04D50">
            <w:pPr>
              <w:rPr>
                <w:rFonts w:hint="eastAsia"/>
              </w:rPr>
            </w:pPr>
            <w:r>
              <w:rPr>
                <w:rFonts w:hint="eastAsia"/>
              </w:rPr>
              <w:t>（6）设备专业监理工程师</w:t>
            </w:r>
            <w:r>
              <w:t>1</w:t>
            </w:r>
            <w:r>
              <w:rPr>
                <w:rFonts w:hint="eastAsia"/>
              </w:rPr>
              <w:t>名：具有国家注册监理工程师得</w:t>
            </w:r>
            <w:r>
              <w:t>1</w:t>
            </w:r>
            <w:r>
              <w:rPr>
                <w:rFonts w:hint="eastAsia"/>
              </w:rPr>
              <w:t>分，同时具有注册设备监理师的加1分。（提供相关证明材料扫描件加盖单位公章，专业以注册监理工程师证书上注明的所学专业为准；新版国家注册监理工程师无所学专业一栏的，所学专业以毕业证书为准）。（满分2分）</w:t>
            </w:r>
          </w:p>
          <w:p w14:paraId="35E1E8AE">
            <w:r>
              <w:rPr>
                <w:rFonts w:hint="eastAsia"/>
              </w:rPr>
              <w:t>（7）环境专业监理工程师</w:t>
            </w:r>
            <w:r>
              <w:t>2</w:t>
            </w:r>
            <w:r>
              <w:rPr>
                <w:rFonts w:hint="eastAsia"/>
              </w:rPr>
              <w:t>名：具有国家注册监理工程师注册证书得</w:t>
            </w:r>
            <w:r>
              <w:t>1</w:t>
            </w:r>
            <w:r>
              <w:rPr>
                <w:rFonts w:hint="eastAsia"/>
              </w:rPr>
              <w:t>分</w:t>
            </w:r>
            <w:r>
              <w:t>/</w:t>
            </w:r>
            <w:r>
              <w:rPr>
                <w:rFonts w:hint="eastAsia"/>
              </w:rPr>
              <w:t>人，同时具有高级及以上职称的加0.5分</w:t>
            </w:r>
            <w:r>
              <w:t>/</w:t>
            </w:r>
            <w:r>
              <w:rPr>
                <w:rFonts w:hint="eastAsia"/>
              </w:rPr>
              <w:t>人，同时具有国家注册一级造价工程师（旧版为国家注册造价工程师）证书加0.5分</w:t>
            </w:r>
            <w:r>
              <w:t>/</w:t>
            </w:r>
            <w:r>
              <w:rPr>
                <w:rFonts w:hint="eastAsia"/>
              </w:rPr>
              <w:t>人</w:t>
            </w:r>
            <w:r>
              <w:t>,</w:t>
            </w:r>
            <w:r>
              <w:rPr>
                <w:rFonts w:hint="eastAsia"/>
              </w:rPr>
              <w:t>没有不得分。（提供相关证明材料扫描件加盖单位公章，专业以注册监理工程师证书上注明的所学专业为准；新版国家注册监理工程师无所学专业一栏的，所学专业以毕业证书为准）。（满分4分）</w:t>
            </w:r>
          </w:p>
          <w:p w14:paraId="08FC876A">
            <w:r>
              <w:rPr>
                <w:rFonts w:hint="eastAsia"/>
              </w:rPr>
              <w:t>（8）安全专业监理工程师</w:t>
            </w:r>
            <w:r>
              <w:t>1</w:t>
            </w:r>
            <w:r>
              <w:rPr>
                <w:rFonts w:hint="eastAsia"/>
              </w:rPr>
              <w:t>名：具有国家注册监理工程师得</w:t>
            </w:r>
            <w:r>
              <w:t>1</w:t>
            </w:r>
            <w:r>
              <w:rPr>
                <w:rFonts w:hint="eastAsia"/>
              </w:rPr>
              <w:t>分，同时具有国家注册安全工程师证书的加</w:t>
            </w:r>
            <w:r>
              <w:t>1</w:t>
            </w:r>
            <w:r>
              <w:rPr>
                <w:rFonts w:hint="eastAsia"/>
              </w:rPr>
              <w:t>分，没有不得分。（提供相关证明材料扫描件加盖单位公章，专业以注册监理工程师证书上注明的所学专业为准；新版国家注册监理工程师无所学专业一栏的，所学专业以毕业证书为准）。（满分</w:t>
            </w:r>
            <w:r>
              <w:t>2</w:t>
            </w:r>
            <w:r>
              <w:rPr>
                <w:rFonts w:hint="eastAsia"/>
              </w:rPr>
              <w:t>分）</w:t>
            </w:r>
          </w:p>
          <w:p w14:paraId="0C851FBB">
            <w:r>
              <w:rPr>
                <w:rFonts w:hint="eastAsia"/>
              </w:rPr>
              <w:t>（9）工程造价专业监理工程师</w:t>
            </w:r>
            <w:r>
              <w:t>1</w:t>
            </w:r>
            <w:r>
              <w:rPr>
                <w:rFonts w:hint="eastAsia"/>
              </w:rPr>
              <w:t>名：具有国家注册监理工程师得</w:t>
            </w:r>
            <w:r>
              <w:t>1</w:t>
            </w:r>
            <w:r>
              <w:rPr>
                <w:rFonts w:hint="eastAsia"/>
              </w:rPr>
              <w:t>分，同时具有高级及以上职称的加0.5分，同时国家注册一级造价工程师（旧版为国家注册造价工程师）证书的加0.5分，没有不得分。（提供相关证明材料扫描件加盖单位公章，专业以监理证书所学专业为准，新版国家注册监理工程师证书无所学专业一栏的，所学专业以毕业证书为准）。（满分2分）</w:t>
            </w:r>
          </w:p>
        </w:tc>
        <w:tc>
          <w:tcPr>
            <w:tcW w:w="715" w:type="dxa"/>
            <w:tcBorders>
              <w:top w:val="single" w:color="auto" w:sz="4" w:space="0"/>
              <w:left w:val="nil"/>
              <w:bottom w:val="single" w:color="auto" w:sz="4" w:space="0"/>
              <w:right w:val="single" w:color="auto" w:sz="4" w:space="0"/>
            </w:tcBorders>
            <w:noWrap w:val="0"/>
            <w:vAlign w:val="center"/>
          </w:tcPr>
          <w:p w14:paraId="318D77DF">
            <w:pPr>
              <w:rPr>
                <w:rFonts w:hint="eastAsia"/>
              </w:rPr>
            </w:pPr>
            <w:r>
              <w:rPr>
                <w:rFonts w:hint="eastAsia"/>
              </w:rPr>
              <w:t>20</w:t>
            </w:r>
          </w:p>
        </w:tc>
      </w:tr>
      <w:tr w14:paraId="0383CA88">
        <w:tblPrEx>
          <w:tblCellMar>
            <w:top w:w="0" w:type="dxa"/>
            <w:left w:w="108" w:type="dxa"/>
            <w:bottom w:w="0" w:type="dxa"/>
            <w:right w:w="108" w:type="dxa"/>
          </w:tblCellMar>
        </w:tblPrEx>
        <w:trPr>
          <w:trHeight w:val="1248"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1286C87D">
            <w:pPr>
              <w:rPr>
                <w:rFonts w:hint="eastAsia"/>
              </w:rPr>
            </w:pPr>
            <w:r>
              <w:rPr>
                <w:rFonts w:hint="eastAsia"/>
              </w:rPr>
              <w:t>5</w:t>
            </w:r>
          </w:p>
        </w:tc>
        <w:tc>
          <w:tcPr>
            <w:tcW w:w="1048" w:type="dxa"/>
            <w:tcBorders>
              <w:top w:val="single" w:color="auto" w:sz="4" w:space="0"/>
              <w:left w:val="nil"/>
              <w:bottom w:val="single" w:color="auto" w:sz="4" w:space="0"/>
              <w:right w:val="single" w:color="auto" w:sz="4" w:space="0"/>
            </w:tcBorders>
            <w:noWrap w:val="0"/>
            <w:vAlign w:val="center"/>
          </w:tcPr>
          <w:p w14:paraId="5131F26A">
            <w:pPr>
              <w:rPr>
                <w:rFonts w:hint="eastAsia"/>
              </w:rPr>
            </w:pPr>
            <w:r>
              <w:rPr>
                <w:rFonts w:hint="eastAsia"/>
              </w:rPr>
              <w:t>监理设施与设备（8分）</w:t>
            </w:r>
          </w:p>
        </w:tc>
        <w:tc>
          <w:tcPr>
            <w:tcW w:w="6003" w:type="dxa"/>
            <w:tcBorders>
              <w:top w:val="single" w:color="auto" w:sz="4" w:space="0"/>
              <w:left w:val="nil"/>
              <w:bottom w:val="single" w:color="auto" w:sz="4" w:space="0"/>
              <w:right w:val="single" w:color="auto" w:sz="4" w:space="0"/>
            </w:tcBorders>
            <w:noWrap w:val="0"/>
            <w:vAlign w:val="center"/>
          </w:tcPr>
          <w:p w14:paraId="0B50B986">
            <w:pPr>
              <w:rPr>
                <w:rFonts w:hint="eastAsia"/>
              </w:rPr>
            </w:pPr>
            <w:r>
              <w:t>现场常用设备满足工程检测需要：现场配备水准仪、经纬仪、全站仪、激光测距仪、混凝土回弹仪、游标卡尺、电脑、打印机设备的得8分，每少一样扣1分，扣完为止；（以承诺书为准，提供承诺书原件并加盖公章，格式自拟）(满分8分)</w:t>
            </w:r>
          </w:p>
        </w:tc>
        <w:tc>
          <w:tcPr>
            <w:tcW w:w="715" w:type="dxa"/>
            <w:tcBorders>
              <w:top w:val="single" w:color="auto" w:sz="4" w:space="0"/>
              <w:left w:val="nil"/>
              <w:bottom w:val="single" w:color="auto" w:sz="4" w:space="0"/>
              <w:right w:val="single" w:color="auto" w:sz="4" w:space="0"/>
            </w:tcBorders>
            <w:noWrap w:val="0"/>
            <w:vAlign w:val="center"/>
          </w:tcPr>
          <w:p w14:paraId="5A9E1080">
            <w:r>
              <w:rPr>
                <w:rFonts w:hint="eastAsia"/>
              </w:rPr>
              <w:t>8</w:t>
            </w:r>
          </w:p>
        </w:tc>
      </w:tr>
      <w:tr w14:paraId="7874ACBC">
        <w:tblPrEx>
          <w:tblCellMar>
            <w:top w:w="0" w:type="dxa"/>
            <w:left w:w="108" w:type="dxa"/>
            <w:bottom w:w="0" w:type="dxa"/>
            <w:right w:w="108" w:type="dxa"/>
          </w:tblCellMar>
        </w:tblPrEx>
        <w:trPr>
          <w:trHeight w:val="1248"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07F943ED">
            <w:pPr>
              <w:rPr>
                <w:rFonts w:hint="eastAsia"/>
              </w:rPr>
            </w:pPr>
            <w:r>
              <w:rPr>
                <w:rFonts w:hint="eastAsia"/>
              </w:rPr>
              <w:t>6</w:t>
            </w:r>
          </w:p>
        </w:tc>
        <w:tc>
          <w:tcPr>
            <w:tcW w:w="1048" w:type="dxa"/>
            <w:tcBorders>
              <w:top w:val="single" w:color="auto" w:sz="4" w:space="0"/>
              <w:left w:val="nil"/>
              <w:bottom w:val="single" w:color="auto" w:sz="4" w:space="0"/>
              <w:right w:val="single" w:color="auto" w:sz="4" w:space="0"/>
            </w:tcBorders>
            <w:noWrap w:val="0"/>
            <w:vAlign w:val="center"/>
          </w:tcPr>
          <w:p w14:paraId="34A03E39">
            <w:pPr>
              <w:rPr>
                <w:rFonts w:hint="eastAsia"/>
              </w:rPr>
            </w:pPr>
            <w:r>
              <w:rPr>
                <w:rFonts w:hint="eastAsia"/>
              </w:rPr>
              <w:t>企业业绩（4分）</w:t>
            </w:r>
          </w:p>
        </w:tc>
        <w:tc>
          <w:tcPr>
            <w:tcW w:w="6003" w:type="dxa"/>
            <w:tcBorders>
              <w:top w:val="single" w:color="auto" w:sz="4" w:space="0"/>
              <w:left w:val="nil"/>
              <w:bottom w:val="single" w:color="auto" w:sz="4" w:space="0"/>
              <w:right w:val="single" w:color="auto" w:sz="4" w:space="0"/>
            </w:tcBorders>
            <w:noWrap w:val="0"/>
            <w:vAlign w:val="center"/>
          </w:tcPr>
          <w:p w14:paraId="4A295B8B">
            <w:pPr>
              <w:rPr>
                <w:rFonts w:hint="eastAsia"/>
              </w:rPr>
            </w:pPr>
            <w:r>
              <w:rPr>
                <w:color w:val="FF0000"/>
                <w:highlight w:val="yellow"/>
              </w:rPr>
              <w:t>供应商</w:t>
            </w:r>
            <w:r>
              <w:rPr>
                <w:color w:val="FF0000"/>
              </w:rPr>
              <w:t>自</w:t>
            </w:r>
            <w:r>
              <w:rPr>
                <w:color w:val="FF0000"/>
                <w:highlight w:val="yellow"/>
              </w:rPr>
              <w:t>2019年1月1日</w:t>
            </w:r>
            <w:r>
              <w:rPr>
                <w:color w:val="FF0000"/>
              </w:rPr>
              <w:t>（含）以来监理过类似业绩得4分。（需提供监理合同,时间以合同为准；业绩证明材料均以合同复印件加盖公章为准)(满分4分)</w:t>
            </w:r>
          </w:p>
        </w:tc>
        <w:tc>
          <w:tcPr>
            <w:tcW w:w="715" w:type="dxa"/>
            <w:tcBorders>
              <w:top w:val="single" w:color="auto" w:sz="4" w:space="0"/>
              <w:left w:val="nil"/>
              <w:bottom w:val="single" w:color="auto" w:sz="4" w:space="0"/>
              <w:right w:val="single" w:color="auto" w:sz="4" w:space="0"/>
            </w:tcBorders>
            <w:noWrap w:val="0"/>
            <w:vAlign w:val="center"/>
          </w:tcPr>
          <w:p w14:paraId="42449C99">
            <w:r>
              <w:rPr>
                <w:rFonts w:hint="eastAsia"/>
              </w:rPr>
              <w:t>4</w:t>
            </w:r>
          </w:p>
        </w:tc>
      </w:tr>
      <w:tr w14:paraId="3B019CA0">
        <w:tblPrEx>
          <w:tblCellMar>
            <w:top w:w="0" w:type="dxa"/>
            <w:left w:w="108" w:type="dxa"/>
            <w:bottom w:w="0" w:type="dxa"/>
            <w:right w:w="108" w:type="dxa"/>
          </w:tblCellMar>
        </w:tblPrEx>
        <w:trPr>
          <w:trHeight w:val="1272"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68BF1EDB">
            <w:pPr>
              <w:rPr>
                <w:rFonts w:hint="eastAsia"/>
              </w:rPr>
            </w:pPr>
            <w:r>
              <w:rPr>
                <w:rFonts w:hint="eastAsia"/>
              </w:rPr>
              <w:t>7</w:t>
            </w:r>
          </w:p>
        </w:tc>
        <w:tc>
          <w:tcPr>
            <w:tcW w:w="1048" w:type="dxa"/>
            <w:tcBorders>
              <w:top w:val="single" w:color="auto" w:sz="4" w:space="0"/>
              <w:left w:val="nil"/>
              <w:bottom w:val="single" w:color="auto" w:sz="4" w:space="0"/>
              <w:right w:val="single" w:color="auto" w:sz="4" w:space="0"/>
            </w:tcBorders>
            <w:noWrap w:val="0"/>
            <w:vAlign w:val="center"/>
          </w:tcPr>
          <w:p w14:paraId="79C1B68B">
            <w:pPr>
              <w:rPr>
                <w:rFonts w:hint="eastAsia"/>
              </w:rPr>
            </w:pPr>
            <w:r>
              <w:t>企业资信</w:t>
            </w:r>
          </w:p>
          <w:p w14:paraId="5082D308">
            <w:r>
              <w:rPr>
                <w:rFonts w:hint="eastAsia"/>
              </w:rPr>
              <w:t>（3分）</w:t>
            </w:r>
          </w:p>
        </w:tc>
        <w:tc>
          <w:tcPr>
            <w:tcW w:w="6003" w:type="dxa"/>
            <w:tcBorders>
              <w:top w:val="single" w:color="auto" w:sz="4" w:space="0"/>
              <w:left w:val="nil"/>
              <w:bottom w:val="single" w:color="auto" w:sz="4" w:space="0"/>
              <w:right w:val="single" w:color="auto" w:sz="4" w:space="0"/>
            </w:tcBorders>
            <w:noWrap w:val="0"/>
            <w:vAlign w:val="center"/>
          </w:tcPr>
          <w:p w14:paraId="150DEA01">
            <w:pPr>
              <w:rPr>
                <w:rFonts w:hint="eastAsia"/>
              </w:rPr>
            </w:pPr>
            <w:bookmarkStart w:id="20" w:name="OLE_LINK19"/>
            <w:r>
              <w:rPr>
                <w:color w:val="FF0000"/>
                <w:highlight w:val="yellow"/>
              </w:rPr>
              <w:t>供应商</w:t>
            </w:r>
            <w:r>
              <w:rPr>
                <w:color w:val="FF0000"/>
              </w:rPr>
              <w:t>具有质量管理体系认证证书（且在有效期内）的得3分，没有的不得分。</w:t>
            </w:r>
            <w:bookmarkEnd w:id="20"/>
          </w:p>
        </w:tc>
        <w:tc>
          <w:tcPr>
            <w:tcW w:w="715" w:type="dxa"/>
            <w:tcBorders>
              <w:top w:val="single" w:color="auto" w:sz="4" w:space="0"/>
              <w:left w:val="nil"/>
              <w:bottom w:val="single" w:color="auto" w:sz="4" w:space="0"/>
              <w:right w:val="single" w:color="auto" w:sz="4" w:space="0"/>
            </w:tcBorders>
            <w:noWrap w:val="0"/>
            <w:vAlign w:val="center"/>
          </w:tcPr>
          <w:p w14:paraId="4C960DC6">
            <w:pPr>
              <w:rPr>
                <w:rFonts w:hint="eastAsia"/>
              </w:rPr>
            </w:pPr>
            <w:r>
              <w:rPr>
                <w:rFonts w:hint="eastAsia"/>
              </w:rPr>
              <w:t>3</w:t>
            </w:r>
          </w:p>
        </w:tc>
      </w:tr>
      <w:tr w14:paraId="171AFFBF">
        <w:tblPrEx>
          <w:tblCellMar>
            <w:top w:w="0" w:type="dxa"/>
            <w:left w:w="108" w:type="dxa"/>
            <w:bottom w:w="0" w:type="dxa"/>
            <w:right w:w="108" w:type="dxa"/>
          </w:tblCellMar>
        </w:tblPrEx>
        <w:trPr>
          <w:trHeight w:val="179"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6B96AA08">
            <w:pPr>
              <w:rPr>
                <w:rFonts w:hint="eastAsia"/>
              </w:rPr>
            </w:pPr>
          </w:p>
        </w:tc>
        <w:tc>
          <w:tcPr>
            <w:tcW w:w="1048" w:type="dxa"/>
            <w:tcBorders>
              <w:top w:val="single" w:color="auto" w:sz="4" w:space="0"/>
              <w:left w:val="nil"/>
              <w:bottom w:val="single" w:color="auto" w:sz="4" w:space="0"/>
              <w:right w:val="single" w:color="auto" w:sz="4" w:space="0"/>
            </w:tcBorders>
            <w:noWrap w:val="0"/>
            <w:vAlign w:val="center"/>
          </w:tcPr>
          <w:p w14:paraId="59A9DAB8">
            <w:pPr>
              <w:rPr>
                <w:rFonts w:hint="eastAsia"/>
              </w:rPr>
            </w:pPr>
            <w:r>
              <w:rPr>
                <w:rFonts w:hint="eastAsia"/>
              </w:rPr>
              <w:t>合 计</w:t>
            </w:r>
          </w:p>
        </w:tc>
        <w:tc>
          <w:tcPr>
            <w:tcW w:w="6003" w:type="dxa"/>
            <w:tcBorders>
              <w:top w:val="single" w:color="auto" w:sz="4" w:space="0"/>
              <w:left w:val="nil"/>
              <w:bottom w:val="single" w:color="auto" w:sz="4" w:space="0"/>
              <w:right w:val="single" w:color="auto" w:sz="4" w:space="0"/>
            </w:tcBorders>
            <w:noWrap w:val="0"/>
            <w:vAlign w:val="center"/>
          </w:tcPr>
          <w:p w14:paraId="6405C571">
            <w:pPr>
              <w:rPr>
                <w:rFonts w:hint="eastAsia"/>
              </w:rPr>
            </w:pPr>
          </w:p>
        </w:tc>
        <w:tc>
          <w:tcPr>
            <w:tcW w:w="715" w:type="dxa"/>
            <w:tcBorders>
              <w:top w:val="single" w:color="auto" w:sz="4" w:space="0"/>
              <w:left w:val="nil"/>
              <w:bottom w:val="single" w:color="auto" w:sz="4" w:space="0"/>
              <w:right w:val="single" w:color="auto" w:sz="4" w:space="0"/>
            </w:tcBorders>
            <w:noWrap w:val="0"/>
            <w:vAlign w:val="center"/>
          </w:tcPr>
          <w:p w14:paraId="67D07606">
            <w:pPr>
              <w:rPr>
                <w:rFonts w:hint="eastAsia"/>
              </w:rPr>
            </w:pPr>
            <w:r>
              <w:rPr>
                <w:rFonts w:hint="eastAsia"/>
              </w:rPr>
              <w:t>100</w:t>
            </w:r>
          </w:p>
        </w:tc>
      </w:tr>
    </w:tbl>
    <w:p w14:paraId="709EC0EB">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磋商结束后，成交结果将在江苏省政府采购网或者淮安市政府采购网上进行公告。磋商供应商对采购过程和成交结果有质疑的必须在相关法律法规规定的时间内提出。</w:t>
      </w:r>
    </w:p>
    <w:p w14:paraId="1B42538C">
      <w:pPr>
        <w:pageBreakBefore w:val="0"/>
        <w:spacing w:line="420" w:lineRule="exact"/>
        <w:ind w:firstLine="472"/>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成交候选人在公示期间，如经查实从参加该成交项目之日起计算所参加的政府采购活动前三年内，在经营活动中有行贿犯罪记录的，采购人将取消其成交候选人资格。</w:t>
      </w:r>
    </w:p>
    <w:p w14:paraId="7207BA5F">
      <w:pPr>
        <w:pageBreakBefore w:val="0"/>
        <w:spacing w:line="420" w:lineRule="exact"/>
        <w:ind w:right="-634"/>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磋商过程保密</w:t>
      </w:r>
    </w:p>
    <w:p w14:paraId="66399329">
      <w:pPr>
        <w:pageBreakBefore w:val="0"/>
        <w:spacing w:line="4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在宣布确定成交之前，凡属于审查、澄清、磋商、比较响应文件和确定成交意向等有关信息，均不得泄露给任何与磋商工作无关的人员。</w:t>
      </w:r>
    </w:p>
    <w:p w14:paraId="79287FAC">
      <w:pPr>
        <w:pageBreakBefore w:val="0"/>
        <w:spacing w:line="42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磋商供应商不得探听上述信息，不得以任何行为影响磋商过程，否则将被取消成交资格。</w:t>
      </w:r>
    </w:p>
    <w:p w14:paraId="618BD38B">
      <w:pPr>
        <w:pageBreakBefore w:val="0"/>
        <w:spacing w:line="420" w:lineRule="exact"/>
        <w:ind w:firstLine="480"/>
        <w:rPr>
          <w:rFonts w:hint="eastAsia" w:ascii="宋体" w:hAnsi="宋体" w:eastAsia="宋体" w:cs="宋体"/>
          <w:color w:val="000000"/>
          <w:sz w:val="24"/>
          <w:highlight w:val="none"/>
        </w:rPr>
        <w:sectPr>
          <w:footerReference r:id="rId4" w:type="default"/>
          <w:pgSz w:w="11906" w:h="16838" w:orient="landscape"/>
          <w:pgMar w:top="1440" w:right="1474" w:bottom="1440" w:left="1474" w:header="851" w:footer="992" w:gutter="0"/>
          <w:pgNumType w:start="1"/>
          <w:cols w:space="720" w:num="1"/>
        </w:sectPr>
      </w:pPr>
      <w:r>
        <w:rPr>
          <w:rFonts w:hint="eastAsia" w:ascii="宋体" w:hAnsi="宋体" w:eastAsia="宋体" w:cs="宋体"/>
          <w:color w:val="000000"/>
          <w:sz w:val="24"/>
          <w:highlight w:val="none"/>
        </w:rPr>
        <w:t>在磋商期间，采购人将指定联络员与磋商供应商进行联络。</w:t>
      </w:r>
    </w:p>
    <w:p w14:paraId="5F1059AA">
      <w:pPr>
        <w:pStyle w:val="15"/>
      </w:pPr>
    </w:p>
    <w:p w14:paraId="11D2FCBC">
      <w:pPr>
        <w:pageBreakBefore w:val="0"/>
        <w:numPr>
          <w:ilvl w:val="0"/>
          <w:numId w:val="3"/>
        </w:numPr>
        <w:spacing w:line="420" w:lineRule="exact"/>
        <w:jc w:val="center"/>
        <w:outlineLvl w:val="0"/>
        <w:rPr>
          <w:rFonts w:hint="eastAsia" w:ascii="宋体" w:hAnsi="宋体" w:eastAsia="宋体" w:cs="宋体"/>
          <w:b/>
          <w:color w:val="000000"/>
          <w:sz w:val="30"/>
          <w:szCs w:val="30"/>
          <w:highlight w:val="none"/>
          <w:lang w:val="en-US"/>
        </w:rPr>
      </w:pPr>
      <w:r>
        <w:rPr>
          <w:rFonts w:hint="eastAsia" w:ascii="宋体" w:hAnsi="宋体" w:eastAsia="宋体" w:cs="宋体"/>
          <w:b/>
          <w:color w:val="000000"/>
          <w:sz w:val="30"/>
          <w:szCs w:val="30"/>
          <w:highlight w:val="none"/>
        </w:rPr>
        <w:t xml:space="preserve"> 磋商项目</w:t>
      </w:r>
      <w:r>
        <w:rPr>
          <w:rFonts w:hint="eastAsia" w:ascii="宋体" w:hAnsi="宋体" w:eastAsia="宋体" w:cs="宋体"/>
          <w:b/>
          <w:color w:val="000000"/>
          <w:sz w:val="30"/>
          <w:szCs w:val="30"/>
          <w:highlight w:val="none"/>
          <w:lang w:val="en-US" w:eastAsia="zh-CN"/>
        </w:rPr>
        <w:t>采购需求</w:t>
      </w:r>
    </w:p>
    <w:p w14:paraId="7868637C">
      <w:pPr>
        <w:pageBreakBefore w:val="0"/>
        <w:spacing w:line="420" w:lineRule="exact"/>
        <w:rPr>
          <w:rFonts w:hint="eastAsia" w:ascii="宋体" w:hAnsi="宋体" w:eastAsia="宋体" w:cs="宋体"/>
          <w:color w:val="FF0000"/>
          <w:kern w:val="0"/>
          <w:sz w:val="24"/>
          <w:highlight w:val="none"/>
        </w:rPr>
      </w:pPr>
      <w:r>
        <w:rPr>
          <w:rFonts w:hint="eastAsia" w:ascii="宋体" w:hAnsi="宋体" w:eastAsia="宋体" w:cs="宋体"/>
          <w:color w:val="000000"/>
          <w:sz w:val="24"/>
          <w:highlight w:val="none"/>
        </w:rPr>
        <w:t xml:space="preserve"> </w:t>
      </w:r>
      <w:r>
        <w:rPr>
          <w:rFonts w:hint="eastAsia" w:ascii="宋体" w:hAnsi="宋体" w:eastAsia="宋体" w:cs="宋体"/>
          <w:color w:val="FF0000"/>
          <w:kern w:val="0"/>
          <w:sz w:val="24"/>
          <w:highlight w:val="none"/>
        </w:rPr>
        <w:t>一、项目概况</w:t>
      </w:r>
    </w:p>
    <w:p w14:paraId="7CCC4B16">
      <w:pPr>
        <w:pageBreakBefore w:val="0"/>
        <w:spacing w:line="420" w:lineRule="exact"/>
        <w:rPr>
          <w:rFonts w:hint="eastAsia" w:ascii="宋体" w:hAnsi="宋体" w:eastAsia="宋体" w:cs="宋体"/>
          <w:color w:val="FF0000"/>
          <w:kern w:val="0"/>
          <w:sz w:val="24"/>
          <w:highlight w:val="none"/>
          <w:lang w:val="en-US" w:eastAsia="zh-CN"/>
        </w:rPr>
      </w:pPr>
      <w:r>
        <w:rPr>
          <w:rFonts w:hint="eastAsia" w:ascii="宋体" w:hAnsi="宋体" w:eastAsia="宋体" w:cs="宋体"/>
          <w:color w:val="FF0000"/>
          <w:kern w:val="0"/>
          <w:sz w:val="24"/>
          <w:highlight w:val="none"/>
          <w:lang w:val="en-US" w:eastAsia="zh-CN"/>
        </w:rPr>
        <w:t>项目用地面积10846平方米，拟建建筑四层框架结构。总建筑面积约1.6万平方米。主要建设农贸市场、餐饮、洗浴中心、影院、健身中心、美食广场等配套功能。</w:t>
      </w:r>
    </w:p>
    <w:p w14:paraId="0A618270">
      <w:pPr>
        <w:pageBreakBefore w:val="0"/>
        <w:spacing w:line="420" w:lineRule="exact"/>
        <w:rPr>
          <w:rFonts w:hint="eastAsia" w:ascii="宋体" w:hAnsi="宋体" w:eastAsia="宋体" w:cs="宋体"/>
          <w:color w:val="FF0000"/>
          <w:kern w:val="0"/>
          <w:sz w:val="24"/>
          <w:highlight w:val="none"/>
        </w:rPr>
      </w:pPr>
      <w:r>
        <w:rPr>
          <w:rFonts w:hint="eastAsia" w:ascii="宋体" w:hAnsi="宋体" w:eastAsia="宋体" w:cs="宋体"/>
          <w:color w:val="FF0000"/>
          <w:kern w:val="0"/>
          <w:sz w:val="24"/>
          <w:highlight w:val="none"/>
        </w:rPr>
        <w:t>二、采购内容</w:t>
      </w:r>
    </w:p>
    <w:p w14:paraId="06E9F9C4">
      <w:pPr>
        <w:pageBreakBefore w:val="0"/>
        <w:spacing w:line="420" w:lineRule="exact"/>
        <w:rPr>
          <w:rFonts w:hint="eastAsia" w:ascii="宋体" w:hAnsi="宋体" w:eastAsia="宋体" w:cs="宋体"/>
          <w:color w:val="FF0000"/>
          <w:kern w:val="0"/>
          <w:sz w:val="24"/>
          <w:highlight w:val="none"/>
        </w:rPr>
      </w:pPr>
      <w:r>
        <w:rPr>
          <w:rFonts w:hint="eastAsia" w:ascii="宋体" w:hAnsi="宋体" w:eastAsia="宋体" w:cs="宋体"/>
          <w:color w:val="FF0000"/>
          <w:kern w:val="0"/>
          <w:sz w:val="24"/>
          <w:highlight w:val="none"/>
          <w:lang w:val="en-US" w:eastAsia="zh-CN"/>
        </w:rPr>
        <w:t>盱城街道石牛社区农产品批发市场建设项目施工监理服务，包含但不限于：土建</w:t>
      </w:r>
      <w:r>
        <w:rPr>
          <w:rFonts w:hint="eastAsia" w:ascii="宋体" w:hAnsi="宋体" w:eastAsia="宋体" w:cs="宋体"/>
          <w:color w:val="FF0000"/>
          <w:kern w:val="0"/>
          <w:sz w:val="24"/>
          <w:highlight w:val="none"/>
        </w:rPr>
        <w:t>、安装、装饰、景观绿化、电力工程、智能化、附属（市政）配套等所有工程。</w:t>
      </w:r>
    </w:p>
    <w:p w14:paraId="048E0FF7">
      <w:pPr>
        <w:pageBreakBefore w:val="0"/>
        <w:spacing w:line="420" w:lineRule="exact"/>
        <w:rPr>
          <w:rFonts w:hint="eastAsia" w:ascii="宋体" w:hAnsi="宋体" w:eastAsia="宋体" w:cs="宋体"/>
          <w:color w:val="FF0000"/>
          <w:kern w:val="0"/>
          <w:sz w:val="24"/>
          <w:highlight w:val="none"/>
        </w:rPr>
      </w:pPr>
      <w:r>
        <w:rPr>
          <w:rFonts w:hint="eastAsia" w:ascii="宋体" w:hAnsi="宋体" w:eastAsia="宋体" w:cs="宋体"/>
          <w:color w:val="FF0000"/>
          <w:kern w:val="0"/>
          <w:sz w:val="24"/>
          <w:highlight w:val="none"/>
        </w:rPr>
        <w:t>三、监理服务期</w:t>
      </w:r>
    </w:p>
    <w:p w14:paraId="41131CEA">
      <w:pPr>
        <w:pageBreakBefore w:val="0"/>
        <w:spacing w:line="420" w:lineRule="exact"/>
        <w:rPr>
          <w:rFonts w:hint="eastAsia" w:ascii="宋体" w:hAnsi="宋体" w:eastAsia="宋体" w:cs="宋体"/>
          <w:color w:val="FF0000"/>
          <w:sz w:val="24"/>
        </w:rPr>
      </w:pPr>
      <w:r>
        <w:rPr>
          <w:rFonts w:hint="eastAsia" w:ascii="宋体" w:hAnsi="宋体" w:eastAsia="宋体" w:cs="宋体"/>
          <w:color w:val="0000FF"/>
          <w:sz w:val="24"/>
        </w:rPr>
        <w:t>计划施工工期</w:t>
      </w:r>
      <w:r>
        <w:rPr>
          <w:rFonts w:hint="eastAsia" w:ascii="宋体" w:hAnsi="宋体" w:cs="宋体"/>
          <w:color w:val="0000FF"/>
          <w:sz w:val="24"/>
          <w:lang w:val="en-US" w:eastAsia="zh-CN"/>
        </w:rPr>
        <w:t>300</w:t>
      </w:r>
      <w:r>
        <w:rPr>
          <w:rFonts w:hint="eastAsia" w:ascii="宋体" w:hAnsi="宋体" w:eastAsia="宋体" w:cs="宋体"/>
          <w:color w:val="0000FF"/>
          <w:sz w:val="24"/>
        </w:rPr>
        <w:t>日历天；监理服务期包括施工阶段、缺陷责任阶段，施工阶段监理服务期与施工工期同步，缺陷责任阶段监理服务期（即保修期）为自工程竣工验收合格后12个月</w:t>
      </w:r>
      <w:r>
        <w:rPr>
          <w:rFonts w:hint="eastAsia" w:ascii="宋体" w:hAnsi="宋体" w:cs="宋体"/>
          <w:color w:val="0000FF"/>
          <w:sz w:val="24"/>
          <w:lang w:eastAsia="zh-CN"/>
        </w:rPr>
        <w:t>，</w:t>
      </w:r>
      <w:r>
        <w:rPr>
          <w:rFonts w:hint="eastAsia" w:ascii="宋体" w:hAnsi="宋体" w:eastAsia="宋体" w:cs="宋体"/>
          <w:color w:val="FF0000"/>
          <w:sz w:val="24"/>
        </w:rPr>
        <w:t>监理服务期延长不增加监理费用</w:t>
      </w:r>
    </w:p>
    <w:p w14:paraId="223C0452">
      <w:pPr>
        <w:pageBreakBefore w:val="0"/>
        <w:spacing w:line="420" w:lineRule="exact"/>
        <w:rPr>
          <w:rFonts w:hint="eastAsia" w:ascii="宋体" w:hAnsi="宋体" w:eastAsia="宋体" w:cs="宋体"/>
          <w:color w:val="FF0000"/>
          <w:kern w:val="0"/>
          <w:sz w:val="24"/>
          <w:highlight w:val="none"/>
        </w:rPr>
      </w:pPr>
      <w:r>
        <w:rPr>
          <w:rFonts w:hint="eastAsia" w:ascii="宋体" w:hAnsi="宋体" w:eastAsia="宋体" w:cs="宋体"/>
          <w:color w:val="FF0000"/>
          <w:kern w:val="0"/>
          <w:sz w:val="24"/>
          <w:highlight w:val="none"/>
        </w:rPr>
        <w:t>四、质量要求</w:t>
      </w:r>
    </w:p>
    <w:p w14:paraId="647B49DB">
      <w:pPr>
        <w:pageBreakBefore w:val="0"/>
        <w:spacing w:line="420" w:lineRule="exact"/>
        <w:rPr>
          <w:rFonts w:hint="eastAsia" w:ascii="宋体" w:hAnsi="宋体" w:eastAsia="宋体" w:cs="宋体"/>
          <w:color w:val="FF0000"/>
          <w:kern w:val="0"/>
          <w:sz w:val="24"/>
          <w:highlight w:val="none"/>
        </w:rPr>
      </w:pPr>
      <w:r>
        <w:rPr>
          <w:rFonts w:hint="eastAsia" w:ascii="宋体" w:hAnsi="宋体" w:eastAsia="宋体" w:cs="宋体"/>
          <w:color w:val="FF0000"/>
          <w:kern w:val="0"/>
          <w:sz w:val="24"/>
          <w:highlight w:val="none"/>
        </w:rPr>
        <w:t>合格。施工质量符合设计图纸及国家有关标准规范要求，工程质量达到国家及行业现行施工验收规范合格标准。工程所有物资(设备、构配件等)采购质量需符合有关标准规范的要求，合格率达到100%。</w:t>
      </w:r>
    </w:p>
    <w:p w14:paraId="4BCA2C54">
      <w:pPr>
        <w:pageBreakBefore w:val="0"/>
        <w:spacing w:line="420" w:lineRule="exact"/>
        <w:rPr>
          <w:rFonts w:hint="eastAsia" w:ascii="宋体" w:hAnsi="宋体" w:eastAsia="宋体" w:cs="宋体"/>
          <w:color w:val="000000"/>
          <w:kern w:val="0"/>
          <w:sz w:val="24"/>
          <w:highlight w:val="none"/>
        </w:rPr>
      </w:pPr>
      <w:r>
        <w:rPr>
          <w:rFonts w:hint="eastAsia" w:ascii="宋体" w:hAnsi="宋体" w:eastAsia="宋体" w:cs="宋体"/>
          <w:color w:val="FF0000"/>
          <w:kern w:val="0"/>
          <w:sz w:val="24"/>
          <w:highlight w:val="none"/>
        </w:rPr>
        <w:t>五、服务单位要加强绿色低碳管理，公共部位的水、电应节约使用，不得有长明灯、长流水等浪费现象及违章使用未经许可的电器，对施工场地内外垃圾要及时清运，服务单位在服务期内对涉及商品的包装应按照“财办库〔2020〕123号《关于印发《商品包装政府采购需求标准（试行）》、《快递包装政府采购需求标准（试行）》的通知》”执行。涉及设备运维参考《绿色数据中心政府采购需求标准（试行）》（财库【2023】7号文）执行。</w:t>
      </w:r>
    </w:p>
    <w:p w14:paraId="3C1C9D88">
      <w:pPr>
        <w:pageBreakBefore w:val="0"/>
        <w:spacing w:line="420" w:lineRule="exact"/>
        <w:rPr>
          <w:rFonts w:hint="eastAsia" w:ascii="宋体" w:hAnsi="宋体" w:eastAsia="宋体" w:cs="宋体"/>
          <w:b/>
          <w:bCs/>
          <w:color w:val="000000"/>
          <w:sz w:val="24"/>
          <w:highlight w:val="none"/>
        </w:rPr>
      </w:pPr>
    </w:p>
    <w:p w14:paraId="32DCB185">
      <w:pPr>
        <w:keepNext w:val="0"/>
        <w:keepLines w:val="0"/>
        <w:pageBreakBefore w:val="0"/>
        <w:spacing w:line="440" w:lineRule="exact"/>
        <w:jc w:val="center"/>
        <w:rPr>
          <w:rFonts w:hint="eastAsia" w:asciiTheme="minorEastAsia" w:hAnsiTheme="minorEastAsia" w:eastAsiaTheme="minorEastAsia" w:cstheme="minorEastAsia"/>
          <w:b/>
          <w:sz w:val="36"/>
          <w:szCs w:val="36"/>
          <w:lang w:val="en-US" w:eastAsia="zh-CN"/>
        </w:rPr>
      </w:pPr>
    </w:p>
    <w:p w14:paraId="4D98F8C8">
      <w:pPr>
        <w:keepNext w:val="0"/>
        <w:keepLines w:val="0"/>
        <w:pageBreakBefore w:val="0"/>
        <w:spacing w:line="440" w:lineRule="exact"/>
        <w:jc w:val="center"/>
        <w:rPr>
          <w:rFonts w:hint="eastAsia" w:asciiTheme="minorEastAsia" w:hAnsiTheme="minorEastAsia" w:eastAsiaTheme="minorEastAsia" w:cstheme="minorEastAsia"/>
          <w:b/>
          <w:sz w:val="36"/>
          <w:szCs w:val="36"/>
          <w:lang w:val="en-US" w:eastAsia="zh-CN"/>
        </w:rPr>
      </w:pPr>
    </w:p>
    <w:p w14:paraId="3B5ACEE0">
      <w:pPr>
        <w:spacing w:line="440" w:lineRule="exact"/>
        <w:jc w:val="center"/>
        <w:rPr>
          <w:rFonts w:hint="eastAsia" w:ascii="宋体" w:hAnsi="宋体"/>
          <w:b/>
          <w:sz w:val="32"/>
          <w:szCs w:val="32"/>
        </w:rPr>
      </w:pPr>
    </w:p>
    <w:p w14:paraId="168163A9">
      <w:pPr>
        <w:spacing w:line="440" w:lineRule="exact"/>
        <w:jc w:val="center"/>
        <w:rPr>
          <w:rFonts w:hint="eastAsia" w:ascii="宋体" w:hAnsi="宋体"/>
          <w:b/>
          <w:sz w:val="32"/>
          <w:szCs w:val="32"/>
        </w:rPr>
      </w:pPr>
    </w:p>
    <w:p w14:paraId="2E6A4C61">
      <w:pPr>
        <w:spacing w:line="440" w:lineRule="exact"/>
        <w:jc w:val="center"/>
        <w:rPr>
          <w:rFonts w:hint="eastAsia" w:ascii="宋体" w:hAnsi="宋体"/>
          <w:b/>
          <w:sz w:val="32"/>
          <w:szCs w:val="32"/>
        </w:rPr>
      </w:pPr>
    </w:p>
    <w:p w14:paraId="355FA6CB">
      <w:pPr>
        <w:spacing w:line="440" w:lineRule="exact"/>
        <w:jc w:val="center"/>
        <w:rPr>
          <w:rFonts w:hint="eastAsia" w:ascii="宋体" w:hAnsi="宋体"/>
          <w:b/>
          <w:sz w:val="32"/>
          <w:szCs w:val="32"/>
        </w:rPr>
      </w:pPr>
    </w:p>
    <w:p w14:paraId="56075DF9">
      <w:pPr>
        <w:spacing w:line="440" w:lineRule="exact"/>
        <w:jc w:val="center"/>
        <w:rPr>
          <w:rFonts w:hint="eastAsia" w:ascii="宋体" w:hAnsi="宋体"/>
          <w:b/>
          <w:sz w:val="32"/>
          <w:szCs w:val="32"/>
        </w:rPr>
      </w:pPr>
    </w:p>
    <w:p w14:paraId="72D69F83">
      <w:pPr>
        <w:spacing w:line="440" w:lineRule="exact"/>
        <w:jc w:val="center"/>
        <w:rPr>
          <w:rFonts w:hint="eastAsia" w:ascii="宋体" w:hAnsi="宋体"/>
          <w:b/>
          <w:sz w:val="32"/>
          <w:szCs w:val="32"/>
        </w:rPr>
      </w:pPr>
    </w:p>
    <w:p w14:paraId="1D11AD83">
      <w:pPr>
        <w:spacing w:line="440" w:lineRule="exact"/>
        <w:jc w:val="center"/>
        <w:rPr>
          <w:rFonts w:hint="eastAsia" w:ascii="宋体" w:hAnsi="宋体"/>
          <w:b/>
          <w:sz w:val="32"/>
          <w:szCs w:val="32"/>
        </w:rPr>
      </w:pPr>
    </w:p>
    <w:p w14:paraId="3474A2DF">
      <w:pPr>
        <w:spacing w:line="440" w:lineRule="exact"/>
        <w:jc w:val="center"/>
        <w:rPr>
          <w:rFonts w:hint="eastAsia" w:ascii="宋体" w:hAnsi="宋体"/>
          <w:b/>
          <w:sz w:val="32"/>
          <w:szCs w:val="32"/>
        </w:rPr>
      </w:pPr>
    </w:p>
    <w:p w14:paraId="51D6A082">
      <w:pPr>
        <w:spacing w:line="440" w:lineRule="exact"/>
        <w:jc w:val="center"/>
        <w:rPr>
          <w:rFonts w:hint="eastAsia" w:ascii="宋体" w:hAnsi="宋体"/>
          <w:b/>
          <w:sz w:val="32"/>
          <w:szCs w:val="32"/>
        </w:rPr>
      </w:pPr>
    </w:p>
    <w:p w14:paraId="3CA14B25">
      <w:pPr>
        <w:spacing w:line="440" w:lineRule="exact"/>
        <w:jc w:val="center"/>
        <w:rPr>
          <w:rFonts w:hint="eastAsia" w:ascii="宋体" w:hAnsi="宋体"/>
          <w:b/>
          <w:sz w:val="30"/>
          <w:szCs w:val="30"/>
          <w:lang w:val="en-US" w:eastAsia="zh-CN"/>
        </w:rPr>
      </w:pPr>
      <w:r>
        <w:rPr>
          <w:rFonts w:hint="eastAsia" w:ascii="宋体" w:hAnsi="宋体"/>
          <w:b/>
          <w:sz w:val="30"/>
          <w:szCs w:val="30"/>
        </w:rPr>
        <w:t>第</w:t>
      </w:r>
      <w:r>
        <w:rPr>
          <w:rFonts w:hint="eastAsia" w:ascii="宋体" w:hAnsi="宋体"/>
          <w:b/>
          <w:sz w:val="30"/>
          <w:szCs w:val="30"/>
          <w:lang w:val="en-US" w:eastAsia="zh-CN"/>
        </w:rPr>
        <w:t xml:space="preserve">五章 </w:t>
      </w:r>
    </w:p>
    <w:p w14:paraId="662FA4F7">
      <w:pPr>
        <w:pStyle w:val="3"/>
        <w:rPr>
          <w:rFonts w:hint="eastAsia" w:ascii="宋体" w:hAnsi="宋体"/>
          <w:b/>
          <w:sz w:val="30"/>
          <w:szCs w:val="30"/>
          <w:lang w:val="en-US" w:eastAsia="zh-CN"/>
        </w:rPr>
      </w:pPr>
    </w:p>
    <w:p w14:paraId="4574264B">
      <w:pPr>
        <w:rPr>
          <w:rFonts w:hint="eastAsia"/>
          <w:lang w:val="en-US" w:eastAsia="zh-CN"/>
        </w:rPr>
      </w:pPr>
    </w:p>
    <w:p w14:paraId="14F04B74">
      <w:pPr>
        <w:spacing w:line="360" w:lineRule="auto"/>
        <w:jc w:val="center"/>
        <w:rPr>
          <w:rFonts w:hint="eastAsia" w:ascii="仿宋" w:hAnsi="仿宋" w:eastAsia="仿宋" w:cs="仿宋"/>
          <w:bCs/>
          <w:sz w:val="72"/>
          <w:szCs w:val="72"/>
        </w:rPr>
      </w:pPr>
      <w:r>
        <w:rPr>
          <w:rFonts w:hint="eastAsia" w:ascii="仿宋" w:hAnsi="仿宋" w:eastAsia="仿宋" w:cs="仿宋"/>
          <w:bCs/>
          <w:sz w:val="72"/>
          <w:szCs w:val="72"/>
        </w:rPr>
        <w:t>监理合同</w:t>
      </w:r>
    </w:p>
    <w:p w14:paraId="1E23DA85">
      <w:pPr>
        <w:spacing w:line="360" w:lineRule="auto"/>
        <w:jc w:val="center"/>
        <w:rPr>
          <w:rFonts w:hint="eastAsia" w:ascii="仿宋" w:hAnsi="仿宋" w:eastAsia="仿宋" w:cs="仿宋"/>
          <w:bCs/>
          <w:sz w:val="52"/>
          <w:szCs w:val="52"/>
        </w:rPr>
      </w:pPr>
    </w:p>
    <w:p w14:paraId="589729F4">
      <w:pPr>
        <w:spacing w:line="360" w:lineRule="auto"/>
        <w:jc w:val="center"/>
        <w:rPr>
          <w:rFonts w:hint="eastAsia" w:ascii="仿宋" w:hAnsi="仿宋" w:eastAsia="仿宋" w:cs="仿宋"/>
          <w:bCs/>
          <w:sz w:val="24"/>
        </w:rPr>
      </w:pPr>
    </w:p>
    <w:p w14:paraId="2F7EABE3">
      <w:pPr>
        <w:spacing w:line="360" w:lineRule="auto"/>
        <w:jc w:val="center"/>
        <w:rPr>
          <w:rFonts w:hint="eastAsia" w:ascii="仿宋" w:hAnsi="仿宋" w:eastAsia="仿宋" w:cs="仿宋"/>
          <w:bCs/>
          <w:sz w:val="24"/>
        </w:rPr>
      </w:pPr>
    </w:p>
    <w:p w14:paraId="0FD53E58">
      <w:pPr>
        <w:spacing w:line="360" w:lineRule="auto"/>
        <w:jc w:val="center"/>
        <w:rPr>
          <w:rFonts w:hint="eastAsia" w:ascii="仿宋" w:hAnsi="仿宋" w:eastAsia="仿宋" w:cs="仿宋"/>
          <w:bCs/>
          <w:sz w:val="24"/>
        </w:rPr>
      </w:pPr>
    </w:p>
    <w:p w14:paraId="1FC875D3">
      <w:pPr>
        <w:spacing w:line="360" w:lineRule="auto"/>
        <w:jc w:val="center"/>
        <w:rPr>
          <w:rFonts w:hint="eastAsia" w:ascii="仿宋" w:hAnsi="仿宋" w:eastAsia="仿宋" w:cs="仿宋"/>
          <w:bCs/>
          <w:sz w:val="24"/>
        </w:rPr>
      </w:pPr>
    </w:p>
    <w:p w14:paraId="2970277E">
      <w:pPr>
        <w:spacing w:line="460" w:lineRule="exact"/>
        <w:ind w:firstLine="1600"/>
        <w:jc w:val="left"/>
        <w:rPr>
          <w:rFonts w:hint="eastAsia" w:ascii="仿宋" w:hAnsi="仿宋" w:eastAsia="仿宋" w:cs="仿宋"/>
          <w:sz w:val="32"/>
          <w:szCs w:val="32"/>
        </w:rPr>
      </w:pPr>
      <w:r>
        <w:rPr>
          <w:rFonts w:hint="eastAsia" w:ascii="仿宋" w:hAnsi="仿宋" w:eastAsia="仿宋" w:cs="仿宋"/>
          <w:sz w:val="32"/>
          <w:szCs w:val="32"/>
        </w:rPr>
        <w:t>甲方：</w:t>
      </w:r>
    </w:p>
    <w:p w14:paraId="03C641F4">
      <w:pPr>
        <w:spacing w:line="460" w:lineRule="exact"/>
        <w:ind w:firstLine="1600"/>
        <w:jc w:val="left"/>
        <w:rPr>
          <w:rFonts w:hint="eastAsia" w:ascii="仿宋" w:hAnsi="仿宋" w:eastAsia="仿宋" w:cs="仿宋"/>
          <w:sz w:val="32"/>
          <w:szCs w:val="32"/>
        </w:rPr>
      </w:pPr>
      <w:r>
        <w:rPr>
          <w:rFonts w:hint="eastAsia" w:ascii="仿宋" w:hAnsi="仿宋" w:eastAsia="仿宋" w:cs="仿宋"/>
          <w:sz w:val="32"/>
          <w:szCs w:val="32"/>
        </w:rPr>
        <w:t>乙方：</w:t>
      </w:r>
    </w:p>
    <w:p w14:paraId="59742CBE">
      <w:pPr>
        <w:spacing w:line="460" w:lineRule="exact"/>
        <w:jc w:val="center"/>
        <w:rPr>
          <w:rFonts w:hint="eastAsia" w:ascii="仿宋" w:hAnsi="仿宋" w:eastAsia="仿宋" w:cs="仿宋"/>
          <w:sz w:val="32"/>
          <w:szCs w:val="32"/>
        </w:rPr>
      </w:pPr>
      <w:r>
        <w:rPr>
          <w:rFonts w:hint="eastAsia" w:ascii="仿宋" w:hAnsi="仿宋" w:eastAsia="仿宋" w:cs="仿宋"/>
          <w:sz w:val="32"/>
          <w:szCs w:val="32"/>
        </w:rPr>
        <w:t>日期：</w:t>
      </w:r>
    </w:p>
    <w:p w14:paraId="35DBA813">
      <w:pPr>
        <w:pStyle w:val="3"/>
        <w:rPr>
          <w:rFonts w:hint="eastAsia" w:ascii="仿宋" w:hAnsi="仿宋" w:eastAsia="仿宋" w:cs="仿宋"/>
          <w:sz w:val="32"/>
          <w:szCs w:val="32"/>
        </w:rPr>
      </w:pPr>
    </w:p>
    <w:p w14:paraId="2C41D8F6">
      <w:pPr>
        <w:rPr>
          <w:rFonts w:hint="eastAsia" w:ascii="仿宋" w:hAnsi="仿宋" w:eastAsia="仿宋" w:cs="仿宋"/>
          <w:sz w:val="32"/>
          <w:szCs w:val="32"/>
        </w:rPr>
      </w:pPr>
    </w:p>
    <w:p w14:paraId="761EFACF">
      <w:pPr>
        <w:pStyle w:val="3"/>
        <w:rPr>
          <w:rFonts w:hint="eastAsia" w:ascii="仿宋" w:hAnsi="仿宋" w:eastAsia="仿宋" w:cs="仿宋"/>
          <w:sz w:val="32"/>
          <w:szCs w:val="32"/>
        </w:rPr>
      </w:pPr>
    </w:p>
    <w:p w14:paraId="7CEF3C07">
      <w:pPr>
        <w:rPr>
          <w:rFonts w:hint="eastAsia" w:ascii="仿宋" w:hAnsi="仿宋" w:eastAsia="仿宋" w:cs="仿宋"/>
          <w:sz w:val="32"/>
          <w:szCs w:val="32"/>
        </w:rPr>
      </w:pPr>
    </w:p>
    <w:p w14:paraId="1C3033E0">
      <w:pPr>
        <w:pStyle w:val="3"/>
        <w:rPr>
          <w:rFonts w:hint="eastAsia" w:ascii="仿宋" w:hAnsi="仿宋" w:eastAsia="仿宋" w:cs="仿宋"/>
          <w:sz w:val="32"/>
          <w:szCs w:val="32"/>
        </w:rPr>
      </w:pPr>
    </w:p>
    <w:p w14:paraId="10BCCA02">
      <w:pPr>
        <w:pStyle w:val="3"/>
      </w:pPr>
    </w:p>
    <w:p w14:paraId="1A922EE0">
      <w:pPr>
        <w:spacing w:line="440" w:lineRule="exact"/>
        <w:jc w:val="center"/>
        <w:rPr>
          <w:rFonts w:hint="eastAsia" w:ascii="宋体" w:hAnsi="宋体" w:cs="宋体"/>
          <w:b/>
          <w:sz w:val="30"/>
          <w:szCs w:val="30"/>
        </w:rPr>
      </w:pPr>
    </w:p>
    <w:p w14:paraId="44110A9D">
      <w:pPr>
        <w:spacing w:line="440" w:lineRule="exact"/>
        <w:jc w:val="center"/>
        <w:rPr>
          <w:rFonts w:hint="eastAsia" w:ascii="宋体" w:hAnsi="宋体" w:cs="宋体"/>
          <w:b/>
          <w:sz w:val="30"/>
          <w:szCs w:val="30"/>
        </w:rPr>
      </w:pPr>
    </w:p>
    <w:p w14:paraId="0220269B">
      <w:pPr>
        <w:spacing w:line="440" w:lineRule="exact"/>
        <w:jc w:val="center"/>
        <w:rPr>
          <w:rFonts w:ascii="宋体" w:hAnsi="宋体"/>
          <w:b/>
          <w:sz w:val="30"/>
          <w:szCs w:val="30"/>
        </w:rPr>
      </w:pPr>
      <w:r>
        <w:rPr>
          <w:rFonts w:hint="eastAsia" w:ascii="宋体" w:hAnsi="宋体" w:cs="宋体"/>
          <w:b/>
          <w:sz w:val="30"/>
          <w:szCs w:val="30"/>
        </w:rPr>
        <w:t>合同条款前附表</w:t>
      </w:r>
    </w:p>
    <w:p w14:paraId="2DFF0E85">
      <w:pPr>
        <w:tabs>
          <w:tab w:val="left" w:pos="180"/>
        </w:tabs>
        <w:spacing w:line="400" w:lineRule="exact"/>
        <w:ind w:firstLine="640"/>
        <w:rPr>
          <w:rFonts w:ascii="宋体" w:hAnsi="宋体" w:cs="宋体"/>
          <w:sz w:val="32"/>
        </w:rPr>
      </w:pPr>
    </w:p>
    <w:tbl>
      <w:tblPr>
        <w:tblStyle w:val="36"/>
        <w:tblW w:w="8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543"/>
      </w:tblGrid>
      <w:tr w14:paraId="2CBA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80" w:type="dxa"/>
            <w:noWrap w:val="0"/>
            <w:vAlign w:val="center"/>
          </w:tcPr>
          <w:p w14:paraId="1FDA5E27">
            <w:pPr>
              <w:rPr>
                <w:rFonts w:ascii="宋体" w:hAnsi="宋体" w:cs="宋体"/>
                <w:b/>
                <w:sz w:val="28"/>
              </w:rPr>
            </w:pPr>
            <w:r>
              <w:rPr>
                <w:rFonts w:hint="eastAsia" w:ascii="宋体" w:hAnsi="宋体" w:cs="宋体"/>
                <w:b/>
                <w:sz w:val="28"/>
              </w:rPr>
              <w:t>序 号</w:t>
            </w:r>
          </w:p>
        </w:tc>
        <w:tc>
          <w:tcPr>
            <w:tcW w:w="7543" w:type="dxa"/>
            <w:noWrap w:val="0"/>
            <w:vAlign w:val="center"/>
          </w:tcPr>
          <w:p w14:paraId="198CBB17">
            <w:pPr>
              <w:ind w:firstLine="560"/>
              <w:jc w:val="center"/>
              <w:rPr>
                <w:rFonts w:ascii="宋体" w:hAnsi="宋体" w:cs="宋体"/>
                <w:b/>
                <w:sz w:val="28"/>
                <w:shd w:val="pct10" w:color="auto" w:fill="FFFFFF"/>
              </w:rPr>
            </w:pPr>
            <w:r>
              <w:rPr>
                <w:rFonts w:hint="eastAsia" w:ascii="宋体" w:hAnsi="宋体" w:cs="宋体"/>
                <w:sz w:val="28"/>
                <w:szCs w:val="28"/>
              </w:rPr>
              <w:t>内            容</w:t>
            </w:r>
          </w:p>
        </w:tc>
      </w:tr>
      <w:tr w14:paraId="42E9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14:paraId="011BC3F3">
            <w:pPr>
              <w:spacing w:line="720" w:lineRule="exact"/>
              <w:jc w:val="center"/>
              <w:rPr>
                <w:rFonts w:ascii="宋体" w:hAnsi="宋体" w:cs="宋体"/>
                <w:sz w:val="24"/>
              </w:rPr>
            </w:pPr>
            <w:r>
              <w:rPr>
                <w:rFonts w:hint="eastAsia" w:ascii="宋体" w:hAnsi="宋体" w:cs="宋体"/>
                <w:sz w:val="24"/>
              </w:rPr>
              <w:t>1</w:t>
            </w:r>
          </w:p>
        </w:tc>
        <w:tc>
          <w:tcPr>
            <w:tcW w:w="7543" w:type="dxa"/>
            <w:noWrap w:val="0"/>
          </w:tcPr>
          <w:p w14:paraId="238CCF3B">
            <w:pPr>
              <w:spacing w:line="400" w:lineRule="exact"/>
              <w:rPr>
                <w:rFonts w:hint="eastAsia" w:ascii="宋体" w:hAnsi="宋体" w:cs="宋体"/>
                <w:sz w:val="24"/>
              </w:rPr>
            </w:pPr>
            <w:r>
              <w:rPr>
                <w:rFonts w:hint="eastAsia" w:ascii="宋体" w:hAnsi="宋体" w:cs="宋体"/>
                <w:sz w:val="24"/>
              </w:rPr>
              <w:t>付款均应按下列条件进行：</w:t>
            </w:r>
          </w:p>
          <w:p w14:paraId="075B2212">
            <w:pPr>
              <w:spacing w:line="360" w:lineRule="auto"/>
              <w:ind w:firstLine="480"/>
              <w:rPr>
                <w:rFonts w:hint="eastAsia" w:ascii="宋体" w:hAnsi="宋体" w:cs="宋体"/>
                <w:sz w:val="24"/>
              </w:rPr>
            </w:pPr>
            <w:r>
              <w:rPr>
                <w:rFonts w:hint="eastAsia" w:ascii="宋体" w:hAnsi="宋体" w:cs="宋体"/>
                <w:sz w:val="24"/>
              </w:rPr>
              <w:t>监理服务费用的支付时间、方式：合同签订</w:t>
            </w:r>
            <w:r>
              <w:rPr>
                <w:rFonts w:hint="eastAsia" w:ascii="宋体" w:hAnsi="宋体" w:cs="宋体"/>
                <w:sz w:val="24"/>
                <w:lang w:eastAsia="zh-CN"/>
              </w:rPr>
              <w:t>后</w:t>
            </w:r>
            <w:r>
              <w:rPr>
                <w:rFonts w:hint="eastAsia" w:ascii="宋体" w:hAnsi="宋体" w:cs="宋体"/>
                <w:sz w:val="24"/>
              </w:rPr>
              <w:t>监理人员进场付合同价的40%；</w:t>
            </w:r>
            <w:r>
              <w:rPr>
                <w:rFonts w:hint="eastAsia" w:ascii="宋体" w:hAnsi="宋体" w:cs="宋体"/>
                <w:sz w:val="24"/>
                <w:lang w:val="en-US" w:eastAsia="zh-CN"/>
              </w:rPr>
              <w:t>主体</w:t>
            </w:r>
            <w:r>
              <w:rPr>
                <w:rFonts w:hint="eastAsia" w:ascii="宋体" w:hAnsi="宋体" w:cs="宋体"/>
                <w:sz w:val="24"/>
              </w:rPr>
              <w:t xml:space="preserve">验收合格，付合同价的 </w:t>
            </w:r>
            <w:r>
              <w:rPr>
                <w:rFonts w:hint="eastAsia" w:ascii="宋体" w:hAnsi="宋体" w:cs="宋体"/>
                <w:sz w:val="24"/>
                <w:lang w:val="en-US" w:eastAsia="zh-CN"/>
              </w:rPr>
              <w:t>30</w:t>
            </w:r>
            <w:r>
              <w:rPr>
                <w:rFonts w:hint="eastAsia" w:ascii="宋体" w:hAnsi="宋体" w:cs="宋体"/>
                <w:sz w:val="24"/>
              </w:rPr>
              <w:t>%；</w:t>
            </w:r>
            <w:r>
              <w:rPr>
                <w:rFonts w:hint="eastAsia" w:ascii="宋体" w:hAnsi="宋体" w:cs="宋体"/>
                <w:sz w:val="24"/>
                <w:lang w:val="en-US" w:eastAsia="zh-CN"/>
              </w:rPr>
              <w:t>竣工验收合格，</w:t>
            </w:r>
            <w:r>
              <w:rPr>
                <w:rFonts w:hint="eastAsia" w:ascii="宋体" w:hAnsi="宋体" w:cs="宋体"/>
                <w:sz w:val="24"/>
              </w:rPr>
              <w:t>付</w:t>
            </w:r>
            <w:r>
              <w:rPr>
                <w:rFonts w:hint="eastAsia" w:ascii="宋体" w:hAnsi="宋体" w:cs="宋体"/>
                <w:sz w:val="24"/>
                <w:lang w:val="en-US" w:eastAsia="zh-CN"/>
              </w:rPr>
              <w:t>至</w:t>
            </w:r>
            <w:r>
              <w:rPr>
                <w:rFonts w:hint="eastAsia" w:ascii="宋体" w:hAnsi="宋体" w:cs="宋体"/>
                <w:sz w:val="24"/>
              </w:rPr>
              <w:t xml:space="preserve">合同价的 </w:t>
            </w:r>
            <w:r>
              <w:rPr>
                <w:rFonts w:hint="eastAsia" w:ascii="宋体" w:hAnsi="宋体" w:cs="宋体"/>
                <w:sz w:val="24"/>
                <w:lang w:val="en-US" w:eastAsia="zh-CN"/>
              </w:rPr>
              <w:t>97</w:t>
            </w:r>
            <w:r>
              <w:rPr>
                <w:rFonts w:hint="eastAsia" w:ascii="宋体" w:hAnsi="宋体" w:cs="宋体"/>
                <w:sz w:val="24"/>
              </w:rPr>
              <w:t>%；审计结束后付清余款。结算时需提供满足甲方财务要求的增值税发票。</w:t>
            </w:r>
          </w:p>
        </w:tc>
      </w:tr>
      <w:tr w14:paraId="4F4E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0" w:type="dxa"/>
            <w:noWrap w:val="0"/>
            <w:vAlign w:val="center"/>
          </w:tcPr>
          <w:p w14:paraId="220855BD">
            <w:pPr>
              <w:spacing w:line="720" w:lineRule="exact"/>
              <w:jc w:val="center"/>
              <w:rPr>
                <w:rFonts w:ascii="宋体" w:hAnsi="宋体" w:cs="宋体"/>
                <w:sz w:val="24"/>
              </w:rPr>
            </w:pPr>
            <w:r>
              <w:rPr>
                <w:rFonts w:hint="eastAsia" w:ascii="宋体" w:hAnsi="宋体" w:cs="宋体"/>
                <w:sz w:val="24"/>
              </w:rPr>
              <w:t>2</w:t>
            </w:r>
          </w:p>
        </w:tc>
        <w:tc>
          <w:tcPr>
            <w:tcW w:w="7543" w:type="dxa"/>
            <w:noWrap w:val="0"/>
          </w:tcPr>
          <w:p w14:paraId="59841B03">
            <w:pPr>
              <w:spacing w:line="400" w:lineRule="exact"/>
              <w:rPr>
                <w:rFonts w:hint="eastAsia" w:ascii="宋体" w:hAnsi="宋体" w:cs="宋体"/>
                <w:sz w:val="24"/>
              </w:rPr>
            </w:pPr>
            <w:r>
              <w:rPr>
                <w:rFonts w:hint="eastAsia" w:ascii="宋体" w:hAnsi="宋体" w:cs="宋体"/>
                <w:sz w:val="24"/>
              </w:rPr>
              <w:t>服务期：</w:t>
            </w:r>
            <w:r>
              <w:rPr>
                <w:rFonts w:hint="eastAsia" w:ascii="宋体" w:hAnsi="宋体" w:eastAsia="宋体" w:cs="宋体"/>
                <w:color w:val="0000FF"/>
                <w:sz w:val="24"/>
              </w:rPr>
              <w:t>计划施工工期</w:t>
            </w:r>
            <w:r>
              <w:rPr>
                <w:rFonts w:hint="eastAsia" w:ascii="宋体" w:hAnsi="宋体" w:cs="宋体"/>
                <w:color w:val="0000FF"/>
                <w:sz w:val="24"/>
                <w:lang w:val="en-US" w:eastAsia="zh-CN"/>
              </w:rPr>
              <w:t>300</w:t>
            </w:r>
            <w:r>
              <w:rPr>
                <w:rFonts w:hint="eastAsia" w:ascii="宋体" w:hAnsi="宋体" w:eastAsia="宋体" w:cs="宋体"/>
                <w:color w:val="0000FF"/>
                <w:sz w:val="24"/>
              </w:rPr>
              <w:t>日历天；监理服务期包括施工阶段、缺陷责任阶段，施工阶段监理服务期与施工工期同步，缺陷责任阶段监理服务期（即保修期）为自工程竣工验收合格后12个月</w:t>
            </w:r>
            <w:r>
              <w:rPr>
                <w:rFonts w:hint="eastAsia" w:ascii="宋体" w:hAnsi="宋体" w:cs="宋体"/>
                <w:color w:val="0000FF"/>
                <w:sz w:val="24"/>
                <w:lang w:eastAsia="zh-CN"/>
              </w:rPr>
              <w:t>，</w:t>
            </w:r>
            <w:r>
              <w:rPr>
                <w:rFonts w:hint="eastAsia" w:ascii="宋体" w:hAnsi="宋体" w:eastAsia="宋体" w:cs="宋体"/>
                <w:color w:val="FF0000"/>
                <w:sz w:val="24"/>
              </w:rPr>
              <w:t>监理服务期延长不增加监理费用</w:t>
            </w:r>
          </w:p>
        </w:tc>
      </w:tr>
      <w:tr w14:paraId="7966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80" w:type="dxa"/>
            <w:noWrap w:val="0"/>
            <w:vAlign w:val="center"/>
          </w:tcPr>
          <w:p w14:paraId="692CBA91">
            <w:pPr>
              <w:spacing w:line="720" w:lineRule="exact"/>
              <w:jc w:val="center"/>
              <w:rPr>
                <w:rFonts w:ascii="宋体" w:hAnsi="宋体" w:cs="宋体"/>
                <w:sz w:val="24"/>
              </w:rPr>
            </w:pPr>
            <w:r>
              <w:rPr>
                <w:rFonts w:hint="eastAsia" w:ascii="宋体" w:hAnsi="宋体" w:cs="宋体"/>
                <w:sz w:val="24"/>
              </w:rPr>
              <w:t>3</w:t>
            </w:r>
          </w:p>
        </w:tc>
        <w:tc>
          <w:tcPr>
            <w:tcW w:w="7543" w:type="dxa"/>
            <w:noWrap w:val="0"/>
          </w:tcPr>
          <w:p w14:paraId="08083EEF">
            <w:pPr>
              <w:spacing w:line="400" w:lineRule="exact"/>
              <w:rPr>
                <w:rFonts w:hint="eastAsia" w:ascii="宋体" w:hAnsi="宋体" w:cs="宋体"/>
                <w:sz w:val="24"/>
              </w:rPr>
            </w:pPr>
            <w:r>
              <w:rPr>
                <w:rFonts w:hint="eastAsia" w:ascii="宋体" w:hAnsi="宋体" w:cs="宋体"/>
                <w:sz w:val="24"/>
              </w:rPr>
              <w:t>供货地点（服务）：采购人指定</w:t>
            </w:r>
          </w:p>
        </w:tc>
      </w:tr>
    </w:tbl>
    <w:p w14:paraId="7E3A3E11">
      <w:pPr>
        <w:tabs>
          <w:tab w:val="left" w:pos="180"/>
        </w:tabs>
        <w:spacing w:line="400" w:lineRule="exact"/>
        <w:rPr>
          <w:rFonts w:ascii="宋体" w:hAnsi="宋体" w:cs="宋体"/>
          <w:b/>
          <w:sz w:val="32"/>
        </w:rPr>
      </w:pPr>
    </w:p>
    <w:p w14:paraId="4D57EEE1">
      <w:pPr>
        <w:pStyle w:val="3"/>
        <w:spacing w:line="360" w:lineRule="auto"/>
        <w:jc w:val="center"/>
        <w:rPr>
          <w:color w:val="000000"/>
        </w:rPr>
      </w:pPr>
      <w:bookmarkStart w:id="21" w:name="_Toc398107899"/>
    </w:p>
    <w:p w14:paraId="703F758F"/>
    <w:p w14:paraId="3E26FA5D">
      <w:pPr>
        <w:pStyle w:val="190"/>
        <w:ind w:firstLine="422"/>
      </w:pPr>
    </w:p>
    <w:bookmarkEnd w:id="21"/>
    <w:p w14:paraId="12408E4B">
      <w:pPr>
        <w:pStyle w:val="190"/>
        <w:ind w:firstLine="422"/>
      </w:pPr>
    </w:p>
    <w:p w14:paraId="6410FE9E">
      <w:pPr>
        <w:spacing w:line="360" w:lineRule="auto"/>
        <w:jc w:val="center"/>
        <w:rPr>
          <w:rFonts w:hint="eastAsia" w:ascii="仿宋" w:hAnsi="仿宋" w:eastAsia="仿宋" w:cs="仿宋"/>
          <w:bCs/>
          <w:sz w:val="52"/>
          <w:szCs w:val="52"/>
        </w:rPr>
      </w:pPr>
      <w:bookmarkStart w:id="22" w:name="_Toc398107898"/>
    </w:p>
    <w:p w14:paraId="3AE7E3F6">
      <w:pPr>
        <w:spacing w:line="360" w:lineRule="auto"/>
        <w:jc w:val="center"/>
        <w:rPr>
          <w:rFonts w:hint="eastAsia" w:ascii="仿宋" w:hAnsi="仿宋" w:eastAsia="仿宋" w:cs="仿宋"/>
          <w:bCs/>
          <w:sz w:val="48"/>
          <w:szCs w:val="48"/>
        </w:rPr>
      </w:pPr>
    </w:p>
    <w:p w14:paraId="74F720E3">
      <w:pPr>
        <w:spacing w:line="360" w:lineRule="auto"/>
        <w:jc w:val="center"/>
        <w:rPr>
          <w:rFonts w:hint="eastAsia" w:ascii="仿宋" w:hAnsi="仿宋" w:eastAsia="仿宋" w:cs="仿宋"/>
          <w:bCs/>
          <w:sz w:val="48"/>
          <w:szCs w:val="48"/>
        </w:rPr>
      </w:pPr>
    </w:p>
    <w:p w14:paraId="258E459C">
      <w:pPr>
        <w:pStyle w:val="3"/>
        <w:rPr>
          <w:rFonts w:hint="eastAsia" w:ascii="仿宋" w:hAnsi="仿宋" w:eastAsia="仿宋" w:cs="仿宋"/>
          <w:szCs w:val="32"/>
        </w:rPr>
      </w:pPr>
    </w:p>
    <w:p w14:paraId="0B44D853">
      <w:pPr>
        <w:rPr>
          <w:rFonts w:hint="eastAsia"/>
        </w:rPr>
      </w:pPr>
    </w:p>
    <w:p w14:paraId="07BEDF32">
      <w:pPr>
        <w:pStyle w:val="190"/>
        <w:ind w:firstLine="640"/>
        <w:rPr>
          <w:rFonts w:hint="eastAsia" w:ascii="仿宋" w:hAnsi="仿宋" w:eastAsia="仿宋" w:cs="仿宋"/>
          <w:sz w:val="32"/>
          <w:szCs w:val="32"/>
        </w:rPr>
      </w:pPr>
    </w:p>
    <w:p w14:paraId="07C1AB7E">
      <w:pPr>
        <w:rPr>
          <w:rFonts w:hint="eastAsia" w:ascii="仿宋" w:hAnsi="仿宋" w:eastAsia="仿宋" w:cs="仿宋"/>
          <w:sz w:val="32"/>
          <w:szCs w:val="32"/>
        </w:rPr>
      </w:pPr>
    </w:p>
    <w:p w14:paraId="60DD1EA7">
      <w:pPr>
        <w:pStyle w:val="4"/>
        <w:rPr>
          <w:rFonts w:hint="eastAsia"/>
        </w:rPr>
      </w:pPr>
    </w:p>
    <w:p w14:paraId="7FE7B611">
      <w:pPr>
        <w:rPr>
          <w:rFonts w:hint="eastAsia" w:ascii="仿宋" w:hAnsi="仿宋" w:eastAsia="仿宋" w:cs="仿宋"/>
        </w:rPr>
      </w:pPr>
    </w:p>
    <w:p w14:paraId="78B50292">
      <w:pPr>
        <w:spacing w:line="460" w:lineRule="exact"/>
        <w:jc w:val="center"/>
        <w:rPr>
          <w:rFonts w:hint="eastAsia" w:ascii="仿宋" w:hAnsi="仿宋" w:eastAsia="仿宋" w:cs="仿宋"/>
          <w:sz w:val="32"/>
          <w:szCs w:val="32"/>
        </w:rPr>
      </w:pPr>
      <w:r>
        <w:rPr>
          <w:rFonts w:hint="eastAsia" w:ascii="仿宋" w:hAnsi="仿宋" w:eastAsia="仿宋" w:cs="仿宋"/>
          <w:sz w:val="32"/>
          <w:szCs w:val="32"/>
        </w:rPr>
        <w:t>第一部分协议书</w:t>
      </w:r>
      <w:bookmarkStart w:id="23" w:name="_Toc398107920"/>
    </w:p>
    <w:p w14:paraId="2CE53B39">
      <w:pPr>
        <w:spacing w:line="360" w:lineRule="auto"/>
        <w:rPr>
          <w:rFonts w:hint="eastAsia"/>
          <w:color w:val="000000"/>
        </w:rPr>
      </w:pPr>
      <w:r>
        <w:rPr>
          <w:rFonts w:hint="eastAsia"/>
          <w:color w:val="000000"/>
        </w:rPr>
        <w:t>委托人（全称）：</w:t>
      </w:r>
    </w:p>
    <w:p w14:paraId="40A121A3">
      <w:pPr>
        <w:spacing w:line="360" w:lineRule="auto"/>
        <w:rPr>
          <w:rFonts w:hint="eastAsia"/>
          <w:color w:val="000000"/>
        </w:rPr>
      </w:pPr>
      <w:r>
        <w:rPr>
          <w:rFonts w:hint="eastAsia"/>
          <w:color w:val="000000"/>
        </w:rPr>
        <w:t>监理人（全称）：</w:t>
      </w:r>
    </w:p>
    <w:p w14:paraId="146F4BC9">
      <w:pPr>
        <w:spacing w:line="360" w:lineRule="auto"/>
        <w:rPr>
          <w:color w:val="000000"/>
        </w:rPr>
      </w:pPr>
      <w:r>
        <w:rPr>
          <w:rFonts w:hint="eastAsia"/>
          <w:color w:val="000000"/>
        </w:rPr>
        <w:t>根据《中华人民共和国民法典》、《中华人民共和国建筑法》及其他有关法律、法规，遵循平等、自愿、公平和诚信的原则，双方就下述工程委托监理与相关服务事项协商一致，订立本合同。</w:t>
      </w:r>
    </w:p>
    <w:p w14:paraId="43DFC0F6">
      <w:pPr>
        <w:spacing w:line="440" w:lineRule="exact"/>
        <w:ind w:firstLine="480" w:firstLineChars="200"/>
        <w:rPr>
          <w:rFonts w:ascii="宋体" w:hAnsi="宋体" w:eastAsia="宋体" w:cs="宋体"/>
          <w:sz w:val="24"/>
        </w:rPr>
      </w:pPr>
      <w:r>
        <w:rPr>
          <w:rFonts w:hint="eastAsia" w:ascii="宋体" w:hAnsi="宋体" w:eastAsia="宋体" w:cs="宋体"/>
          <w:sz w:val="24"/>
        </w:rPr>
        <w:t>一、工程概况</w:t>
      </w:r>
    </w:p>
    <w:p w14:paraId="06FEE17C">
      <w:pPr>
        <w:spacing w:line="440" w:lineRule="exact"/>
        <w:ind w:firstLine="480" w:firstLineChars="200"/>
        <w:rPr>
          <w:rFonts w:ascii="宋体" w:hAnsi="宋体" w:eastAsia="宋体" w:cs="宋体"/>
          <w:sz w:val="24"/>
        </w:rPr>
      </w:pPr>
      <w:r>
        <w:rPr>
          <w:rFonts w:hint="eastAsia" w:ascii="宋体" w:hAnsi="宋体" w:eastAsia="宋体" w:cs="宋体"/>
          <w:sz w:val="24"/>
        </w:rPr>
        <w:t>1. 工程名称：；</w:t>
      </w:r>
    </w:p>
    <w:p w14:paraId="0B68C90E">
      <w:pPr>
        <w:spacing w:line="440" w:lineRule="exact"/>
        <w:ind w:firstLine="480" w:firstLineChars="200"/>
        <w:rPr>
          <w:rFonts w:ascii="宋体" w:hAnsi="宋体" w:eastAsia="宋体" w:cs="宋体"/>
          <w:sz w:val="24"/>
        </w:rPr>
      </w:pPr>
      <w:r>
        <w:rPr>
          <w:rFonts w:hint="eastAsia" w:ascii="宋体" w:hAnsi="宋体" w:eastAsia="宋体" w:cs="宋体"/>
          <w:sz w:val="24"/>
        </w:rPr>
        <w:t>2. 工程地点：；</w:t>
      </w:r>
    </w:p>
    <w:p w14:paraId="4BAB54D0">
      <w:pPr>
        <w:spacing w:line="440" w:lineRule="exact"/>
        <w:ind w:firstLine="480" w:firstLineChars="200"/>
        <w:rPr>
          <w:rFonts w:ascii="宋体" w:hAnsi="宋体" w:eastAsia="宋体" w:cs="宋体"/>
          <w:sz w:val="24"/>
        </w:rPr>
      </w:pPr>
      <w:r>
        <w:rPr>
          <w:rFonts w:hint="eastAsia" w:ascii="宋体" w:hAnsi="宋体" w:eastAsia="宋体" w:cs="宋体"/>
          <w:sz w:val="24"/>
        </w:rPr>
        <w:t>3. 工程规模：；</w:t>
      </w:r>
    </w:p>
    <w:p w14:paraId="48F75D16">
      <w:pPr>
        <w:spacing w:line="440" w:lineRule="exact"/>
        <w:ind w:firstLine="480" w:firstLineChars="200"/>
        <w:rPr>
          <w:rFonts w:ascii="宋体" w:hAnsi="宋体" w:eastAsia="宋体" w:cs="宋体"/>
          <w:sz w:val="24"/>
        </w:rPr>
      </w:pPr>
      <w:r>
        <w:rPr>
          <w:rFonts w:hint="eastAsia" w:ascii="宋体" w:hAnsi="宋体" w:eastAsia="宋体" w:cs="宋体"/>
          <w:sz w:val="24"/>
        </w:rPr>
        <w:t>4. 工程概算投资额或建筑安装工程费：。</w:t>
      </w:r>
    </w:p>
    <w:p w14:paraId="4184F711">
      <w:pPr>
        <w:spacing w:line="440" w:lineRule="exact"/>
        <w:ind w:firstLine="480" w:firstLineChars="200"/>
        <w:rPr>
          <w:rFonts w:ascii="宋体" w:hAnsi="宋体" w:eastAsia="宋体" w:cs="宋体"/>
          <w:sz w:val="24"/>
        </w:rPr>
      </w:pPr>
      <w:r>
        <w:rPr>
          <w:rFonts w:hint="eastAsia" w:ascii="宋体" w:hAnsi="宋体" w:eastAsia="宋体" w:cs="宋体"/>
          <w:sz w:val="24"/>
        </w:rPr>
        <w:t>二、词语限定</w:t>
      </w:r>
    </w:p>
    <w:p w14:paraId="131F2C71">
      <w:pPr>
        <w:spacing w:line="440" w:lineRule="exact"/>
        <w:ind w:firstLine="480" w:firstLineChars="200"/>
        <w:rPr>
          <w:rFonts w:ascii="宋体" w:hAnsi="宋体" w:eastAsia="宋体" w:cs="宋体"/>
          <w:sz w:val="24"/>
        </w:rPr>
      </w:pPr>
      <w:r>
        <w:rPr>
          <w:rFonts w:hint="eastAsia" w:ascii="宋体" w:hAnsi="宋体" w:eastAsia="宋体" w:cs="宋体"/>
          <w:sz w:val="24"/>
        </w:rPr>
        <w:t>协议书中相关词语的含义与通用条件中的定义与解释相同。</w:t>
      </w:r>
    </w:p>
    <w:p w14:paraId="3254BA3C">
      <w:pPr>
        <w:spacing w:line="440" w:lineRule="exact"/>
        <w:ind w:firstLine="480" w:firstLineChars="200"/>
        <w:rPr>
          <w:rFonts w:ascii="宋体" w:hAnsi="宋体" w:eastAsia="宋体" w:cs="宋体"/>
          <w:sz w:val="24"/>
        </w:rPr>
      </w:pPr>
      <w:r>
        <w:rPr>
          <w:rFonts w:hint="eastAsia" w:ascii="宋体" w:hAnsi="宋体" w:eastAsia="宋体" w:cs="宋体"/>
          <w:sz w:val="24"/>
        </w:rPr>
        <w:t>三、组成本合同的文件</w:t>
      </w:r>
    </w:p>
    <w:p w14:paraId="561FB14A">
      <w:pPr>
        <w:spacing w:line="440" w:lineRule="exact"/>
        <w:ind w:firstLine="480" w:firstLineChars="200"/>
        <w:rPr>
          <w:rFonts w:ascii="宋体" w:hAnsi="宋体" w:eastAsia="宋体" w:cs="宋体"/>
          <w:sz w:val="24"/>
        </w:rPr>
      </w:pPr>
      <w:r>
        <w:rPr>
          <w:rFonts w:hint="eastAsia" w:ascii="宋体" w:hAnsi="宋体" w:eastAsia="宋体" w:cs="宋体"/>
          <w:sz w:val="24"/>
        </w:rPr>
        <w:t>1. 协议书；</w:t>
      </w:r>
    </w:p>
    <w:p w14:paraId="536B798D">
      <w:pPr>
        <w:spacing w:line="440" w:lineRule="exact"/>
        <w:ind w:firstLine="480" w:firstLineChars="200"/>
        <w:rPr>
          <w:rFonts w:ascii="宋体" w:hAnsi="宋体" w:eastAsia="宋体" w:cs="宋体"/>
          <w:sz w:val="24"/>
        </w:rPr>
      </w:pPr>
      <w:r>
        <w:rPr>
          <w:rFonts w:hint="eastAsia" w:ascii="宋体" w:hAnsi="宋体" w:eastAsia="宋体" w:cs="宋体"/>
          <w:sz w:val="24"/>
        </w:rPr>
        <w:t>2. 中标通知书（适用于招标工程）或委托书（适用于非招标工程）；</w:t>
      </w:r>
    </w:p>
    <w:p w14:paraId="12E77DAC">
      <w:pPr>
        <w:spacing w:line="440" w:lineRule="exact"/>
        <w:ind w:firstLine="480" w:firstLineChars="200"/>
        <w:rPr>
          <w:rFonts w:ascii="宋体" w:hAnsi="宋体" w:eastAsia="宋体" w:cs="宋体"/>
          <w:sz w:val="24"/>
        </w:rPr>
      </w:pPr>
      <w:r>
        <w:rPr>
          <w:rFonts w:hint="eastAsia" w:ascii="宋体" w:hAnsi="宋体" w:eastAsia="宋体" w:cs="宋体"/>
          <w:sz w:val="24"/>
        </w:rPr>
        <w:t>3. 投标文件（适用于招标工程）或监理与相关服务建议书（适用于非招标工程）；</w:t>
      </w:r>
    </w:p>
    <w:p w14:paraId="2ED4589B">
      <w:pPr>
        <w:spacing w:line="440" w:lineRule="exact"/>
        <w:ind w:firstLine="480" w:firstLineChars="200"/>
        <w:rPr>
          <w:rFonts w:ascii="宋体" w:hAnsi="宋体" w:eastAsia="宋体" w:cs="宋体"/>
          <w:sz w:val="24"/>
        </w:rPr>
      </w:pPr>
      <w:r>
        <w:rPr>
          <w:rFonts w:hint="eastAsia" w:ascii="宋体" w:hAnsi="宋体" w:eastAsia="宋体" w:cs="宋体"/>
          <w:sz w:val="24"/>
        </w:rPr>
        <w:t>4. 专用条件；</w:t>
      </w:r>
    </w:p>
    <w:p w14:paraId="496C481E">
      <w:pPr>
        <w:spacing w:line="440" w:lineRule="exact"/>
        <w:ind w:firstLine="480" w:firstLineChars="200"/>
        <w:rPr>
          <w:rFonts w:ascii="宋体" w:hAnsi="宋体" w:eastAsia="宋体" w:cs="宋体"/>
          <w:sz w:val="24"/>
        </w:rPr>
      </w:pPr>
      <w:r>
        <w:rPr>
          <w:rFonts w:hint="eastAsia" w:ascii="宋体" w:hAnsi="宋体" w:eastAsia="宋体" w:cs="宋体"/>
          <w:sz w:val="24"/>
        </w:rPr>
        <w:t>5. 通用条件；</w:t>
      </w:r>
    </w:p>
    <w:p w14:paraId="160D2BE5">
      <w:pPr>
        <w:spacing w:line="440" w:lineRule="exact"/>
        <w:ind w:firstLine="480" w:firstLineChars="200"/>
        <w:rPr>
          <w:rFonts w:ascii="宋体" w:hAnsi="宋体" w:eastAsia="宋体" w:cs="宋体"/>
          <w:sz w:val="24"/>
        </w:rPr>
      </w:pPr>
      <w:r>
        <w:rPr>
          <w:rFonts w:hint="eastAsia" w:ascii="宋体" w:hAnsi="宋体" w:eastAsia="宋体" w:cs="宋体"/>
          <w:sz w:val="24"/>
        </w:rPr>
        <w:t>6. 附录，即：</w:t>
      </w:r>
    </w:p>
    <w:p w14:paraId="424EB8FC">
      <w:pPr>
        <w:spacing w:line="440" w:lineRule="exact"/>
        <w:ind w:firstLine="480" w:firstLineChars="200"/>
        <w:rPr>
          <w:rFonts w:ascii="宋体" w:hAnsi="宋体" w:eastAsia="宋体" w:cs="宋体"/>
          <w:sz w:val="24"/>
        </w:rPr>
      </w:pPr>
      <w:r>
        <w:rPr>
          <w:rFonts w:hint="eastAsia" w:ascii="宋体" w:hAnsi="宋体" w:eastAsia="宋体" w:cs="宋体"/>
          <w:sz w:val="24"/>
        </w:rPr>
        <w:t>附录A  相关服务的范围和内容</w:t>
      </w:r>
    </w:p>
    <w:p w14:paraId="40459327">
      <w:pPr>
        <w:spacing w:line="440" w:lineRule="exact"/>
        <w:ind w:firstLine="480" w:firstLineChars="200"/>
        <w:rPr>
          <w:rFonts w:ascii="宋体" w:hAnsi="宋体" w:eastAsia="宋体" w:cs="宋体"/>
          <w:sz w:val="24"/>
        </w:rPr>
      </w:pPr>
      <w:r>
        <w:rPr>
          <w:rFonts w:hint="eastAsia" w:ascii="宋体" w:hAnsi="宋体" w:eastAsia="宋体" w:cs="宋体"/>
          <w:sz w:val="24"/>
        </w:rPr>
        <w:t>附录B  委托人派遣的人员和提供的房屋、资料、设备</w:t>
      </w:r>
    </w:p>
    <w:p w14:paraId="16CF4CAB">
      <w:pPr>
        <w:spacing w:line="440" w:lineRule="exact"/>
        <w:ind w:firstLine="480" w:firstLineChars="200"/>
        <w:rPr>
          <w:rFonts w:ascii="宋体" w:hAnsi="宋体" w:eastAsia="宋体" w:cs="宋体"/>
          <w:sz w:val="24"/>
        </w:rPr>
      </w:pPr>
      <w:r>
        <w:rPr>
          <w:rFonts w:hint="eastAsia" w:ascii="宋体" w:hAnsi="宋体" w:eastAsia="宋体" w:cs="宋体"/>
          <w:sz w:val="24"/>
        </w:rPr>
        <w:t>本合同签订后，双方依法签订的补充协议也是本合同文件的组成部分。</w:t>
      </w:r>
    </w:p>
    <w:p w14:paraId="1E6DDEE4">
      <w:pPr>
        <w:spacing w:line="440" w:lineRule="exact"/>
        <w:ind w:firstLine="480" w:firstLineChars="200"/>
        <w:rPr>
          <w:rFonts w:ascii="宋体" w:hAnsi="宋体" w:eastAsia="宋体" w:cs="宋体"/>
          <w:sz w:val="24"/>
        </w:rPr>
      </w:pPr>
      <w:r>
        <w:rPr>
          <w:rFonts w:hint="eastAsia" w:ascii="宋体" w:hAnsi="宋体" w:eastAsia="宋体" w:cs="宋体"/>
          <w:sz w:val="24"/>
        </w:rPr>
        <w:t>四、总监理工程师</w:t>
      </w:r>
    </w:p>
    <w:p w14:paraId="60C3F492">
      <w:pPr>
        <w:spacing w:line="440" w:lineRule="exact"/>
        <w:ind w:firstLine="480" w:firstLineChars="200"/>
        <w:rPr>
          <w:rFonts w:ascii="宋体" w:hAnsi="宋体" w:eastAsia="宋体" w:cs="宋体"/>
          <w:sz w:val="24"/>
        </w:rPr>
      </w:pPr>
      <w:r>
        <w:rPr>
          <w:rFonts w:hint="eastAsia" w:ascii="宋体" w:hAnsi="宋体" w:eastAsia="宋体" w:cs="宋体"/>
          <w:sz w:val="24"/>
        </w:rPr>
        <w:t>总监理工程师姓名：，身份证号码：，注册号：。</w:t>
      </w:r>
    </w:p>
    <w:p w14:paraId="39B7D8C3">
      <w:pPr>
        <w:spacing w:line="440" w:lineRule="exact"/>
        <w:ind w:firstLine="480" w:firstLineChars="200"/>
        <w:rPr>
          <w:rFonts w:ascii="宋体" w:hAnsi="宋体" w:eastAsia="宋体" w:cs="宋体"/>
          <w:sz w:val="24"/>
        </w:rPr>
      </w:pPr>
      <w:r>
        <w:rPr>
          <w:rFonts w:hint="eastAsia" w:ascii="宋体" w:hAnsi="宋体" w:eastAsia="宋体" w:cs="宋体"/>
          <w:sz w:val="24"/>
        </w:rPr>
        <w:t>五、签约酬金</w:t>
      </w:r>
    </w:p>
    <w:p w14:paraId="72A04D66">
      <w:pPr>
        <w:spacing w:line="440" w:lineRule="exact"/>
        <w:ind w:firstLine="480" w:firstLineChars="200"/>
        <w:rPr>
          <w:rFonts w:ascii="宋体" w:hAnsi="宋体" w:eastAsia="宋体" w:cs="宋体"/>
          <w:sz w:val="24"/>
        </w:rPr>
      </w:pPr>
      <w:r>
        <w:rPr>
          <w:rFonts w:hint="eastAsia" w:ascii="宋体" w:hAnsi="宋体" w:eastAsia="宋体" w:cs="宋体"/>
          <w:sz w:val="24"/>
        </w:rPr>
        <w:t>签约酬金（大写）：（¥）</w:t>
      </w:r>
    </w:p>
    <w:p w14:paraId="3C42D753">
      <w:pPr>
        <w:spacing w:line="440" w:lineRule="exact"/>
        <w:ind w:firstLine="480" w:firstLineChars="200"/>
        <w:rPr>
          <w:rFonts w:ascii="宋体" w:hAnsi="宋体" w:eastAsia="宋体" w:cs="宋体"/>
          <w:sz w:val="24"/>
        </w:rPr>
      </w:pPr>
      <w:r>
        <w:rPr>
          <w:rFonts w:hint="eastAsia" w:ascii="宋体" w:hAnsi="宋体" w:eastAsia="宋体" w:cs="宋体"/>
          <w:sz w:val="24"/>
        </w:rPr>
        <w:t>包括：</w:t>
      </w:r>
    </w:p>
    <w:p w14:paraId="7832A3E3">
      <w:pPr>
        <w:spacing w:line="440" w:lineRule="exact"/>
        <w:ind w:firstLine="480" w:firstLineChars="200"/>
        <w:rPr>
          <w:rFonts w:ascii="宋体" w:hAnsi="宋体" w:eastAsia="宋体" w:cs="宋体"/>
          <w:sz w:val="24"/>
        </w:rPr>
      </w:pPr>
      <w:r>
        <w:rPr>
          <w:rFonts w:hint="eastAsia" w:ascii="宋体" w:hAnsi="宋体" w:eastAsia="宋体" w:cs="宋体"/>
          <w:sz w:val="24"/>
        </w:rPr>
        <w:t>1. 监理酬金：。</w:t>
      </w:r>
    </w:p>
    <w:p w14:paraId="60878E6D">
      <w:pPr>
        <w:spacing w:line="440" w:lineRule="exact"/>
        <w:ind w:firstLine="480" w:firstLineChars="200"/>
        <w:rPr>
          <w:rFonts w:ascii="宋体" w:hAnsi="宋体" w:eastAsia="宋体" w:cs="宋体"/>
          <w:sz w:val="24"/>
        </w:rPr>
      </w:pPr>
      <w:r>
        <w:rPr>
          <w:rFonts w:hint="eastAsia" w:ascii="宋体" w:hAnsi="宋体" w:eastAsia="宋体" w:cs="宋体"/>
          <w:sz w:val="24"/>
        </w:rPr>
        <w:t>2. 相关服务酬金：。</w:t>
      </w:r>
    </w:p>
    <w:p w14:paraId="508FA2B3">
      <w:pPr>
        <w:spacing w:line="440" w:lineRule="exact"/>
        <w:ind w:firstLine="480" w:firstLineChars="200"/>
        <w:rPr>
          <w:rFonts w:ascii="宋体" w:hAnsi="宋体" w:eastAsia="宋体" w:cs="宋体"/>
          <w:sz w:val="24"/>
        </w:rPr>
      </w:pPr>
      <w:r>
        <w:rPr>
          <w:rFonts w:hint="eastAsia" w:ascii="宋体" w:hAnsi="宋体" w:eastAsia="宋体" w:cs="宋体"/>
          <w:sz w:val="24"/>
        </w:rPr>
        <w:t>其中：</w:t>
      </w:r>
    </w:p>
    <w:p w14:paraId="5191C952">
      <w:pPr>
        <w:spacing w:line="440" w:lineRule="exact"/>
        <w:ind w:firstLine="480" w:firstLineChars="200"/>
        <w:rPr>
          <w:rFonts w:ascii="宋体" w:hAnsi="宋体" w:eastAsia="宋体" w:cs="宋体"/>
          <w:sz w:val="24"/>
        </w:rPr>
      </w:pPr>
      <w:r>
        <w:rPr>
          <w:rFonts w:hint="eastAsia" w:ascii="宋体" w:hAnsi="宋体" w:eastAsia="宋体" w:cs="宋体"/>
          <w:sz w:val="24"/>
        </w:rPr>
        <w:t>（1）勘察阶段服务酬金： 。</w:t>
      </w:r>
    </w:p>
    <w:p w14:paraId="00F1E1B0">
      <w:pPr>
        <w:spacing w:line="440" w:lineRule="exact"/>
        <w:ind w:firstLine="480" w:firstLineChars="200"/>
        <w:rPr>
          <w:rFonts w:ascii="宋体" w:hAnsi="宋体" w:eastAsia="宋体" w:cs="宋体"/>
          <w:sz w:val="24"/>
        </w:rPr>
      </w:pPr>
      <w:r>
        <w:rPr>
          <w:rFonts w:hint="eastAsia" w:ascii="宋体" w:hAnsi="宋体" w:eastAsia="宋体" w:cs="宋体"/>
          <w:sz w:val="24"/>
        </w:rPr>
        <w:t>（2）设计阶段服务酬金： 。</w:t>
      </w:r>
    </w:p>
    <w:p w14:paraId="633B3B85">
      <w:pPr>
        <w:spacing w:line="440" w:lineRule="exact"/>
        <w:ind w:firstLine="480" w:firstLineChars="200"/>
        <w:rPr>
          <w:rFonts w:ascii="宋体" w:hAnsi="宋体" w:eastAsia="宋体" w:cs="宋体"/>
          <w:sz w:val="24"/>
        </w:rPr>
      </w:pPr>
      <w:r>
        <w:rPr>
          <w:rFonts w:hint="eastAsia" w:ascii="宋体" w:hAnsi="宋体" w:eastAsia="宋体" w:cs="宋体"/>
          <w:sz w:val="24"/>
        </w:rPr>
        <w:t>（3）保修阶段服务酬金： 。</w:t>
      </w:r>
    </w:p>
    <w:p w14:paraId="3F41777E">
      <w:pPr>
        <w:spacing w:line="440" w:lineRule="exact"/>
        <w:ind w:firstLine="480" w:firstLineChars="200"/>
        <w:rPr>
          <w:rFonts w:ascii="宋体" w:hAnsi="宋体" w:eastAsia="宋体" w:cs="宋体"/>
          <w:sz w:val="24"/>
        </w:rPr>
      </w:pPr>
      <w:r>
        <w:rPr>
          <w:rFonts w:hint="eastAsia" w:ascii="宋体" w:hAnsi="宋体" w:eastAsia="宋体" w:cs="宋体"/>
          <w:sz w:val="24"/>
        </w:rPr>
        <w:t>（4）其他相关服务酬金： 。</w:t>
      </w:r>
    </w:p>
    <w:p w14:paraId="6BD6A8F4">
      <w:pPr>
        <w:spacing w:line="440" w:lineRule="exact"/>
        <w:ind w:firstLine="480" w:firstLineChars="200"/>
        <w:rPr>
          <w:rFonts w:ascii="宋体" w:hAnsi="宋体" w:eastAsia="宋体" w:cs="宋体"/>
          <w:sz w:val="24"/>
        </w:rPr>
      </w:pPr>
      <w:r>
        <w:rPr>
          <w:rFonts w:hint="eastAsia" w:ascii="宋体" w:hAnsi="宋体" w:eastAsia="宋体" w:cs="宋体"/>
          <w:sz w:val="24"/>
        </w:rPr>
        <w:t>六、期限</w:t>
      </w:r>
    </w:p>
    <w:p w14:paraId="103A42F6">
      <w:pPr>
        <w:spacing w:line="440" w:lineRule="exact"/>
        <w:ind w:firstLine="480" w:firstLineChars="200"/>
        <w:rPr>
          <w:rFonts w:ascii="宋体" w:hAnsi="宋体" w:eastAsia="宋体" w:cs="宋体"/>
          <w:sz w:val="24"/>
        </w:rPr>
      </w:pPr>
      <w:r>
        <w:rPr>
          <w:rFonts w:hint="eastAsia" w:ascii="宋体" w:hAnsi="宋体" w:eastAsia="宋体" w:cs="宋体"/>
          <w:sz w:val="24"/>
        </w:rPr>
        <w:t>1. 监理期限：</w:t>
      </w:r>
    </w:p>
    <w:p w14:paraId="237CD9BE">
      <w:pPr>
        <w:spacing w:line="440" w:lineRule="exact"/>
        <w:ind w:firstLine="480" w:firstLineChars="200"/>
        <w:rPr>
          <w:rFonts w:ascii="宋体" w:hAnsi="宋体" w:eastAsia="宋体" w:cs="宋体"/>
          <w:sz w:val="24"/>
        </w:rPr>
      </w:pPr>
      <w:r>
        <w:rPr>
          <w:rFonts w:hint="eastAsia" w:ascii="宋体" w:hAnsi="宋体" w:eastAsia="宋体" w:cs="宋体"/>
          <w:sz w:val="24"/>
        </w:rPr>
        <w:t>自       年   月   日始，至       年   月   日止。</w:t>
      </w:r>
    </w:p>
    <w:p w14:paraId="06BCB146">
      <w:pPr>
        <w:spacing w:line="440" w:lineRule="exact"/>
        <w:ind w:firstLine="480" w:firstLineChars="200"/>
        <w:rPr>
          <w:rFonts w:ascii="宋体" w:hAnsi="宋体" w:eastAsia="宋体" w:cs="宋体"/>
          <w:sz w:val="24"/>
        </w:rPr>
      </w:pPr>
      <w:r>
        <w:rPr>
          <w:rFonts w:hint="eastAsia" w:ascii="宋体" w:hAnsi="宋体" w:eastAsia="宋体" w:cs="宋体"/>
          <w:sz w:val="24"/>
        </w:rPr>
        <w:t>2. 相关服务期限：</w:t>
      </w:r>
    </w:p>
    <w:p w14:paraId="74F88290">
      <w:pPr>
        <w:spacing w:line="440" w:lineRule="exact"/>
        <w:ind w:firstLine="480" w:firstLineChars="200"/>
        <w:rPr>
          <w:rFonts w:ascii="宋体" w:hAnsi="宋体" w:eastAsia="宋体" w:cs="宋体"/>
          <w:sz w:val="24"/>
        </w:rPr>
      </w:pPr>
      <w:r>
        <w:rPr>
          <w:rFonts w:hint="eastAsia" w:ascii="宋体" w:hAnsi="宋体" w:eastAsia="宋体" w:cs="宋体"/>
          <w:sz w:val="24"/>
        </w:rPr>
        <w:t>（1）勘察阶段服务期限自     年   月   日始，至     年   月   日止。</w:t>
      </w:r>
    </w:p>
    <w:p w14:paraId="4371966D">
      <w:pPr>
        <w:spacing w:line="440" w:lineRule="exact"/>
        <w:ind w:firstLine="480" w:firstLineChars="200"/>
        <w:rPr>
          <w:rFonts w:ascii="宋体" w:hAnsi="宋体" w:eastAsia="宋体" w:cs="宋体"/>
          <w:sz w:val="24"/>
        </w:rPr>
      </w:pPr>
      <w:r>
        <w:rPr>
          <w:rFonts w:hint="eastAsia" w:ascii="宋体" w:hAnsi="宋体" w:eastAsia="宋体" w:cs="宋体"/>
          <w:sz w:val="24"/>
        </w:rPr>
        <w:t>（2）设计阶段服务期限自     年   月   日始，至     年   月   日止。</w:t>
      </w:r>
    </w:p>
    <w:p w14:paraId="177F5CFD">
      <w:pPr>
        <w:spacing w:line="440" w:lineRule="exact"/>
        <w:ind w:firstLine="480" w:firstLineChars="200"/>
        <w:rPr>
          <w:rFonts w:ascii="宋体" w:hAnsi="宋体" w:eastAsia="宋体" w:cs="宋体"/>
          <w:sz w:val="24"/>
        </w:rPr>
      </w:pPr>
      <w:r>
        <w:rPr>
          <w:rFonts w:hint="eastAsia" w:ascii="宋体" w:hAnsi="宋体" w:eastAsia="宋体" w:cs="宋体"/>
          <w:sz w:val="24"/>
        </w:rPr>
        <w:t>（3）保修阶段服务期限自      年   月   日始，至      年   月   日止。</w:t>
      </w:r>
    </w:p>
    <w:p w14:paraId="29DCBFFD">
      <w:pPr>
        <w:spacing w:line="440" w:lineRule="exact"/>
        <w:ind w:firstLine="480" w:firstLineChars="200"/>
        <w:rPr>
          <w:rFonts w:ascii="宋体" w:hAnsi="宋体" w:eastAsia="宋体" w:cs="宋体"/>
          <w:sz w:val="24"/>
        </w:rPr>
      </w:pPr>
      <w:r>
        <w:rPr>
          <w:rFonts w:hint="eastAsia" w:ascii="宋体" w:hAnsi="宋体" w:eastAsia="宋体" w:cs="宋体"/>
          <w:sz w:val="24"/>
        </w:rPr>
        <w:t>（4）其他相关服务期限自      年   月   日始，至     年   月   日止。</w:t>
      </w:r>
    </w:p>
    <w:p w14:paraId="6507D834">
      <w:pPr>
        <w:spacing w:line="440" w:lineRule="exact"/>
        <w:ind w:firstLine="480" w:firstLineChars="200"/>
        <w:rPr>
          <w:rFonts w:ascii="宋体" w:hAnsi="宋体" w:eastAsia="宋体" w:cs="宋体"/>
          <w:sz w:val="24"/>
        </w:rPr>
      </w:pPr>
      <w:r>
        <w:rPr>
          <w:rFonts w:hint="eastAsia" w:ascii="宋体" w:hAnsi="宋体" w:eastAsia="宋体" w:cs="宋体"/>
          <w:sz w:val="24"/>
        </w:rPr>
        <w:t>七、双方承诺</w:t>
      </w:r>
    </w:p>
    <w:p w14:paraId="7F3C3CBC">
      <w:pPr>
        <w:spacing w:line="440" w:lineRule="exact"/>
        <w:ind w:firstLine="480" w:firstLineChars="200"/>
        <w:rPr>
          <w:rFonts w:ascii="宋体" w:hAnsi="宋体" w:eastAsia="宋体" w:cs="宋体"/>
          <w:sz w:val="24"/>
        </w:rPr>
      </w:pPr>
      <w:r>
        <w:rPr>
          <w:rFonts w:hint="eastAsia" w:ascii="宋体" w:hAnsi="宋体" w:eastAsia="宋体" w:cs="宋体"/>
          <w:sz w:val="24"/>
        </w:rPr>
        <w:t>1. 监理人向委托人承诺，按照本合同约定提供监理与相关服务。</w:t>
      </w:r>
    </w:p>
    <w:p w14:paraId="26985C7F">
      <w:pPr>
        <w:spacing w:line="440" w:lineRule="exact"/>
        <w:ind w:firstLine="480" w:firstLineChars="200"/>
        <w:rPr>
          <w:rFonts w:ascii="宋体" w:hAnsi="宋体" w:eastAsia="宋体" w:cs="宋体"/>
          <w:sz w:val="24"/>
        </w:rPr>
      </w:pPr>
      <w:r>
        <w:rPr>
          <w:rFonts w:hint="eastAsia" w:ascii="宋体" w:hAnsi="宋体" w:eastAsia="宋体" w:cs="宋体"/>
          <w:sz w:val="24"/>
        </w:rPr>
        <w:t>2. 委托人向监理人承诺，按照本合同约定派遣相应的人员，提供房屋、资料、设备，并按本合同约定支付酬金。</w:t>
      </w:r>
    </w:p>
    <w:p w14:paraId="23BE3A73">
      <w:pPr>
        <w:spacing w:line="440" w:lineRule="exact"/>
        <w:ind w:firstLine="480" w:firstLineChars="200"/>
        <w:rPr>
          <w:rFonts w:ascii="宋体" w:hAnsi="宋体" w:eastAsia="宋体" w:cs="宋体"/>
          <w:sz w:val="24"/>
        </w:rPr>
      </w:pPr>
      <w:r>
        <w:rPr>
          <w:rFonts w:hint="eastAsia" w:ascii="宋体" w:hAnsi="宋体" w:eastAsia="宋体" w:cs="宋体"/>
          <w:sz w:val="24"/>
        </w:rPr>
        <w:t>八、合同订立</w:t>
      </w:r>
    </w:p>
    <w:p w14:paraId="1876EC14">
      <w:pPr>
        <w:spacing w:line="440" w:lineRule="exact"/>
        <w:ind w:firstLine="480" w:firstLineChars="200"/>
        <w:rPr>
          <w:rFonts w:ascii="宋体" w:hAnsi="宋体" w:eastAsia="宋体" w:cs="宋体"/>
          <w:sz w:val="24"/>
        </w:rPr>
      </w:pPr>
      <w:r>
        <w:rPr>
          <w:rFonts w:hint="eastAsia" w:ascii="宋体" w:hAnsi="宋体" w:eastAsia="宋体" w:cs="宋体"/>
          <w:sz w:val="24"/>
        </w:rPr>
        <w:t>1. 订立时间：          年       月      日。</w:t>
      </w:r>
    </w:p>
    <w:p w14:paraId="67208AF2">
      <w:pPr>
        <w:spacing w:line="440" w:lineRule="exact"/>
        <w:ind w:firstLine="480" w:firstLineChars="200"/>
        <w:rPr>
          <w:rFonts w:ascii="宋体" w:hAnsi="宋体" w:eastAsia="宋体" w:cs="宋体"/>
          <w:sz w:val="24"/>
        </w:rPr>
      </w:pPr>
      <w:r>
        <w:rPr>
          <w:rFonts w:hint="eastAsia" w:ascii="宋体" w:hAnsi="宋体" w:eastAsia="宋体" w:cs="宋体"/>
          <w:sz w:val="24"/>
        </w:rPr>
        <w:t>2. 订立地点：                                 。</w:t>
      </w:r>
    </w:p>
    <w:p w14:paraId="4A75B917">
      <w:pPr>
        <w:spacing w:line="440" w:lineRule="exact"/>
        <w:ind w:firstLine="480" w:firstLineChars="200"/>
        <w:rPr>
          <w:rFonts w:ascii="宋体" w:hAnsi="宋体" w:eastAsia="宋体" w:cs="宋体"/>
          <w:sz w:val="24"/>
        </w:rPr>
      </w:pPr>
      <w:r>
        <w:rPr>
          <w:rFonts w:hint="eastAsia" w:ascii="宋体" w:hAnsi="宋体" w:eastAsia="宋体" w:cs="宋体"/>
          <w:sz w:val="24"/>
        </w:rPr>
        <w:t>3. 本合同一式    份，具有同等法律效力，双方各执     份。</w:t>
      </w:r>
    </w:p>
    <w:p w14:paraId="6612D1EE">
      <w:pPr>
        <w:spacing w:line="440" w:lineRule="exact"/>
        <w:ind w:firstLine="480" w:firstLineChars="200"/>
        <w:rPr>
          <w:rFonts w:ascii="宋体" w:hAnsi="宋体" w:eastAsia="宋体" w:cs="宋体"/>
          <w:sz w:val="24"/>
        </w:rPr>
      </w:pPr>
    </w:p>
    <w:p w14:paraId="1DA2B8BD">
      <w:pPr>
        <w:spacing w:line="440" w:lineRule="exact"/>
        <w:ind w:firstLine="480" w:firstLineChars="200"/>
        <w:rPr>
          <w:rFonts w:ascii="宋体" w:hAnsi="宋体" w:eastAsia="宋体" w:cs="宋体"/>
          <w:sz w:val="24"/>
        </w:rPr>
      </w:pPr>
      <w:r>
        <w:rPr>
          <w:rFonts w:hint="eastAsia" w:ascii="宋体" w:hAnsi="宋体" w:eastAsia="宋体" w:cs="宋体"/>
          <w:sz w:val="24"/>
        </w:rPr>
        <w:t xml:space="preserve">委托人：   （盖章）        监理人：   （盖章）    </w:t>
      </w:r>
    </w:p>
    <w:p w14:paraId="078A0D8B">
      <w:pPr>
        <w:spacing w:line="440" w:lineRule="exact"/>
        <w:ind w:firstLine="480" w:firstLineChars="200"/>
        <w:rPr>
          <w:rFonts w:ascii="宋体" w:hAnsi="宋体" w:eastAsia="宋体" w:cs="宋体"/>
          <w:sz w:val="24"/>
        </w:rPr>
      </w:pPr>
      <w:r>
        <w:rPr>
          <w:rFonts w:hint="eastAsia" w:ascii="宋体" w:hAnsi="宋体" w:eastAsia="宋体" w:cs="宋体"/>
          <w:sz w:val="24"/>
        </w:rPr>
        <w:t xml:space="preserve">住所：                      住所：                       </w:t>
      </w:r>
    </w:p>
    <w:p w14:paraId="41EA4A03">
      <w:pPr>
        <w:spacing w:line="440" w:lineRule="exact"/>
        <w:ind w:firstLine="480" w:firstLineChars="200"/>
        <w:rPr>
          <w:rFonts w:ascii="宋体" w:hAnsi="宋体" w:eastAsia="宋体" w:cs="宋体"/>
          <w:sz w:val="24"/>
        </w:rPr>
      </w:pPr>
      <w:r>
        <w:rPr>
          <w:rFonts w:hint="eastAsia" w:ascii="宋体" w:hAnsi="宋体" w:eastAsia="宋体" w:cs="宋体"/>
          <w:sz w:val="24"/>
        </w:rPr>
        <w:t xml:space="preserve">邮政编码：                  邮政编码：                  </w:t>
      </w:r>
    </w:p>
    <w:p w14:paraId="7FA215A1">
      <w:pPr>
        <w:spacing w:line="440" w:lineRule="exact"/>
        <w:ind w:firstLine="480" w:firstLineChars="200"/>
        <w:rPr>
          <w:rFonts w:ascii="宋体" w:hAnsi="宋体" w:eastAsia="宋体" w:cs="宋体"/>
          <w:sz w:val="24"/>
        </w:rPr>
      </w:pPr>
      <w:r>
        <w:rPr>
          <w:rFonts w:hint="eastAsia" w:ascii="宋体" w:hAnsi="宋体" w:eastAsia="宋体" w:cs="宋体"/>
          <w:sz w:val="24"/>
        </w:rPr>
        <w:t>法定代表人或其授权       法定代表人或其授权</w:t>
      </w:r>
    </w:p>
    <w:p w14:paraId="493065FE">
      <w:pPr>
        <w:spacing w:line="440" w:lineRule="exact"/>
        <w:ind w:firstLine="480" w:firstLineChars="200"/>
        <w:rPr>
          <w:rFonts w:ascii="宋体" w:hAnsi="宋体" w:eastAsia="宋体" w:cs="宋体"/>
          <w:sz w:val="24"/>
        </w:rPr>
      </w:pPr>
      <w:r>
        <w:rPr>
          <w:rFonts w:hint="eastAsia" w:ascii="宋体" w:hAnsi="宋体" w:eastAsia="宋体" w:cs="宋体"/>
          <w:sz w:val="24"/>
        </w:rPr>
        <w:t xml:space="preserve">的代理人：（签字）        的代理人：（签字）          </w:t>
      </w:r>
    </w:p>
    <w:p w14:paraId="0D6784B2">
      <w:pPr>
        <w:spacing w:line="440" w:lineRule="exact"/>
        <w:ind w:firstLine="480" w:firstLineChars="200"/>
        <w:rPr>
          <w:rFonts w:ascii="宋体" w:hAnsi="宋体" w:eastAsia="宋体" w:cs="宋体"/>
          <w:sz w:val="24"/>
        </w:rPr>
      </w:pPr>
      <w:r>
        <w:rPr>
          <w:rFonts w:hint="eastAsia" w:ascii="宋体" w:hAnsi="宋体" w:eastAsia="宋体" w:cs="宋体"/>
          <w:sz w:val="24"/>
        </w:rPr>
        <w:t xml:space="preserve">开户银行：                    开户银行：                  </w:t>
      </w:r>
    </w:p>
    <w:p w14:paraId="72BBB183">
      <w:pPr>
        <w:spacing w:line="440" w:lineRule="exact"/>
        <w:ind w:firstLine="480" w:firstLineChars="200"/>
        <w:rPr>
          <w:rFonts w:ascii="宋体" w:hAnsi="宋体" w:eastAsia="宋体" w:cs="宋体"/>
          <w:sz w:val="24"/>
        </w:rPr>
      </w:pPr>
      <w:r>
        <w:rPr>
          <w:rFonts w:hint="eastAsia" w:ascii="宋体" w:hAnsi="宋体" w:eastAsia="宋体" w:cs="宋体"/>
          <w:sz w:val="24"/>
        </w:rPr>
        <w:t xml:space="preserve">账号：                         账号：                         </w:t>
      </w:r>
    </w:p>
    <w:p w14:paraId="67789176">
      <w:pPr>
        <w:spacing w:line="440" w:lineRule="exact"/>
        <w:ind w:firstLine="480" w:firstLineChars="200"/>
        <w:rPr>
          <w:rFonts w:ascii="宋体" w:hAnsi="宋体" w:eastAsia="宋体" w:cs="宋体"/>
          <w:sz w:val="24"/>
        </w:rPr>
      </w:pPr>
      <w:r>
        <w:rPr>
          <w:rFonts w:hint="eastAsia" w:ascii="宋体" w:hAnsi="宋体" w:eastAsia="宋体" w:cs="宋体"/>
          <w:sz w:val="24"/>
        </w:rPr>
        <w:t xml:space="preserve">电话：                         电话：                       </w:t>
      </w:r>
    </w:p>
    <w:p w14:paraId="5A22F59F">
      <w:pPr>
        <w:spacing w:line="440" w:lineRule="exact"/>
        <w:ind w:firstLine="480" w:firstLineChars="200"/>
        <w:rPr>
          <w:rFonts w:ascii="宋体" w:hAnsi="宋体" w:eastAsia="宋体" w:cs="宋体"/>
          <w:sz w:val="24"/>
        </w:rPr>
      </w:pPr>
      <w:r>
        <w:rPr>
          <w:rFonts w:hint="eastAsia" w:ascii="宋体" w:hAnsi="宋体" w:eastAsia="宋体" w:cs="宋体"/>
          <w:sz w:val="24"/>
        </w:rPr>
        <w:t xml:space="preserve">传真：                         传真：                       </w:t>
      </w:r>
    </w:p>
    <w:p w14:paraId="52B8355C">
      <w:pPr>
        <w:spacing w:line="360" w:lineRule="auto"/>
        <w:ind w:firstLine="420"/>
        <w:rPr>
          <w:rFonts w:hint="eastAsia" w:ascii="仿宋" w:hAnsi="仿宋" w:eastAsia="仿宋" w:cs="仿宋"/>
        </w:rPr>
      </w:pPr>
      <w:r>
        <w:rPr>
          <w:rFonts w:hint="eastAsia" w:ascii="宋体" w:hAnsi="宋体" w:eastAsia="宋体" w:cs="宋体"/>
          <w:sz w:val="24"/>
        </w:rPr>
        <w:t>电子邮箱：                    电子邮箱：</w:t>
      </w:r>
    </w:p>
    <w:p w14:paraId="6CDEDEE5">
      <w:pPr>
        <w:tabs>
          <w:tab w:val="left" w:pos="3120"/>
        </w:tabs>
        <w:spacing w:line="360" w:lineRule="auto"/>
        <w:ind w:firstLine="420"/>
        <w:jc w:val="center"/>
        <w:rPr>
          <w:rFonts w:hint="eastAsia" w:ascii="仿宋" w:hAnsi="仿宋" w:eastAsia="仿宋" w:cs="仿宋"/>
          <w:bCs/>
          <w:szCs w:val="21"/>
        </w:rPr>
      </w:pPr>
    </w:p>
    <w:p w14:paraId="5F665FC4">
      <w:pPr>
        <w:pStyle w:val="3"/>
        <w:spacing w:line="360" w:lineRule="auto"/>
        <w:ind w:firstLine="640"/>
        <w:jc w:val="center"/>
        <w:rPr>
          <w:rFonts w:hint="eastAsia" w:ascii="仿宋" w:hAnsi="仿宋" w:eastAsia="仿宋" w:cs="仿宋"/>
        </w:rPr>
      </w:pPr>
      <w:bookmarkStart w:id="24" w:name="_Toc398107900"/>
      <w:r>
        <w:rPr>
          <w:rFonts w:hint="eastAsia" w:ascii="仿宋" w:hAnsi="仿宋" w:eastAsia="仿宋" w:cs="仿宋"/>
        </w:rPr>
        <w:t>第二部分通用条件</w:t>
      </w:r>
      <w:bookmarkEnd w:id="24"/>
    </w:p>
    <w:p w14:paraId="70DED1C4">
      <w:pPr>
        <w:spacing w:line="276" w:lineRule="auto"/>
        <w:ind w:firstLine="422"/>
        <w:rPr>
          <w:rFonts w:hint="eastAsia" w:ascii="仿宋" w:hAnsi="仿宋" w:eastAsia="仿宋" w:cs="仿宋"/>
          <w:b/>
        </w:rPr>
      </w:pPr>
      <w:bookmarkStart w:id="25" w:name="_Toc398107901"/>
      <w:r>
        <w:rPr>
          <w:rFonts w:hint="eastAsia" w:ascii="仿宋" w:hAnsi="仿宋" w:eastAsia="仿宋" w:cs="仿宋"/>
          <w:b/>
        </w:rPr>
        <w:t>1.定义与解释</w:t>
      </w:r>
      <w:bookmarkEnd w:id="25"/>
    </w:p>
    <w:p w14:paraId="3350D1B3">
      <w:pPr>
        <w:spacing w:line="276" w:lineRule="auto"/>
        <w:ind w:left="210"/>
        <w:rPr>
          <w:rFonts w:hint="eastAsia" w:ascii="仿宋" w:hAnsi="仿宋" w:eastAsia="仿宋" w:cs="仿宋"/>
          <w:bCs/>
          <w:szCs w:val="21"/>
        </w:rPr>
      </w:pPr>
      <w:r>
        <w:rPr>
          <w:rFonts w:hint="eastAsia" w:ascii="仿宋" w:hAnsi="仿宋" w:eastAsia="仿宋" w:cs="仿宋"/>
          <w:szCs w:val="21"/>
        </w:rPr>
        <w:t>1.1</w:t>
      </w:r>
      <w:r>
        <w:rPr>
          <w:rFonts w:hint="eastAsia" w:ascii="仿宋" w:hAnsi="仿宋" w:eastAsia="仿宋" w:cs="仿宋"/>
          <w:bCs/>
          <w:szCs w:val="21"/>
        </w:rPr>
        <w:t>定义</w:t>
      </w:r>
    </w:p>
    <w:p w14:paraId="3983EFE8">
      <w:pPr>
        <w:spacing w:line="276" w:lineRule="auto"/>
        <w:ind w:firstLine="420"/>
        <w:rPr>
          <w:rFonts w:hint="eastAsia" w:ascii="仿宋" w:hAnsi="仿宋" w:eastAsia="仿宋" w:cs="仿宋"/>
          <w:szCs w:val="21"/>
        </w:rPr>
      </w:pPr>
      <w:r>
        <w:rPr>
          <w:rFonts w:hint="eastAsia" w:ascii="仿宋" w:hAnsi="仿宋" w:eastAsia="仿宋" w:cs="仿宋"/>
          <w:szCs w:val="21"/>
        </w:rPr>
        <w:t>除根据上下文另有其意义外，组成本合同的全部文件中的下列名词和用语应具有本款所赋予的含义：</w:t>
      </w:r>
    </w:p>
    <w:p w14:paraId="6928AFAC">
      <w:pPr>
        <w:spacing w:line="276" w:lineRule="auto"/>
        <w:ind w:firstLine="420"/>
        <w:rPr>
          <w:rFonts w:hint="eastAsia" w:ascii="仿宋" w:hAnsi="仿宋" w:eastAsia="仿宋" w:cs="仿宋"/>
          <w:szCs w:val="21"/>
        </w:rPr>
      </w:pPr>
      <w:r>
        <w:rPr>
          <w:rFonts w:hint="eastAsia" w:ascii="仿宋" w:hAnsi="仿宋" w:eastAsia="仿宋" w:cs="仿宋"/>
          <w:szCs w:val="21"/>
        </w:rPr>
        <w:t>1.1.1“工程”是指按照本合同约定实施监理与相关服务的建设工程。</w:t>
      </w:r>
    </w:p>
    <w:p w14:paraId="2801F69A">
      <w:pPr>
        <w:spacing w:line="276" w:lineRule="auto"/>
        <w:ind w:firstLine="420"/>
        <w:rPr>
          <w:rFonts w:hint="eastAsia" w:ascii="仿宋" w:hAnsi="仿宋" w:eastAsia="仿宋" w:cs="仿宋"/>
          <w:szCs w:val="21"/>
        </w:rPr>
      </w:pPr>
      <w:r>
        <w:rPr>
          <w:rFonts w:hint="eastAsia" w:ascii="仿宋" w:hAnsi="仿宋" w:eastAsia="仿宋" w:cs="仿宋"/>
          <w:szCs w:val="21"/>
        </w:rPr>
        <w:t>1.1.2“委托人”是指本合同中委托监理与相关服务的一方，及其合法的继承人或受让人。</w:t>
      </w:r>
    </w:p>
    <w:p w14:paraId="0AC57EB1">
      <w:pPr>
        <w:spacing w:line="276" w:lineRule="auto"/>
        <w:ind w:firstLine="420"/>
        <w:rPr>
          <w:rFonts w:hint="eastAsia" w:ascii="仿宋" w:hAnsi="仿宋" w:eastAsia="仿宋" w:cs="仿宋"/>
          <w:szCs w:val="21"/>
        </w:rPr>
      </w:pPr>
      <w:r>
        <w:rPr>
          <w:rFonts w:hint="eastAsia" w:ascii="仿宋" w:hAnsi="仿宋" w:eastAsia="仿宋" w:cs="仿宋"/>
          <w:szCs w:val="21"/>
        </w:rPr>
        <w:t>1.1.3“监理人”是指本合同中提供监理与相关服务的一方，及其合法的继承人。</w:t>
      </w:r>
    </w:p>
    <w:p w14:paraId="0833F671">
      <w:pPr>
        <w:spacing w:line="276" w:lineRule="auto"/>
        <w:ind w:firstLine="420"/>
        <w:rPr>
          <w:rFonts w:hint="eastAsia" w:ascii="仿宋" w:hAnsi="仿宋" w:eastAsia="仿宋" w:cs="仿宋"/>
          <w:szCs w:val="21"/>
        </w:rPr>
      </w:pPr>
      <w:r>
        <w:rPr>
          <w:rFonts w:hint="eastAsia" w:ascii="仿宋" w:hAnsi="仿宋" w:eastAsia="仿宋" w:cs="仿宋"/>
          <w:szCs w:val="21"/>
        </w:rPr>
        <w:t>1.1.4“承包人”是指在工程范围内与委托人签订勘察、设计、施工等有关合同的当事人，及其合法的继承人。</w:t>
      </w:r>
    </w:p>
    <w:p w14:paraId="668378B8">
      <w:pPr>
        <w:pStyle w:val="20"/>
        <w:spacing w:line="276" w:lineRule="auto"/>
        <w:ind w:firstLine="420"/>
        <w:rPr>
          <w:rFonts w:hint="eastAsia" w:ascii="仿宋" w:hAnsi="仿宋" w:eastAsia="仿宋" w:cs="仿宋"/>
          <w:szCs w:val="21"/>
        </w:rPr>
      </w:pPr>
      <w:r>
        <w:rPr>
          <w:rFonts w:hint="eastAsia" w:ascii="仿宋" w:hAnsi="仿宋" w:eastAsia="仿宋" w:cs="仿宋"/>
          <w:szCs w:val="21"/>
        </w:rPr>
        <w:t>1.1.5“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28966D57">
      <w:pPr>
        <w:spacing w:line="276" w:lineRule="auto"/>
        <w:ind w:firstLine="420"/>
        <w:rPr>
          <w:rFonts w:hint="eastAsia" w:ascii="仿宋" w:hAnsi="仿宋" w:eastAsia="仿宋" w:cs="仿宋"/>
          <w:szCs w:val="21"/>
        </w:rPr>
      </w:pPr>
      <w:r>
        <w:rPr>
          <w:rFonts w:hint="eastAsia" w:ascii="仿宋" w:hAnsi="仿宋" w:eastAsia="仿宋" w:cs="仿宋"/>
          <w:szCs w:val="21"/>
        </w:rPr>
        <w:t>1.1.6“相关服务”是指监理人受委托人的委托，按照本合同约定，在勘察、设计、保修等阶段提供的服务活动。</w:t>
      </w:r>
    </w:p>
    <w:p w14:paraId="69FCAB1B">
      <w:pPr>
        <w:spacing w:line="276" w:lineRule="auto"/>
        <w:ind w:firstLine="420"/>
        <w:rPr>
          <w:rFonts w:hint="eastAsia" w:ascii="仿宋" w:hAnsi="仿宋" w:eastAsia="仿宋" w:cs="仿宋"/>
          <w:szCs w:val="21"/>
        </w:rPr>
      </w:pPr>
      <w:r>
        <w:rPr>
          <w:rFonts w:hint="eastAsia" w:ascii="仿宋" w:hAnsi="仿宋" w:eastAsia="仿宋" w:cs="仿宋"/>
          <w:szCs w:val="21"/>
        </w:rPr>
        <w:t>1.1.7“正常工作”指本合同订立时通用条件和专用条件中约定的监理人的工作。</w:t>
      </w:r>
    </w:p>
    <w:p w14:paraId="0152B979">
      <w:pPr>
        <w:spacing w:line="276" w:lineRule="auto"/>
        <w:ind w:firstLine="420"/>
        <w:rPr>
          <w:rFonts w:hint="eastAsia" w:ascii="仿宋" w:hAnsi="仿宋" w:eastAsia="仿宋" w:cs="仿宋"/>
          <w:szCs w:val="21"/>
        </w:rPr>
      </w:pPr>
      <w:r>
        <w:rPr>
          <w:rFonts w:hint="eastAsia" w:ascii="仿宋" w:hAnsi="仿宋" w:eastAsia="仿宋" w:cs="仿宋"/>
          <w:szCs w:val="21"/>
        </w:rPr>
        <w:t>1.1.8“附加工作”是指本合同约定的正常工作以外监理人的工作。</w:t>
      </w:r>
    </w:p>
    <w:p w14:paraId="6E95FE36">
      <w:pPr>
        <w:spacing w:line="276" w:lineRule="auto"/>
        <w:ind w:firstLine="420"/>
        <w:rPr>
          <w:rFonts w:hint="eastAsia" w:ascii="仿宋" w:hAnsi="仿宋" w:eastAsia="仿宋" w:cs="仿宋"/>
          <w:szCs w:val="21"/>
        </w:rPr>
      </w:pPr>
      <w:r>
        <w:rPr>
          <w:rFonts w:hint="eastAsia" w:ascii="仿宋" w:hAnsi="仿宋" w:eastAsia="仿宋" w:cs="仿宋"/>
          <w:szCs w:val="21"/>
        </w:rPr>
        <w:t>1.1.9“项目监理机构”是指监理人派驻工程负责履行本合同的组织机构。</w:t>
      </w:r>
    </w:p>
    <w:p w14:paraId="6EDE7611">
      <w:pPr>
        <w:spacing w:line="276" w:lineRule="auto"/>
        <w:ind w:firstLine="420"/>
        <w:rPr>
          <w:rFonts w:hint="eastAsia" w:ascii="仿宋" w:hAnsi="仿宋" w:eastAsia="仿宋" w:cs="仿宋"/>
          <w:szCs w:val="21"/>
        </w:rPr>
      </w:pPr>
      <w:r>
        <w:rPr>
          <w:rFonts w:hint="eastAsia" w:ascii="仿宋" w:hAnsi="仿宋" w:eastAsia="仿宋" w:cs="仿宋"/>
          <w:szCs w:val="21"/>
        </w:rPr>
        <w:t>1.1.10“总监理工程师”是指由监理人的法定代表人书面授权，全面负责履行本合同、主持项目监理机构工作的注册监理工程师。</w:t>
      </w:r>
    </w:p>
    <w:p w14:paraId="5ACBCF20">
      <w:pPr>
        <w:spacing w:line="276" w:lineRule="auto"/>
        <w:ind w:firstLine="415"/>
        <w:rPr>
          <w:rFonts w:hint="eastAsia" w:ascii="仿宋" w:hAnsi="仿宋" w:eastAsia="仿宋" w:cs="仿宋"/>
          <w:szCs w:val="21"/>
        </w:rPr>
      </w:pPr>
      <w:r>
        <w:rPr>
          <w:rFonts w:hint="eastAsia" w:ascii="仿宋" w:hAnsi="仿宋" w:eastAsia="仿宋" w:cs="仿宋"/>
          <w:szCs w:val="21"/>
        </w:rPr>
        <w:t>1.1.11“酬金”是指监理人履行本合同义务，委托人按照本合同约定给付监理人的金额。</w:t>
      </w:r>
    </w:p>
    <w:p w14:paraId="4DFFF0DD">
      <w:pPr>
        <w:spacing w:line="276" w:lineRule="auto"/>
        <w:ind w:firstLine="415"/>
        <w:rPr>
          <w:rFonts w:hint="eastAsia" w:ascii="仿宋" w:hAnsi="仿宋" w:eastAsia="仿宋" w:cs="仿宋"/>
          <w:szCs w:val="21"/>
        </w:rPr>
      </w:pPr>
      <w:r>
        <w:rPr>
          <w:rFonts w:hint="eastAsia" w:ascii="仿宋" w:hAnsi="仿宋" w:eastAsia="仿宋" w:cs="仿宋"/>
          <w:szCs w:val="21"/>
        </w:rPr>
        <w:t>1.1.12“正常工作酬金”是指监理人完成正常工作，委托人应给付监理人并在协议书中载明的签约酬金额。</w:t>
      </w:r>
    </w:p>
    <w:p w14:paraId="7F695D18">
      <w:pPr>
        <w:spacing w:line="276" w:lineRule="auto"/>
        <w:ind w:firstLine="415"/>
        <w:rPr>
          <w:rFonts w:hint="eastAsia" w:ascii="仿宋" w:hAnsi="仿宋" w:eastAsia="仿宋" w:cs="仿宋"/>
          <w:szCs w:val="21"/>
        </w:rPr>
      </w:pPr>
      <w:r>
        <w:rPr>
          <w:rFonts w:hint="eastAsia" w:ascii="仿宋" w:hAnsi="仿宋" w:eastAsia="仿宋" w:cs="仿宋"/>
          <w:szCs w:val="21"/>
        </w:rPr>
        <w:t>1.1.13“附加工作酬金”是指监理人完成附加工作，委托人应给付监理人的金额。</w:t>
      </w:r>
    </w:p>
    <w:p w14:paraId="5BC6082B">
      <w:pPr>
        <w:spacing w:line="276" w:lineRule="auto"/>
        <w:ind w:firstLine="420"/>
        <w:rPr>
          <w:rFonts w:hint="eastAsia" w:ascii="仿宋" w:hAnsi="仿宋" w:eastAsia="仿宋" w:cs="仿宋"/>
          <w:szCs w:val="21"/>
        </w:rPr>
      </w:pPr>
      <w:r>
        <w:rPr>
          <w:rFonts w:hint="eastAsia" w:ascii="仿宋" w:hAnsi="仿宋" w:eastAsia="仿宋" w:cs="仿宋"/>
          <w:szCs w:val="21"/>
        </w:rPr>
        <w:t>1.1.14“一方”是指委托人或监理人；“双方”是指委托人和监理人；“第三方”是指除委托人和监理人以外的有关方。</w:t>
      </w:r>
    </w:p>
    <w:p w14:paraId="53CA91B2">
      <w:pPr>
        <w:spacing w:line="276" w:lineRule="auto"/>
        <w:ind w:firstLine="420"/>
        <w:rPr>
          <w:rFonts w:hint="eastAsia" w:ascii="仿宋" w:hAnsi="仿宋" w:eastAsia="仿宋" w:cs="仿宋"/>
          <w:szCs w:val="21"/>
        </w:rPr>
      </w:pPr>
      <w:r>
        <w:rPr>
          <w:rFonts w:hint="eastAsia" w:ascii="仿宋" w:hAnsi="仿宋" w:eastAsia="仿宋" w:cs="仿宋"/>
          <w:szCs w:val="21"/>
        </w:rPr>
        <w:t>1.1.15“书面形式”是指合同书、信件和数据电文（包括电报、电传、传真、电子数据交换和电子邮件）等可以有形地表现所载内容的形式。</w:t>
      </w:r>
    </w:p>
    <w:p w14:paraId="48F94611">
      <w:pPr>
        <w:spacing w:line="276" w:lineRule="auto"/>
        <w:ind w:firstLine="420"/>
        <w:rPr>
          <w:rFonts w:hint="eastAsia" w:ascii="仿宋" w:hAnsi="仿宋" w:eastAsia="仿宋" w:cs="仿宋"/>
          <w:szCs w:val="21"/>
        </w:rPr>
      </w:pPr>
      <w:r>
        <w:rPr>
          <w:rFonts w:hint="eastAsia" w:ascii="仿宋" w:hAnsi="仿宋" w:eastAsia="仿宋" w:cs="仿宋"/>
          <w:szCs w:val="21"/>
        </w:rPr>
        <w:t>1.1.16“天”是指第一天零时至第二天零时的时间。</w:t>
      </w:r>
    </w:p>
    <w:p w14:paraId="70522A46">
      <w:pPr>
        <w:spacing w:line="276" w:lineRule="auto"/>
        <w:ind w:firstLine="420"/>
        <w:rPr>
          <w:rFonts w:hint="eastAsia" w:ascii="仿宋" w:hAnsi="仿宋" w:eastAsia="仿宋" w:cs="仿宋"/>
          <w:szCs w:val="21"/>
        </w:rPr>
      </w:pPr>
      <w:r>
        <w:rPr>
          <w:rFonts w:hint="eastAsia" w:ascii="仿宋" w:hAnsi="仿宋" w:eastAsia="仿宋" w:cs="仿宋"/>
          <w:szCs w:val="21"/>
        </w:rPr>
        <w:t>1.1.17“月”是指按公历从一个月中任何一天开始的一个公历月时间。</w:t>
      </w:r>
    </w:p>
    <w:p w14:paraId="2C61CFF0">
      <w:pPr>
        <w:spacing w:line="276" w:lineRule="auto"/>
        <w:ind w:firstLine="420"/>
        <w:rPr>
          <w:rFonts w:hint="eastAsia" w:ascii="仿宋" w:hAnsi="仿宋" w:eastAsia="仿宋" w:cs="仿宋"/>
          <w:szCs w:val="21"/>
        </w:rPr>
      </w:pPr>
      <w:r>
        <w:rPr>
          <w:rFonts w:hint="eastAsia" w:ascii="仿宋" w:hAnsi="仿宋" w:eastAsia="仿宋" w:cs="仿宋"/>
          <w:szCs w:val="21"/>
        </w:rPr>
        <w:t>1.1.18“不可抗力”是指委托人和监理人在订立本合同时不可预见，在工程施工过程中不可避免发生并不能克服的自然灾害和社会性突发事件，如地震、海啸、瘟疫、水灾、骚乱、暴动、战争和专用条件约定的其他情形。</w:t>
      </w:r>
    </w:p>
    <w:p w14:paraId="609A72D0">
      <w:pPr>
        <w:spacing w:line="276" w:lineRule="auto"/>
        <w:ind w:left="210"/>
        <w:rPr>
          <w:rFonts w:hint="eastAsia" w:ascii="仿宋" w:hAnsi="仿宋" w:eastAsia="仿宋" w:cs="仿宋"/>
          <w:szCs w:val="21"/>
        </w:rPr>
      </w:pPr>
      <w:r>
        <w:rPr>
          <w:rFonts w:hint="eastAsia" w:ascii="仿宋" w:hAnsi="仿宋" w:eastAsia="仿宋" w:cs="仿宋"/>
          <w:bCs/>
          <w:szCs w:val="21"/>
        </w:rPr>
        <w:t>1.2</w:t>
      </w:r>
      <w:r>
        <w:rPr>
          <w:rFonts w:hint="eastAsia" w:ascii="仿宋" w:hAnsi="仿宋" w:eastAsia="仿宋" w:cs="仿宋"/>
          <w:szCs w:val="21"/>
        </w:rPr>
        <w:t>解释</w:t>
      </w:r>
    </w:p>
    <w:p w14:paraId="592449A0">
      <w:pPr>
        <w:tabs>
          <w:tab w:val="left" w:pos="6140"/>
        </w:tabs>
        <w:spacing w:line="276" w:lineRule="auto"/>
        <w:ind w:firstLine="420"/>
        <w:rPr>
          <w:rFonts w:hint="eastAsia" w:ascii="仿宋" w:hAnsi="仿宋" w:eastAsia="仿宋" w:cs="仿宋"/>
          <w:szCs w:val="21"/>
        </w:rPr>
      </w:pPr>
      <w:r>
        <w:rPr>
          <w:rFonts w:hint="eastAsia" w:ascii="仿宋" w:hAnsi="仿宋" w:eastAsia="仿宋" w:cs="仿宋"/>
          <w:szCs w:val="21"/>
        </w:rPr>
        <w:t>1.2.1本合同使用中文书写、解释和说明。如专用条件约定使用两种及以上语言文字时，应以中文为准。</w:t>
      </w:r>
    </w:p>
    <w:p w14:paraId="6C1B8BCE">
      <w:pPr>
        <w:tabs>
          <w:tab w:val="left" w:pos="6140"/>
        </w:tabs>
        <w:spacing w:line="276" w:lineRule="auto"/>
        <w:ind w:firstLine="420"/>
        <w:rPr>
          <w:rFonts w:hint="eastAsia" w:ascii="仿宋" w:hAnsi="仿宋" w:eastAsia="仿宋" w:cs="仿宋"/>
          <w:szCs w:val="21"/>
        </w:rPr>
      </w:pPr>
      <w:r>
        <w:rPr>
          <w:rFonts w:hint="eastAsia" w:ascii="仿宋" w:hAnsi="仿宋" w:eastAsia="仿宋" w:cs="仿宋"/>
          <w:szCs w:val="21"/>
        </w:rPr>
        <w:t>1.2.2组成本合同的下列文件彼此应能相互解释、互为说明。除专用条件另有约定外，本合同文件的解释顺序如下：</w:t>
      </w:r>
    </w:p>
    <w:p w14:paraId="5320DBEB">
      <w:pPr>
        <w:spacing w:line="276" w:lineRule="auto"/>
        <w:ind w:firstLine="420"/>
        <w:rPr>
          <w:rFonts w:hint="eastAsia" w:ascii="仿宋" w:hAnsi="仿宋" w:eastAsia="仿宋" w:cs="仿宋"/>
          <w:szCs w:val="21"/>
        </w:rPr>
      </w:pPr>
      <w:r>
        <w:rPr>
          <w:rFonts w:hint="eastAsia" w:ascii="仿宋" w:hAnsi="仿宋" w:eastAsia="仿宋" w:cs="仿宋"/>
          <w:szCs w:val="21"/>
        </w:rPr>
        <w:t>（1）协议书；</w:t>
      </w:r>
    </w:p>
    <w:p w14:paraId="6216FD56">
      <w:pPr>
        <w:spacing w:line="276" w:lineRule="auto"/>
        <w:ind w:firstLine="420"/>
        <w:rPr>
          <w:rFonts w:hint="eastAsia" w:ascii="仿宋" w:hAnsi="仿宋" w:eastAsia="仿宋" w:cs="仿宋"/>
          <w:szCs w:val="21"/>
        </w:rPr>
      </w:pPr>
      <w:r>
        <w:rPr>
          <w:rFonts w:hint="eastAsia" w:ascii="仿宋" w:hAnsi="仿宋" w:eastAsia="仿宋" w:cs="仿宋"/>
          <w:szCs w:val="21"/>
        </w:rPr>
        <w:t>（2）中标通知书（适用于招标工程）或委托书（适用于非招标工程）；</w:t>
      </w:r>
    </w:p>
    <w:p w14:paraId="31D349A1">
      <w:pPr>
        <w:spacing w:line="276" w:lineRule="auto"/>
        <w:ind w:firstLine="420"/>
        <w:rPr>
          <w:rFonts w:hint="eastAsia" w:ascii="仿宋" w:hAnsi="仿宋" w:eastAsia="仿宋" w:cs="仿宋"/>
          <w:szCs w:val="21"/>
        </w:rPr>
      </w:pPr>
      <w:r>
        <w:rPr>
          <w:rFonts w:hint="eastAsia" w:ascii="仿宋" w:hAnsi="仿宋" w:eastAsia="仿宋" w:cs="仿宋"/>
          <w:szCs w:val="21"/>
        </w:rPr>
        <w:t>（3）专用条件及附录A、附录B；</w:t>
      </w:r>
    </w:p>
    <w:p w14:paraId="0AEF4EC3">
      <w:pPr>
        <w:spacing w:line="276" w:lineRule="auto"/>
        <w:ind w:firstLine="420"/>
        <w:rPr>
          <w:rFonts w:hint="eastAsia" w:ascii="仿宋" w:hAnsi="仿宋" w:eastAsia="仿宋" w:cs="仿宋"/>
          <w:szCs w:val="21"/>
        </w:rPr>
      </w:pPr>
      <w:r>
        <w:rPr>
          <w:rFonts w:hint="eastAsia" w:ascii="仿宋" w:hAnsi="仿宋" w:eastAsia="仿宋" w:cs="仿宋"/>
          <w:szCs w:val="21"/>
        </w:rPr>
        <w:t>（4）通用条件；</w:t>
      </w:r>
    </w:p>
    <w:p w14:paraId="34046751">
      <w:pPr>
        <w:spacing w:line="276" w:lineRule="auto"/>
        <w:ind w:firstLine="420"/>
        <w:rPr>
          <w:rFonts w:hint="eastAsia" w:ascii="仿宋" w:hAnsi="仿宋" w:eastAsia="仿宋" w:cs="仿宋"/>
          <w:szCs w:val="21"/>
        </w:rPr>
      </w:pPr>
      <w:r>
        <w:rPr>
          <w:rFonts w:hint="eastAsia" w:ascii="仿宋" w:hAnsi="仿宋" w:eastAsia="仿宋" w:cs="仿宋"/>
          <w:szCs w:val="21"/>
        </w:rPr>
        <w:t>（5）投标文件（适用于招标工程）或监理与相关服务建议书（适用于非招标工程）。</w:t>
      </w:r>
    </w:p>
    <w:p w14:paraId="025E708B">
      <w:pPr>
        <w:spacing w:line="276" w:lineRule="auto"/>
        <w:ind w:firstLine="420"/>
        <w:rPr>
          <w:rFonts w:hint="eastAsia" w:ascii="仿宋" w:hAnsi="仿宋" w:eastAsia="仿宋" w:cs="仿宋"/>
          <w:szCs w:val="21"/>
        </w:rPr>
      </w:pPr>
      <w:r>
        <w:rPr>
          <w:rFonts w:hint="eastAsia" w:ascii="仿宋" w:hAnsi="仿宋" w:eastAsia="仿宋" w:cs="仿宋"/>
          <w:szCs w:val="21"/>
        </w:rPr>
        <w:t>双方签订的补充协议与其他文件发生矛盾或歧义时，属于同一类内容的文件，应以最新签署的为准。</w:t>
      </w:r>
    </w:p>
    <w:p w14:paraId="08ECE73A">
      <w:pPr>
        <w:spacing w:line="276" w:lineRule="auto"/>
        <w:ind w:firstLine="422"/>
        <w:rPr>
          <w:rFonts w:hint="eastAsia" w:ascii="仿宋" w:hAnsi="仿宋" w:eastAsia="仿宋" w:cs="仿宋"/>
          <w:b/>
        </w:rPr>
      </w:pPr>
      <w:bookmarkStart w:id="26" w:name="_Toc398107902"/>
      <w:r>
        <w:rPr>
          <w:rFonts w:hint="eastAsia" w:ascii="仿宋" w:hAnsi="仿宋" w:eastAsia="仿宋" w:cs="仿宋"/>
          <w:b/>
        </w:rPr>
        <w:t>2.监理人的义务</w:t>
      </w:r>
      <w:bookmarkEnd w:id="26"/>
    </w:p>
    <w:p w14:paraId="784A2C4A">
      <w:pPr>
        <w:spacing w:line="276" w:lineRule="auto"/>
        <w:ind w:left="210"/>
        <w:rPr>
          <w:rFonts w:hint="eastAsia" w:ascii="仿宋" w:hAnsi="仿宋" w:eastAsia="仿宋" w:cs="仿宋"/>
          <w:bCs/>
          <w:szCs w:val="21"/>
        </w:rPr>
      </w:pPr>
      <w:r>
        <w:rPr>
          <w:rFonts w:hint="eastAsia" w:ascii="仿宋" w:hAnsi="仿宋" w:eastAsia="仿宋" w:cs="仿宋"/>
          <w:szCs w:val="21"/>
        </w:rPr>
        <w:t>2.1监理的范围和工作内容</w:t>
      </w:r>
    </w:p>
    <w:p w14:paraId="5646AB70">
      <w:pPr>
        <w:spacing w:line="276" w:lineRule="auto"/>
        <w:ind w:left="420"/>
        <w:rPr>
          <w:rFonts w:hint="eastAsia" w:ascii="仿宋" w:hAnsi="仿宋" w:eastAsia="仿宋" w:cs="仿宋"/>
          <w:szCs w:val="21"/>
        </w:rPr>
      </w:pPr>
      <w:r>
        <w:rPr>
          <w:rFonts w:hint="eastAsia" w:ascii="仿宋" w:hAnsi="仿宋" w:eastAsia="仿宋" w:cs="仿宋"/>
          <w:szCs w:val="21"/>
        </w:rPr>
        <w:t>2.1.1监理范围在专用条件中约定。</w:t>
      </w:r>
    </w:p>
    <w:p w14:paraId="14C45B1E">
      <w:pPr>
        <w:spacing w:line="276" w:lineRule="auto"/>
        <w:ind w:left="420"/>
        <w:rPr>
          <w:rFonts w:hint="eastAsia" w:ascii="仿宋" w:hAnsi="仿宋" w:eastAsia="仿宋" w:cs="仿宋"/>
          <w:szCs w:val="21"/>
        </w:rPr>
      </w:pPr>
      <w:r>
        <w:rPr>
          <w:rFonts w:hint="eastAsia" w:ascii="仿宋" w:hAnsi="仿宋" w:eastAsia="仿宋" w:cs="仿宋"/>
          <w:szCs w:val="21"/>
        </w:rPr>
        <w:t>2.1.2除专用条件另有约定外，监理工作内容包括：</w:t>
      </w:r>
    </w:p>
    <w:p w14:paraId="5B6762FE">
      <w:pPr>
        <w:spacing w:line="276" w:lineRule="auto"/>
        <w:ind w:firstLine="420"/>
        <w:rPr>
          <w:rFonts w:hint="eastAsia" w:ascii="仿宋" w:hAnsi="仿宋" w:eastAsia="仿宋" w:cs="仿宋"/>
          <w:szCs w:val="21"/>
        </w:rPr>
      </w:pPr>
      <w:r>
        <w:rPr>
          <w:rFonts w:hint="eastAsia" w:ascii="仿宋" w:hAnsi="仿宋" w:eastAsia="仿宋" w:cs="仿宋"/>
          <w:szCs w:val="21"/>
        </w:rPr>
        <w:t>（1）收到工程设计文件后编制监理规划，并在第一次工地会议7天前报委托人。根据有关规定和监理工作需要，编制监理实施细则；</w:t>
      </w:r>
    </w:p>
    <w:p w14:paraId="25F6D682">
      <w:pPr>
        <w:spacing w:line="276" w:lineRule="auto"/>
        <w:ind w:firstLine="420"/>
        <w:rPr>
          <w:rFonts w:hint="eastAsia" w:ascii="仿宋" w:hAnsi="仿宋" w:eastAsia="仿宋" w:cs="仿宋"/>
          <w:szCs w:val="21"/>
        </w:rPr>
      </w:pPr>
      <w:r>
        <w:rPr>
          <w:rFonts w:hint="eastAsia" w:ascii="仿宋" w:hAnsi="仿宋" w:eastAsia="仿宋" w:cs="仿宋"/>
          <w:szCs w:val="21"/>
        </w:rPr>
        <w:t>（2）熟悉工程设计文件，并参加由委托人主持的图纸会审和设计交底会议；</w:t>
      </w:r>
    </w:p>
    <w:p w14:paraId="7E835C6B">
      <w:pPr>
        <w:spacing w:line="276" w:lineRule="auto"/>
        <w:ind w:firstLine="420"/>
        <w:rPr>
          <w:rFonts w:hint="eastAsia" w:ascii="仿宋" w:hAnsi="仿宋" w:eastAsia="仿宋" w:cs="仿宋"/>
          <w:szCs w:val="21"/>
        </w:rPr>
      </w:pPr>
      <w:r>
        <w:rPr>
          <w:rFonts w:hint="eastAsia" w:ascii="仿宋" w:hAnsi="仿宋" w:eastAsia="仿宋" w:cs="仿宋"/>
          <w:szCs w:val="21"/>
        </w:rPr>
        <w:t>（3）参加由委托人主持的第一次工地会议；主持监理例会并根据工程需要主持或参加专题会议；</w:t>
      </w:r>
    </w:p>
    <w:p w14:paraId="58123966">
      <w:pPr>
        <w:spacing w:line="276" w:lineRule="auto"/>
        <w:ind w:firstLine="420"/>
        <w:rPr>
          <w:rFonts w:hint="eastAsia" w:ascii="仿宋" w:hAnsi="仿宋" w:eastAsia="仿宋" w:cs="仿宋"/>
          <w:szCs w:val="21"/>
        </w:rPr>
      </w:pPr>
      <w:r>
        <w:rPr>
          <w:rFonts w:hint="eastAsia" w:ascii="仿宋" w:hAnsi="仿宋" w:eastAsia="仿宋" w:cs="仿宋"/>
          <w:szCs w:val="21"/>
        </w:rPr>
        <w:t>（4）审查施工承包人提交的施工组织设计，重点审查其中的质量安全技术措施、专项施工方案与工程建设强制性标准的符合性；</w:t>
      </w:r>
    </w:p>
    <w:p w14:paraId="3FCE420B">
      <w:pPr>
        <w:spacing w:line="276" w:lineRule="auto"/>
        <w:ind w:firstLine="420"/>
        <w:rPr>
          <w:rFonts w:hint="eastAsia" w:ascii="仿宋" w:hAnsi="仿宋" w:eastAsia="仿宋" w:cs="仿宋"/>
          <w:szCs w:val="21"/>
        </w:rPr>
      </w:pPr>
      <w:r>
        <w:rPr>
          <w:rFonts w:hint="eastAsia" w:ascii="仿宋" w:hAnsi="仿宋" w:eastAsia="仿宋" w:cs="仿宋"/>
          <w:szCs w:val="21"/>
        </w:rPr>
        <w:t>（5）检查施工承包人工程质量、安全生产管理制度及组织机构和人员资格；</w:t>
      </w:r>
    </w:p>
    <w:p w14:paraId="5E24C393">
      <w:pPr>
        <w:spacing w:line="276" w:lineRule="auto"/>
        <w:ind w:firstLine="420"/>
        <w:rPr>
          <w:rFonts w:hint="eastAsia" w:ascii="仿宋" w:hAnsi="仿宋" w:eastAsia="仿宋" w:cs="仿宋"/>
          <w:szCs w:val="21"/>
        </w:rPr>
      </w:pPr>
      <w:r>
        <w:rPr>
          <w:rFonts w:hint="eastAsia" w:ascii="仿宋" w:hAnsi="仿宋" w:eastAsia="仿宋" w:cs="仿宋"/>
          <w:szCs w:val="21"/>
        </w:rPr>
        <w:t>（6）检查施工承包人专职安全生产管理人员的配备情况；</w:t>
      </w:r>
    </w:p>
    <w:p w14:paraId="1BD8ABD3">
      <w:pPr>
        <w:spacing w:line="276" w:lineRule="auto"/>
        <w:ind w:firstLine="420"/>
        <w:rPr>
          <w:rFonts w:hint="eastAsia" w:ascii="仿宋" w:hAnsi="仿宋" w:eastAsia="仿宋" w:cs="仿宋"/>
          <w:szCs w:val="21"/>
        </w:rPr>
      </w:pPr>
      <w:r>
        <w:rPr>
          <w:rFonts w:hint="eastAsia" w:ascii="仿宋" w:hAnsi="仿宋" w:eastAsia="仿宋" w:cs="仿宋"/>
          <w:szCs w:val="21"/>
        </w:rPr>
        <w:t>（7）审查施工承包人提交的施工进度计划，核查承包人对施工进度计划的调整；</w:t>
      </w:r>
    </w:p>
    <w:p w14:paraId="305DA9F5">
      <w:pPr>
        <w:spacing w:line="276" w:lineRule="auto"/>
        <w:ind w:firstLine="420"/>
        <w:rPr>
          <w:rFonts w:hint="eastAsia" w:ascii="仿宋" w:hAnsi="仿宋" w:eastAsia="仿宋" w:cs="仿宋"/>
          <w:szCs w:val="21"/>
        </w:rPr>
      </w:pPr>
      <w:r>
        <w:rPr>
          <w:rFonts w:hint="eastAsia" w:ascii="仿宋" w:hAnsi="仿宋" w:eastAsia="仿宋" w:cs="仿宋"/>
          <w:szCs w:val="21"/>
        </w:rPr>
        <w:t>（8）检查施工承包人的试验室；</w:t>
      </w:r>
    </w:p>
    <w:p w14:paraId="5FB96076">
      <w:pPr>
        <w:spacing w:line="276" w:lineRule="auto"/>
        <w:ind w:firstLine="420"/>
        <w:rPr>
          <w:rFonts w:hint="eastAsia" w:ascii="仿宋" w:hAnsi="仿宋" w:eastAsia="仿宋" w:cs="仿宋"/>
          <w:szCs w:val="21"/>
        </w:rPr>
      </w:pPr>
      <w:r>
        <w:rPr>
          <w:rFonts w:hint="eastAsia" w:ascii="仿宋" w:hAnsi="仿宋" w:eastAsia="仿宋" w:cs="仿宋"/>
          <w:szCs w:val="21"/>
        </w:rPr>
        <w:t>（9）审核施工分包人资质条件；</w:t>
      </w:r>
    </w:p>
    <w:p w14:paraId="46A598F4">
      <w:pPr>
        <w:spacing w:line="276" w:lineRule="auto"/>
        <w:ind w:firstLine="420"/>
        <w:rPr>
          <w:rFonts w:hint="eastAsia" w:ascii="仿宋" w:hAnsi="仿宋" w:eastAsia="仿宋" w:cs="仿宋"/>
          <w:szCs w:val="21"/>
        </w:rPr>
      </w:pPr>
      <w:r>
        <w:rPr>
          <w:rFonts w:hint="eastAsia" w:ascii="仿宋" w:hAnsi="仿宋" w:eastAsia="仿宋" w:cs="仿宋"/>
          <w:szCs w:val="21"/>
        </w:rPr>
        <w:t>（10）查验施工承包人的施工测量放线成果；</w:t>
      </w:r>
    </w:p>
    <w:p w14:paraId="71FAF549">
      <w:pPr>
        <w:spacing w:line="276" w:lineRule="auto"/>
        <w:ind w:firstLine="420"/>
        <w:rPr>
          <w:rFonts w:hint="eastAsia" w:ascii="仿宋" w:hAnsi="仿宋" w:eastAsia="仿宋" w:cs="仿宋"/>
          <w:szCs w:val="21"/>
        </w:rPr>
      </w:pPr>
      <w:r>
        <w:rPr>
          <w:rFonts w:hint="eastAsia" w:ascii="仿宋" w:hAnsi="仿宋" w:eastAsia="仿宋" w:cs="仿宋"/>
          <w:szCs w:val="21"/>
        </w:rPr>
        <w:t>（11）审查工程开工条件，对条件具备的签发开工令；</w:t>
      </w:r>
    </w:p>
    <w:p w14:paraId="3C2B03E0">
      <w:pPr>
        <w:spacing w:line="276" w:lineRule="auto"/>
        <w:ind w:firstLine="420"/>
        <w:rPr>
          <w:rFonts w:hint="eastAsia" w:ascii="仿宋" w:hAnsi="仿宋" w:eastAsia="仿宋" w:cs="仿宋"/>
          <w:szCs w:val="21"/>
        </w:rPr>
      </w:pPr>
      <w:r>
        <w:rPr>
          <w:rFonts w:hint="eastAsia" w:ascii="仿宋" w:hAnsi="仿宋" w:eastAsia="仿宋" w:cs="仿宋"/>
          <w:szCs w:val="21"/>
        </w:rPr>
        <w:t>（12）审查施工承包人报送的工程材料、构配件、设备质量证明文件的有效性和符合性，并按规定对用于工程的材料采取平行检验或见证取样方式进行抽检；</w:t>
      </w:r>
    </w:p>
    <w:p w14:paraId="523E6DBF">
      <w:pPr>
        <w:spacing w:line="276" w:lineRule="auto"/>
        <w:ind w:firstLine="315"/>
        <w:rPr>
          <w:rFonts w:hint="eastAsia" w:ascii="仿宋" w:hAnsi="仿宋" w:eastAsia="仿宋" w:cs="仿宋"/>
          <w:szCs w:val="21"/>
        </w:rPr>
      </w:pPr>
      <w:r>
        <w:rPr>
          <w:rFonts w:hint="eastAsia" w:ascii="仿宋" w:hAnsi="仿宋" w:eastAsia="仿宋" w:cs="仿宋"/>
          <w:szCs w:val="21"/>
        </w:rPr>
        <w:t>（13）审核施工承包人提交的工程款支付申请，签发或出具工程款支付证书，并报委托人审核、批准；</w:t>
      </w:r>
    </w:p>
    <w:p w14:paraId="0D38E8BD">
      <w:pPr>
        <w:spacing w:line="276" w:lineRule="auto"/>
        <w:ind w:firstLine="420"/>
        <w:rPr>
          <w:rFonts w:hint="eastAsia" w:ascii="仿宋" w:hAnsi="仿宋" w:eastAsia="仿宋" w:cs="仿宋"/>
          <w:szCs w:val="21"/>
        </w:rPr>
      </w:pPr>
      <w:r>
        <w:rPr>
          <w:rFonts w:hint="eastAsia" w:ascii="仿宋" w:hAnsi="仿宋" w:eastAsia="仿宋" w:cs="仿宋"/>
          <w:szCs w:val="21"/>
        </w:rPr>
        <w:t>（14）在巡视、旁站和检验过程中，发现工程质量、施工安全存在事故隐患的，要求施工承包人整改并报委托人；</w:t>
      </w:r>
    </w:p>
    <w:p w14:paraId="46C160F5">
      <w:pPr>
        <w:spacing w:line="276" w:lineRule="auto"/>
        <w:ind w:firstLine="420"/>
        <w:rPr>
          <w:rFonts w:hint="eastAsia" w:ascii="仿宋" w:hAnsi="仿宋" w:eastAsia="仿宋" w:cs="仿宋"/>
          <w:szCs w:val="21"/>
        </w:rPr>
      </w:pPr>
      <w:r>
        <w:rPr>
          <w:rFonts w:hint="eastAsia" w:ascii="仿宋" w:hAnsi="仿宋" w:eastAsia="仿宋" w:cs="仿宋"/>
          <w:szCs w:val="21"/>
        </w:rPr>
        <w:t>（15）经委托人同意，签发工程暂停令和复工令；</w:t>
      </w:r>
    </w:p>
    <w:p w14:paraId="5483C37B">
      <w:pPr>
        <w:spacing w:line="276" w:lineRule="auto"/>
        <w:ind w:firstLine="315"/>
        <w:rPr>
          <w:rFonts w:hint="eastAsia" w:ascii="仿宋" w:hAnsi="仿宋" w:eastAsia="仿宋" w:cs="仿宋"/>
          <w:szCs w:val="21"/>
        </w:rPr>
      </w:pPr>
      <w:r>
        <w:rPr>
          <w:rFonts w:hint="eastAsia" w:ascii="仿宋" w:hAnsi="仿宋" w:eastAsia="仿宋" w:cs="仿宋"/>
          <w:szCs w:val="21"/>
        </w:rPr>
        <w:t>（16）审查施工承包人提交的采用新材料、新工艺、新技术、新设备的论证材料及相关验收标准；</w:t>
      </w:r>
    </w:p>
    <w:p w14:paraId="6BAC1746">
      <w:pPr>
        <w:spacing w:line="276" w:lineRule="auto"/>
        <w:ind w:firstLine="420"/>
        <w:rPr>
          <w:rFonts w:hint="eastAsia" w:ascii="仿宋" w:hAnsi="仿宋" w:eastAsia="仿宋" w:cs="仿宋"/>
          <w:szCs w:val="21"/>
        </w:rPr>
      </w:pPr>
      <w:r>
        <w:rPr>
          <w:rFonts w:hint="eastAsia" w:ascii="仿宋" w:hAnsi="仿宋" w:eastAsia="仿宋" w:cs="仿宋"/>
          <w:szCs w:val="21"/>
        </w:rPr>
        <w:t>（17）验收隐蔽工程、分部分项工程；</w:t>
      </w:r>
    </w:p>
    <w:p w14:paraId="3BA7ED46">
      <w:pPr>
        <w:spacing w:line="276" w:lineRule="auto"/>
        <w:ind w:firstLine="420"/>
        <w:rPr>
          <w:rFonts w:hint="eastAsia" w:ascii="仿宋" w:hAnsi="仿宋" w:eastAsia="仿宋" w:cs="仿宋"/>
          <w:szCs w:val="21"/>
        </w:rPr>
      </w:pPr>
      <w:r>
        <w:rPr>
          <w:rFonts w:hint="eastAsia" w:ascii="仿宋" w:hAnsi="仿宋" w:eastAsia="仿宋" w:cs="仿宋"/>
          <w:szCs w:val="21"/>
        </w:rPr>
        <w:t>（18）审查施工承包人提交的工程变更申请，协调处理施工进度调整、费用索赔、合同争议等事项；</w:t>
      </w:r>
    </w:p>
    <w:p w14:paraId="1B8587DD">
      <w:pPr>
        <w:spacing w:line="276" w:lineRule="auto"/>
        <w:ind w:firstLine="420"/>
        <w:rPr>
          <w:rFonts w:hint="eastAsia" w:ascii="仿宋" w:hAnsi="仿宋" w:eastAsia="仿宋" w:cs="仿宋"/>
          <w:szCs w:val="21"/>
        </w:rPr>
      </w:pPr>
      <w:r>
        <w:rPr>
          <w:rFonts w:hint="eastAsia" w:ascii="仿宋" w:hAnsi="仿宋" w:eastAsia="仿宋" w:cs="仿宋"/>
          <w:szCs w:val="21"/>
        </w:rPr>
        <w:t>（19）审查施工承包人提交的竣工验收申请，编写工程质量评估报告；</w:t>
      </w:r>
    </w:p>
    <w:p w14:paraId="1524D618">
      <w:pPr>
        <w:spacing w:line="276" w:lineRule="auto"/>
        <w:ind w:firstLine="420"/>
        <w:rPr>
          <w:rFonts w:hint="eastAsia" w:ascii="仿宋" w:hAnsi="仿宋" w:eastAsia="仿宋" w:cs="仿宋"/>
          <w:szCs w:val="21"/>
        </w:rPr>
      </w:pPr>
      <w:r>
        <w:rPr>
          <w:rFonts w:hint="eastAsia" w:ascii="仿宋" w:hAnsi="仿宋" w:eastAsia="仿宋" w:cs="仿宋"/>
          <w:szCs w:val="21"/>
        </w:rPr>
        <w:t>（20）参加工程竣工验收，签署竣工验收意见；</w:t>
      </w:r>
    </w:p>
    <w:p w14:paraId="35D45EA0">
      <w:pPr>
        <w:spacing w:line="276" w:lineRule="auto"/>
        <w:ind w:firstLine="420"/>
        <w:rPr>
          <w:rFonts w:hint="eastAsia" w:ascii="仿宋" w:hAnsi="仿宋" w:eastAsia="仿宋" w:cs="仿宋"/>
          <w:szCs w:val="21"/>
        </w:rPr>
      </w:pPr>
      <w:r>
        <w:rPr>
          <w:rFonts w:hint="eastAsia" w:ascii="仿宋" w:hAnsi="仿宋" w:eastAsia="仿宋" w:cs="仿宋"/>
          <w:szCs w:val="21"/>
        </w:rPr>
        <w:t>（21）审查施工承包人提交的竣工结算申请并报委托人；</w:t>
      </w:r>
    </w:p>
    <w:p w14:paraId="46A5A92C">
      <w:pPr>
        <w:spacing w:line="276" w:lineRule="auto"/>
        <w:ind w:firstLine="420"/>
        <w:rPr>
          <w:rFonts w:hint="eastAsia" w:ascii="仿宋" w:hAnsi="仿宋" w:eastAsia="仿宋" w:cs="仿宋"/>
          <w:szCs w:val="21"/>
        </w:rPr>
      </w:pPr>
      <w:r>
        <w:rPr>
          <w:rFonts w:hint="eastAsia" w:ascii="仿宋" w:hAnsi="仿宋" w:eastAsia="仿宋" w:cs="仿宋"/>
          <w:szCs w:val="21"/>
        </w:rPr>
        <w:t>（22）编制、整理工程监理归档文件并报委托人。</w:t>
      </w:r>
    </w:p>
    <w:p w14:paraId="0FF27124">
      <w:pPr>
        <w:spacing w:line="276" w:lineRule="auto"/>
        <w:ind w:left="420" w:firstLine="105"/>
        <w:rPr>
          <w:rFonts w:hint="eastAsia" w:ascii="仿宋" w:hAnsi="仿宋" w:eastAsia="仿宋" w:cs="仿宋"/>
          <w:szCs w:val="21"/>
        </w:rPr>
      </w:pPr>
      <w:r>
        <w:rPr>
          <w:rFonts w:hint="eastAsia" w:ascii="仿宋" w:hAnsi="仿宋" w:eastAsia="仿宋" w:cs="仿宋"/>
          <w:szCs w:val="21"/>
        </w:rPr>
        <w:t>2.1.3相关服务的范围和内容在附录A中约定。</w:t>
      </w:r>
    </w:p>
    <w:p w14:paraId="0A009D02">
      <w:pPr>
        <w:spacing w:line="276" w:lineRule="auto"/>
        <w:ind w:firstLine="210"/>
        <w:rPr>
          <w:rFonts w:hint="eastAsia" w:ascii="仿宋" w:hAnsi="仿宋" w:eastAsia="仿宋" w:cs="仿宋"/>
          <w:bCs/>
          <w:szCs w:val="21"/>
        </w:rPr>
      </w:pPr>
      <w:r>
        <w:rPr>
          <w:rFonts w:hint="eastAsia" w:ascii="仿宋" w:hAnsi="仿宋" w:eastAsia="仿宋" w:cs="仿宋"/>
          <w:szCs w:val="21"/>
        </w:rPr>
        <w:t>2.2</w:t>
      </w:r>
      <w:r>
        <w:rPr>
          <w:rFonts w:hint="eastAsia" w:ascii="仿宋" w:hAnsi="仿宋" w:eastAsia="仿宋" w:cs="仿宋"/>
          <w:bCs/>
          <w:szCs w:val="21"/>
        </w:rPr>
        <w:t>监理与相关服务依据</w:t>
      </w:r>
    </w:p>
    <w:p w14:paraId="1153AA9E">
      <w:pPr>
        <w:spacing w:line="276" w:lineRule="auto"/>
        <w:ind w:firstLine="420"/>
        <w:rPr>
          <w:rFonts w:hint="eastAsia" w:ascii="仿宋" w:hAnsi="仿宋" w:eastAsia="仿宋" w:cs="仿宋"/>
          <w:szCs w:val="21"/>
        </w:rPr>
      </w:pPr>
      <w:r>
        <w:rPr>
          <w:rFonts w:hint="eastAsia" w:ascii="仿宋" w:hAnsi="仿宋" w:eastAsia="仿宋" w:cs="仿宋"/>
          <w:szCs w:val="21"/>
        </w:rPr>
        <w:t>2.2.1监理依据包括：</w:t>
      </w:r>
    </w:p>
    <w:p w14:paraId="35679F09">
      <w:pPr>
        <w:spacing w:line="276" w:lineRule="auto"/>
        <w:ind w:firstLine="525"/>
        <w:rPr>
          <w:rFonts w:hint="eastAsia" w:ascii="仿宋" w:hAnsi="仿宋" w:eastAsia="仿宋" w:cs="仿宋"/>
          <w:szCs w:val="21"/>
        </w:rPr>
      </w:pPr>
      <w:r>
        <w:rPr>
          <w:rFonts w:hint="eastAsia" w:ascii="仿宋" w:hAnsi="仿宋" w:eastAsia="仿宋" w:cs="仿宋"/>
          <w:szCs w:val="21"/>
        </w:rPr>
        <w:t>（1）适用的法律、行政法规及部门规章；</w:t>
      </w:r>
    </w:p>
    <w:p w14:paraId="6DEEB69B">
      <w:pPr>
        <w:spacing w:line="276" w:lineRule="auto"/>
        <w:ind w:firstLine="525"/>
        <w:rPr>
          <w:rFonts w:hint="eastAsia" w:ascii="仿宋" w:hAnsi="仿宋" w:eastAsia="仿宋" w:cs="仿宋"/>
          <w:szCs w:val="21"/>
        </w:rPr>
      </w:pPr>
      <w:r>
        <w:rPr>
          <w:rFonts w:hint="eastAsia" w:ascii="仿宋" w:hAnsi="仿宋" w:eastAsia="仿宋" w:cs="仿宋"/>
          <w:szCs w:val="21"/>
        </w:rPr>
        <w:t>（2）与工程有关的标准；</w:t>
      </w:r>
    </w:p>
    <w:p w14:paraId="4BBF9DF0">
      <w:pPr>
        <w:spacing w:line="276" w:lineRule="auto"/>
        <w:ind w:firstLine="525"/>
        <w:rPr>
          <w:rFonts w:hint="eastAsia" w:ascii="仿宋" w:hAnsi="仿宋" w:eastAsia="仿宋" w:cs="仿宋"/>
          <w:szCs w:val="21"/>
        </w:rPr>
      </w:pPr>
      <w:r>
        <w:rPr>
          <w:rFonts w:hint="eastAsia" w:ascii="仿宋" w:hAnsi="仿宋" w:eastAsia="仿宋" w:cs="仿宋"/>
          <w:szCs w:val="21"/>
        </w:rPr>
        <w:t>（3）工程设计及有关文件；</w:t>
      </w:r>
    </w:p>
    <w:p w14:paraId="04F7A746">
      <w:pPr>
        <w:spacing w:line="276" w:lineRule="auto"/>
        <w:ind w:firstLine="525"/>
        <w:rPr>
          <w:rFonts w:hint="eastAsia" w:ascii="仿宋" w:hAnsi="仿宋" w:eastAsia="仿宋" w:cs="仿宋"/>
          <w:szCs w:val="21"/>
        </w:rPr>
      </w:pPr>
      <w:r>
        <w:rPr>
          <w:rFonts w:hint="eastAsia" w:ascii="仿宋" w:hAnsi="仿宋" w:eastAsia="仿宋" w:cs="仿宋"/>
          <w:szCs w:val="21"/>
        </w:rPr>
        <w:t>（4）本合同及委托人与第三方签订的与实施工程有关的其他合同。</w:t>
      </w:r>
    </w:p>
    <w:p w14:paraId="79670AB5">
      <w:pPr>
        <w:spacing w:line="276" w:lineRule="auto"/>
        <w:ind w:left="210" w:firstLine="420"/>
        <w:rPr>
          <w:rFonts w:hint="eastAsia" w:ascii="仿宋" w:hAnsi="仿宋" w:eastAsia="仿宋" w:cs="仿宋"/>
          <w:bCs/>
          <w:szCs w:val="21"/>
        </w:rPr>
      </w:pPr>
      <w:r>
        <w:rPr>
          <w:rFonts w:hint="eastAsia" w:ascii="仿宋" w:hAnsi="仿宋" w:eastAsia="仿宋" w:cs="仿宋"/>
          <w:bCs/>
          <w:szCs w:val="21"/>
        </w:rPr>
        <w:t>双方根据工程的行业和地域特点，在专用条件中具体约定监理依据。</w:t>
      </w:r>
    </w:p>
    <w:p w14:paraId="62F399BB">
      <w:pPr>
        <w:spacing w:line="276" w:lineRule="auto"/>
        <w:ind w:firstLine="420"/>
        <w:rPr>
          <w:rFonts w:hint="eastAsia" w:ascii="仿宋" w:hAnsi="仿宋" w:eastAsia="仿宋" w:cs="仿宋"/>
          <w:szCs w:val="21"/>
        </w:rPr>
      </w:pPr>
      <w:r>
        <w:rPr>
          <w:rFonts w:hint="eastAsia" w:ascii="仿宋" w:hAnsi="仿宋" w:eastAsia="仿宋" w:cs="仿宋"/>
          <w:szCs w:val="21"/>
        </w:rPr>
        <w:t>2.2.2相关服务依据在专用条件中约定。</w:t>
      </w:r>
    </w:p>
    <w:p w14:paraId="14AB09CB">
      <w:pPr>
        <w:spacing w:line="276" w:lineRule="auto"/>
        <w:ind w:firstLine="210"/>
        <w:rPr>
          <w:rFonts w:hint="eastAsia" w:ascii="仿宋" w:hAnsi="仿宋" w:eastAsia="仿宋" w:cs="仿宋"/>
          <w:szCs w:val="21"/>
        </w:rPr>
      </w:pPr>
      <w:r>
        <w:rPr>
          <w:rFonts w:hint="eastAsia" w:ascii="仿宋" w:hAnsi="仿宋" w:eastAsia="仿宋" w:cs="仿宋"/>
          <w:szCs w:val="21"/>
        </w:rPr>
        <w:t>2.3项目监理机构和人员</w:t>
      </w:r>
    </w:p>
    <w:p w14:paraId="7C07A7E4">
      <w:pPr>
        <w:spacing w:line="276" w:lineRule="auto"/>
        <w:ind w:firstLine="420"/>
        <w:rPr>
          <w:rFonts w:hint="eastAsia" w:ascii="仿宋" w:hAnsi="仿宋" w:eastAsia="仿宋" w:cs="仿宋"/>
          <w:szCs w:val="21"/>
        </w:rPr>
      </w:pPr>
      <w:r>
        <w:rPr>
          <w:rFonts w:hint="eastAsia" w:ascii="仿宋" w:hAnsi="仿宋" w:eastAsia="仿宋" w:cs="仿宋"/>
          <w:szCs w:val="21"/>
        </w:rPr>
        <w:t>2.3.1监理人应组建满足工作需要的项目监理机构，配备必要的检测设备。项目监理机构的主要人员应具有相应的资格条件。</w:t>
      </w:r>
    </w:p>
    <w:p w14:paraId="799792FB">
      <w:pPr>
        <w:spacing w:line="276" w:lineRule="auto"/>
        <w:ind w:firstLine="420"/>
        <w:rPr>
          <w:rFonts w:hint="eastAsia" w:ascii="仿宋" w:hAnsi="仿宋" w:eastAsia="仿宋" w:cs="仿宋"/>
          <w:szCs w:val="21"/>
        </w:rPr>
      </w:pPr>
      <w:r>
        <w:rPr>
          <w:rFonts w:hint="eastAsia" w:ascii="仿宋" w:hAnsi="仿宋" w:eastAsia="仿宋" w:cs="仿宋"/>
          <w:szCs w:val="21"/>
        </w:rPr>
        <w:t>2.3.2本合同履行过程中，总监理工程师及重要岗位监理人员应保持相对稳定，以保证监理工作正常进行。</w:t>
      </w:r>
    </w:p>
    <w:p w14:paraId="44C8D864">
      <w:pPr>
        <w:spacing w:line="276" w:lineRule="auto"/>
        <w:ind w:firstLine="420"/>
        <w:rPr>
          <w:rFonts w:hint="eastAsia" w:ascii="仿宋" w:hAnsi="仿宋" w:eastAsia="仿宋" w:cs="仿宋"/>
          <w:szCs w:val="21"/>
        </w:rPr>
      </w:pPr>
      <w:r>
        <w:rPr>
          <w:rFonts w:hint="eastAsia" w:ascii="仿宋" w:hAnsi="仿宋" w:eastAsia="仿宋" w:cs="仿宋"/>
          <w:szCs w:val="21"/>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38E435C3">
      <w:pPr>
        <w:spacing w:line="276" w:lineRule="auto"/>
        <w:ind w:firstLine="420"/>
        <w:rPr>
          <w:rFonts w:hint="eastAsia" w:ascii="仿宋" w:hAnsi="仿宋" w:eastAsia="仿宋" w:cs="仿宋"/>
          <w:szCs w:val="21"/>
        </w:rPr>
      </w:pPr>
      <w:r>
        <w:rPr>
          <w:rFonts w:hint="eastAsia" w:ascii="仿宋" w:hAnsi="仿宋" w:eastAsia="仿宋" w:cs="仿宋"/>
          <w:szCs w:val="21"/>
        </w:rPr>
        <w:t>2.3.4监理人应及时更换有下列情形之一的监理人员：</w:t>
      </w:r>
    </w:p>
    <w:p w14:paraId="4F9B0B2B">
      <w:pPr>
        <w:spacing w:line="276" w:lineRule="auto"/>
        <w:ind w:firstLine="420"/>
        <w:rPr>
          <w:rFonts w:hint="eastAsia" w:ascii="仿宋" w:hAnsi="仿宋" w:eastAsia="仿宋" w:cs="仿宋"/>
          <w:szCs w:val="21"/>
        </w:rPr>
      </w:pPr>
      <w:r>
        <w:rPr>
          <w:rFonts w:hint="eastAsia" w:ascii="仿宋" w:hAnsi="仿宋" w:eastAsia="仿宋" w:cs="仿宋"/>
          <w:szCs w:val="21"/>
        </w:rPr>
        <w:t>（1）严重过失行为的；</w:t>
      </w:r>
    </w:p>
    <w:p w14:paraId="195931F3">
      <w:pPr>
        <w:spacing w:line="276" w:lineRule="auto"/>
        <w:ind w:firstLine="420"/>
        <w:rPr>
          <w:rFonts w:hint="eastAsia" w:ascii="仿宋" w:hAnsi="仿宋" w:eastAsia="仿宋" w:cs="仿宋"/>
          <w:szCs w:val="21"/>
        </w:rPr>
      </w:pPr>
      <w:r>
        <w:rPr>
          <w:rFonts w:hint="eastAsia" w:ascii="仿宋" w:hAnsi="仿宋" w:eastAsia="仿宋" w:cs="仿宋"/>
          <w:szCs w:val="21"/>
        </w:rPr>
        <w:t>（2）有违法行为不能履行职责的；</w:t>
      </w:r>
    </w:p>
    <w:p w14:paraId="7234CC16">
      <w:pPr>
        <w:spacing w:line="276" w:lineRule="auto"/>
        <w:ind w:firstLine="420"/>
        <w:rPr>
          <w:rFonts w:hint="eastAsia" w:ascii="仿宋" w:hAnsi="仿宋" w:eastAsia="仿宋" w:cs="仿宋"/>
          <w:szCs w:val="21"/>
        </w:rPr>
      </w:pPr>
      <w:r>
        <w:rPr>
          <w:rFonts w:hint="eastAsia" w:ascii="仿宋" w:hAnsi="仿宋" w:eastAsia="仿宋" w:cs="仿宋"/>
          <w:szCs w:val="21"/>
        </w:rPr>
        <w:t>（3）涉嫌犯罪的；</w:t>
      </w:r>
    </w:p>
    <w:p w14:paraId="3BC72856">
      <w:pPr>
        <w:spacing w:line="276" w:lineRule="auto"/>
        <w:ind w:firstLine="420"/>
        <w:rPr>
          <w:rFonts w:hint="eastAsia" w:ascii="仿宋" w:hAnsi="仿宋" w:eastAsia="仿宋" w:cs="仿宋"/>
          <w:szCs w:val="21"/>
        </w:rPr>
      </w:pPr>
      <w:r>
        <w:rPr>
          <w:rFonts w:hint="eastAsia" w:ascii="仿宋" w:hAnsi="仿宋" w:eastAsia="仿宋" w:cs="仿宋"/>
          <w:szCs w:val="21"/>
        </w:rPr>
        <w:t>（4）不能胜任岗位职责的；</w:t>
      </w:r>
    </w:p>
    <w:p w14:paraId="1E04E55A">
      <w:pPr>
        <w:spacing w:line="276" w:lineRule="auto"/>
        <w:ind w:firstLine="420"/>
        <w:rPr>
          <w:rFonts w:hint="eastAsia" w:ascii="仿宋" w:hAnsi="仿宋" w:eastAsia="仿宋" w:cs="仿宋"/>
          <w:szCs w:val="21"/>
        </w:rPr>
      </w:pPr>
      <w:r>
        <w:rPr>
          <w:rFonts w:hint="eastAsia" w:ascii="仿宋" w:hAnsi="仿宋" w:eastAsia="仿宋" w:cs="仿宋"/>
          <w:szCs w:val="21"/>
        </w:rPr>
        <w:t>（5）严重违反职业道德的；</w:t>
      </w:r>
    </w:p>
    <w:p w14:paraId="062DC2DC">
      <w:pPr>
        <w:spacing w:line="276" w:lineRule="auto"/>
        <w:ind w:firstLine="420"/>
        <w:rPr>
          <w:rFonts w:hint="eastAsia" w:ascii="仿宋" w:hAnsi="仿宋" w:eastAsia="仿宋" w:cs="仿宋"/>
          <w:szCs w:val="21"/>
        </w:rPr>
      </w:pPr>
      <w:r>
        <w:rPr>
          <w:rFonts w:hint="eastAsia" w:ascii="仿宋" w:hAnsi="仿宋" w:eastAsia="仿宋" w:cs="仿宋"/>
          <w:szCs w:val="21"/>
        </w:rPr>
        <w:t>（6）专用条件约定的其他情形。</w:t>
      </w:r>
    </w:p>
    <w:p w14:paraId="6EA0A43E">
      <w:pPr>
        <w:spacing w:line="276" w:lineRule="auto"/>
        <w:ind w:firstLine="420"/>
        <w:rPr>
          <w:rFonts w:hint="eastAsia" w:ascii="仿宋" w:hAnsi="仿宋" w:eastAsia="仿宋" w:cs="仿宋"/>
          <w:szCs w:val="21"/>
        </w:rPr>
      </w:pPr>
      <w:r>
        <w:rPr>
          <w:rFonts w:hint="eastAsia" w:ascii="仿宋" w:hAnsi="仿宋" w:eastAsia="仿宋" w:cs="仿宋"/>
          <w:szCs w:val="21"/>
        </w:rPr>
        <w:t>2.3.5委托人可要求监理人更换不能胜任本职工作的项目监理机构人员。</w:t>
      </w:r>
    </w:p>
    <w:p w14:paraId="23AB82B1">
      <w:pPr>
        <w:spacing w:line="276" w:lineRule="auto"/>
        <w:ind w:left="210"/>
        <w:rPr>
          <w:rFonts w:hint="eastAsia" w:ascii="仿宋" w:hAnsi="仿宋" w:eastAsia="仿宋" w:cs="仿宋"/>
          <w:szCs w:val="21"/>
        </w:rPr>
      </w:pPr>
      <w:r>
        <w:rPr>
          <w:rFonts w:hint="eastAsia" w:ascii="仿宋" w:hAnsi="仿宋" w:eastAsia="仿宋" w:cs="仿宋"/>
          <w:szCs w:val="21"/>
        </w:rPr>
        <w:t>2.4履行职责</w:t>
      </w:r>
    </w:p>
    <w:p w14:paraId="3C536F32">
      <w:pPr>
        <w:spacing w:line="276" w:lineRule="auto"/>
        <w:ind w:firstLine="420"/>
        <w:rPr>
          <w:rFonts w:hint="eastAsia" w:ascii="仿宋" w:hAnsi="仿宋" w:eastAsia="仿宋" w:cs="仿宋"/>
          <w:szCs w:val="21"/>
        </w:rPr>
      </w:pPr>
      <w:r>
        <w:rPr>
          <w:rFonts w:hint="eastAsia" w:ascii="仿宋" w:hAnsi="仿宋" w:eastAsia="仿宋" w:cs="仿宋"/>
          <w:szCs w:val="21"/>
        </w:rPr>
        <w:t>监理人应遵循职业道德准则和行为规范，严格按照法律法规、工程建设有关标准及本合同履行职责。</w:t>
      </w:r>
    </w:p>
    <w:p w14:paraId="4AF446E5">
      <w:pPr>
        <w:spacing w:line="276" w:lineRule="auto"/>
        <w:ind w:firstLine="420"/>
        <w:rPr>
          <w:rFonts w:hint="eastAsia" w:ascii="仿宋" w:hAnsi="仿宋" w:eastAsia="仿宋" w:cs="仿宋"/>
          <w:szCs w:val="21"/>
        </w:rPr>
      </w:pPr>
      <w:r>
        <w:rPr>
          <w:rFonts w:hint="eastAsia" w:ascii="仿宋" w:hAnsi="仿宋" w:eastAsia="仿宋" w:cs="仿宋"/>
          <w:szCs w:val="21"/>
        </w:rPr>
        <w:t>2.4.1在建理与相关服务范围内，委托人和承包人提出的意见和要求，监理人应及时提出处置意见。当委托人与承包人之间发生合同争议时，监理人应协助委托人、承包人协商解决。</w:t>
      </w:r>
    </w:p>
    <w:p w14:paraId="04196600">
      <w:pPr>
        <w:spacing w:line="276" w:lineRule="auto"/>
        <w:ind w:firstLine="420"/>
        <w:rPr>
          <w:rFonts w:hint="eastAsia" w:ascii="仿宋" w:hAnsi="仿宋" w:eastAsia="仿宋" w:cs="仿宋"/>
          <w:szCs w:val="21"/>
        </w:rPr>
      </w:pPr>
      <w:r>
        <w:rPr>
          <w:rFonts w:hint="eastAsia" w:ascii="仿宋" w:hAnsi="仿宋" w:eastAsia="仿宋" w:cs="仿宋"/>
          <w:szCs w:val="21"/>
        </w:rPr>
        <w:t>2.4.2当委托人与承包人之间的合同争议提交仲裁机构仲裁或人民法院审理时，监理人应提供必要的证明资料。</w:t>
      </w:r>
    </w:p>
    <w:p w14:paraId="3784EAA6">
      <w:pPr>
        <w:spacing w:line="276" w:lineRule="auto"/>
        <w:ind w:firstLine="420"/>
        <w:rPr>
          <w:rFonts w:hint="eastAsia" w:ascii="仿宋" w:hAnsi="仿宋" w:eastAsia="仿宋" w:cs="仿宋"/>
          <w:szCs w:val="21"/>
        </w:rPr>
      </w:pPr>
      <w:r>
        <w:rPr>
          <w:rFonts w:hint="eastAsia" w:ascii="仿宋" w:hAnsi="仿宋" w:eastAsia="仿宋" w:cs="仿宋"/>
          <w:szCs w:val="21"/>
        </w:rPr>
        <w:t>2.4.3监理人应在专用条件约定的授权范围内，处理委托人与承包人所签订合同的变更事宜。如果变更超过授权范围，应以书面形式报委托人批准。</w:t>
      </w:r>
    </w:p>
    <w:p w14:paraId="46DE8007">
      <w:pPr>
        <w:spacing w:line="276" w:lineRule="auto"/>
        <w:ind w:firstLine="420"/>
        <w:rPr>
          <w:rFonts w:hint="eastAsia" w:ascii="仿宋" w:hAnsi="仿宋" w:eastAsia="仿宋" w:cs="仿宋"/>
          <w:szCs w:val="21"/>
        </w:rPr>
      </w:pPr>
      <w:r>
        <w:rPr>
          <w:rFonts w:hint="eastAsia" w:ascii="仿宋" w:hAnsi="仿宋" w:eastAsia="仿宋" w:cs="仿宋"/>
          <w:szCs w:val="21"/>
        </w:rPr>
        <w:t>在紧急情况下，为了保护财产和人身安全，监理人所发出的指令未能事先报委托人批准时，应在发出指令后的24小时内以书面形式报委托人。</w:t>
      </w:r>
    </w:p>
    <w:p w14:paraId="2B3346A0">
      <w:pPr>
        <w:spacing w:line="276" w:lineRule="auto"/>
        <w:ind w:firstLine="420"/>
        <w:rPr>
          <w:rFonts w:hint="eastAsia" w:ascii="仿宋" w:hAnsi="仿宋" w:eastAsia="仿宋" w:cs="仿宋"/>
          <w:szCs w:val="21"/>
        </w:rPr>
      </w:pPr>
      <w:r>
        <w:rPr>
          <w:rFonts w:hint="eastAsia" w:ascii="仿宋" w:hAnsi="仿宋" w:eastAsia="仿宋" w:cs="仿宋"/>
          <w:szCs w:val="21"/>
        </w:rPr>
        <w:t>2.4.4除专用条件另有约定外，监理人发现承包人的人员不能胜任本职工作的，有权要求承包人予以调换。</w:t>
      </w:r>
    </w:p>
    <w:p w14:paraId="12BB674E">
      <w:pPr>
        <w:spacing w:line="276" w:lineRule="auto"/>
        <w:ind w:left="210"/>
        <w:rPr>
          <w:rFonts w:hint="eastAsia" w:ascii="仿宋" w:hAnsi="仿宋" w:eastAsia="仿宋" w:cs="仿宋"/>
          <w:szCs w:val="21"/>
        </w:rPr>
      </w:pPr>
      <w:r>
        <w:rPr>
          <w:rFonts w:hint="eastAsia" w:ascii="仿宋" w:hAnsi="仿宋" w:eastAsia="仿宋" w:cs="仿宋"/>
          <w:szCs w:val="21"/>
        </w:rPr>
        <w:t>2.5提交报告</w:t>
      </w:r>
    </w:p>
    <w:p w14:paraId="67819477">
      <w:pPr>
        <w:spacing w:line="276" w:lineRule="auto"/>
        <w:ind w:firstLine="420"/>
        <w:rPr>
          <w:rFonts w:hint="eastAsia" w:ascii="仿宋" w:hAnsi="仿宋" w:eastAsia="仿宋" w:cs="仿宋"/>
          <w:szCs w:val="21"/>
        </w:rPr>
      </w:pPr>
      <w:r>
        <w:rPr>
          <w:rFonts w:hint="eastAsia" w:ascii="仿宋" w:hAnsi="仿宋" w:eastAsia="仿宋" w:cs="仿宋"/>
          <w:szCs w:val="21"/>
        </w:rPr>
        <w:t>监理人应按专用条件约定的种类、时间和份数向委托人提交监理与相关服务的报告。</w:t>
      </w:r>
    </w:p>
    <w:p w14:paraId="48383564">
      <w:pPr>
        <w:spacing w:line="276" w:lineRule="auto"/>
        <w:ind w:left="210"/>
        <w:rPr>
          <w:rFonts w:hint="eastAsia" w:ascii="仿宋" w:hAnsi="仿宋" w:eastAsia="仿宋" w:cs="仿宋"/>
          <w:szCs w:val="21"/>
        </w:rPr>
      </w:pPr>
      <w:r>
        <w:rPr>
          <w:rFonts w:hint="eastAsia" w:ascii="仿宋" w:hAnsi="仿宋" w:eastAsia="仿宋" w:cs="仿宋"/>
          <w:szCs w:val="21"/>
        </w:rPr>
        <w:t>2.6文件资料</w:t>
      </w:r>
    </w:p>
    <w:p w14:paraId="690FDD8A">
      <w:pPr>
        <w:spacing w:line="276" w:lineRule="auto"/>
        <w:ind w:firstLine="420"/>
        <w:rPr>
          <w:rFonts w:hint="eastAsia" w:ascii="仿宋" w:hAnsi="仿宋" w:eastAsia="仿宋" w:cs="仿宋"/>
          <w:szCs w:val="21"/>
        </w:rPr>
      </w:pPr>
      <w:r>
        <w:rPr>
          <w:rFonts w:hint="eastAsia" w:ascii="仿宋" w:hAnsi="仿宋" w:eastAsia="仿宋" w:cs="仿宋"/>
          <w:szCs w:val="21"/>
        </w:rPr>
        <w:t>在本合同履行期内，监理人应在现场保留工作所用的图纸、报告及记录监理工作的相关文件。工程竣工后，应当按照档案管理规定将监理有关文件归档。</w:t>
      </w:r>
    </w:p>
    <w:p w14:paraId="06854424">
      <w:pPr>
        <w:spacing w:line="276" w:lineRule="auto"/>
        <w:ind w:left="210"/>
        <w:rPr>
          <w:rFonts w:hint="eastAsia" w:ascii="仿宋" w:hAnsi="仿宋" w:eastAsia="仿宋" w:cs="仿宋"/>
          <w:szCs w:val="21"/>
        </w:rPr>
      </w:pPr>
      <w:r>
        <w:rPr>
          <w:rFonts w:hint="eastAsia" w:ascii="仿宋" w:hAnsi="仿宋" w:eastAsia="仿宋" w:cs="仿宋"/>
          <w:szCs w:val="21"/>
        </w:rPr>
        <w:t>2.7使用委托人的财产</w:t>
      </w:r>
    </w:p>
    <w:p w14:paraId="23D01975">
      <w:pPr>
        <w:spacing w:line="276" w:lineRule="auto"/>
        <w:ind w:firstLine="420"/>
        <w:rPr>
          <w:rFonts w:hint="eastAsia" w:ascii="仿宋" w:hAnsi="仿宋" w:eastAsia="仿宋" w:cs="仿宋"/>
          <w:szCs w:val="21"/>
        </w:rPr>
      </w:pPr>
      <w:r>
        <w:rPr>
          <w:rFonts w:hint="eastAsia" w:ascii="仿宋" w:hAnsi="仿宋" w:eastAsia="仿宋" w:cs="仿宋"/>
          <w:szCs w:val="21"/>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7B0EABA4">
      <w:pPr>
        <w:spacing w:line="276" w:lineRule="auto"/>
        <w:ind w:firstLine="422"/>
        <w:rPr>
          <w:rFonts w:hint="eastAsia" w:ascii="仿宋" w:hAnsi="仿宋" w:eastAsia="仿宋" w:cs="仿宋"/>
          <w:b/>
        </w:rPr>
      </w:pPr>
      <w:bookmarkStart w:id="27" w:name="_Toc398107903"/>
      <w:r>
        <w:rPr>
          <w:rFonts w:hint="eastAsia" w:ascii="仿宋" w:hAnsi="仿宋" w:eastAsia="仿宋" w:cs="仿宋"/>
          <w:b/>
        </w:rPr>
        <w:t>3．委托人的义务</w:t>
      </w:r>
      <w:bookmarkEnd w:id="27"/>
    </w:p>
    <w:p w14:paraId="6817F6DA">
      <w:pPr>
        <w:spacing w:line="276" w:lineRule="auto"/>
        <w:ind w:left="210"/>
        <w:rPr>
          <w:rFonts w:hint="eastAsia" w:ascii="仿宋" w:hAnsi="仿宋" w:eastAsia="仿宋" w:cs="仿宋"/>
          <w:szCs w:val="21"/>
        </w:rPr>
      </w:pPr>
      <w:r>
        <w:rPr>
          <w:rFonts w:hint="eastAsia" w:ascii="仿宋" w:hAnsi="仿宋" w:eastAsia="仿宋" w:cs="仿宋"/>
          <w:szCs w:val="21"/>
        </w:rPr>
        <w:t>3.1告知</w:t>
      </w:r>
    </w:p>
    <w:p w14:paraId="54E2DFB9">
      <w:pPr>
        <w:spacing w:line="276" w:lineRule="auto"/>
        <w:ind w:firstLine="420"/>
        <w:rPr>
          <w:rFonts w:hint="eastAsia" w:ascii="仿宋" w:hAnsi="仿宋" w:eastAsia="仿宋" w:cs="仿宋"/>
          <w:szCs w:val="21"/>
        </w:rPr>
      </w:pPr>
      <w:r>
        <w:rPr>
          <w:rFonts w:hint="eastAsia" w:ascii="仿宋" w:hAnsi="仿宋" w:eastAsia="仿宋" w:cs="仿宋"/>
          <w:szCs w:val="21"/>
        </w:rPr>
        <w:t>委托人应在委托人与承包人签订的合同中明确监理人、总监理工程师和授予项目监理机构的权限。如有变更，应及时通知承包人。</w:t>
      </w:r>
    </w:p>
    <w:p w14:paraId="7345FBFB">
      <w:pPr>
        <w:spacing w:line="276" w:lineRule="auto"/>
        <w:ind w:left="210"/>
        <w:rPr>
          <w:rFonts w:hint="eastAsia" w:ascii="仿宋" w:hAnsi="仿宋" w:eastAsia="仿宋" w:cs="仿宋"/>
          <w:szCs w:val="21"/>
        </w:rPr>
      </w:pPr>
      <w:r>
        <w:rPr>
          <w:rFonts w:hint="eastAsia" w:ascii="仿宋" w:hAnsi="仿宋" w:eastAsia="仿宋" w:cs="仿宋"/>
          <w:szCs w:val="21"/>
        </w:rPr>
        <w:t>3.2提供资料</w:t>
      </w:r>
    </w:p>
    <w:p w14:paraId="79E08BBF">
      <w:pPr>
        <w:spacing w:line="276" w:lineRule="auto"/>
        <w:ind w:firstLine="420"/>
        <w:rPr>
          <w:rFonts w:hint="eastAsia" w:ascii="仿宋" w:hAnsi="仿宋" w:eastAsia="仿宋" w:cs="仿宋"/>
          <w:szCs w:val="21"/>
        </w:rPr>
      </w:pPr>
      <w:r>
        <w:rPr>
          <w:rFonts w:hint="eastAsia" w:ascii="仿宋" w:hAnsi="仿宋" w:eastAsia="仿宋" w:cs="仿宋"/>
          <w:szCs w:val="21"/>
        </w:rPr>
        <w:t>委托人应按照附录B约定，无偿向监理人提供工程有关的资料。在本合同履行过程中，委托人应及时向监理人提供最新的与工程有关的资料。</w:t>
      </w:r>
    </w:p>
    <w:p w14:paraId="15EBC173">
      <w:pPr>
        <w:spacing w:line="276" w:lineRule="auto"/>
        <w:ind w:left="210"/>
        <w:rPr>
          <w:rFonts w:hint="eastAsia" w:ascii="仿宋" w:hAnsi="仿宋" w:eastAsia="仿宋" w:cs="仿宋"/>
          <w:szCs w:val="21"/>
        </w:rPr>
      </w:pPr>
      <w:r>
        <w:rPr>
          <w:rFonts w:hint="eastAsia" w:ascii="仿宋" w:hAnsi="仿宋" w:eastAsia="仿宋" w:cs="仿宋"/>
          <w:szCs w:val="21"/>
        </w:rPr>
        <w:t>3.3提供工作条件</w:t>
      </w:r>
    </w:p>
    <w:p w14:paraId="49A2F435">
      <w:pPr>
        <w:spacing w:line="264" w:lineRule="auto"/>
        <w:ind w:firstLine="420"/>
        <w:rPr>
          <w:rFonts w:hint="eastAsia" w:ascii="仿宋" w:hAnsi="仿宋" w:eastAsia="仿宋" w:cs="仿宋"/>
          <w:szCs w:val="21"/>
        </w:rPr>
      </w:pPr>
      <w:r>
        <w:rPr>
          <w:rFonts w:hint="eastAsia" w:ascii="仿宋" w:hAnsi="仿宋" w:eastAsia="仿宋" w:cs="仿宋"/>
          <w:szCs w:val="21"/>
        </w:rPr>
        <w:t>委托人应为监理人完成监理与相关服务提供必要的条件。</w:t>
      </w:r>
    </w:p>
    <w:p w14:paraId="54AFB76D">
      <w:pPr>
        <w:spacing w:line="264" w:lineRule="auto"/>
        <w:ind w:firstLine="420"/>
        <w:rPr>
          <w:rFonts w:hint="eastAsia" w:ascii="仿宋" w:hAnsi="仿宋" w:eastAsia="仿宋" w:cs="仿宋"/>
          <w:szCs w:val="21"/>
        </w:rPr>
      </w:pPr>
      <w:r>
        <w:rPr>
          <w:rFonts w:hint="eastAsia" w:ascii="仿宋" w:hAnsi="仿宋" w:eastAsia="仿宋" w:cs="仿宋"/>
          <w:szCs w:val="21"/>
        </w:rPr>
        <w:t>3.3.1委托人应按照附录B约定，派遣相应的人员，提供房屋、设备，供监理人无偿使用。</w:t>
      </w:r>
    </w:p>
    <w:p w14:paraId="39F3C1E2">
      <w:pPr>
        <w:spacing w:line="264" w:lineRule="auto"/>
        <w:ind w:firstLine="420"/>
        <w:rPr>
          <w:rFonts w:hint="eastAsia" w:ascii="仿宋" w:hAnsi="仿宋" w:eastAsia="仿宋" w:cs="仿宋"/>
          <w:szCs w:val="21"/>
        </w:rPr>
      </w:pPr>
      <w:r>
        <w:rPr>
          <w:rFonts w:hint="eastAsia" w:ascii="仿宋" w:hAnsi="仿宋" w:eastAsia="仿宋" w:cs="仿宋"/>
          <w:szCs w:val="21"/>
        </w:rPr>
        <w:t>3.3.2委托人应负责协调工程建设中所有外部关系，为监理人履行本合同提供必要的外部条件。</w:t>
      </w:r>
    </w:p>
    <w:p w14:paraId="0C805AA9">
      <w:pPr>
        <w:spacing w:line="264" w:lineRule="auto"/>
        <w:ind w:left="210"/>
        <w:rPr>
          <w:rFonts w:hint="eastAsia" w:ascii="仿宋" w:hAnsi="仿宋" w:eastAsia="仿宋" w:cs="仿宋"/>
          <w:szCs w:val="21"/>
        </w:rPr>
      </w:pPr>
      <w:r>
        <w:rPr>
          <w:rFonts w:hint="eastAsia" w:ascii="仿宋" w:hAnsi="仿宋" w:eastAsia="仿宋" w:cs="仿宋"/>
          <w:szCs w:val="21"/>
        </w:rPr>
        <w:t>3.4委托人代表</w:t>
      </w:r>
    </w:p>
    <w:p w14:paraId="33D0E11A">
      <w:pPr>
        <w:spacing w:line="264" w:lineRule="auto"/>
        <w:ind w:firstLine="420"/>
        <w:rPr>
          <w:rFonts w:hint="eastAsia" w:ascii="仿宋" w:hAnsi="仿宋" w:eastAsia="仿宋" w:cs="仿宋"/>
          <w:szCs w:val="21"/>
        </w:rPr>
      </w:pPr>
      <w:r>
        <w:rPr>
          <w:rFonts w:hint="eastAsia" w:ascii="仿宋" w:hAnsi="仿宋" w:eastAsia="仿宋" w:cs="仿宋"/>
          <w:szCs w:val="21"/>
        </w:rPr>
        <w:t>委托人应授权一名熟悉工程情况的代表，负责与监理人联系。委托人应在双方签订本合同后7天内，将委托人代表的姓名和职责书面告知监理人。当委托人更换委托人代表时，应提前7天通知监理人。</w:t>
      </w:r>
    </w:p>
    <w:p w14:paraId="38541097">
      <w:pPr>
        <w:spacing w:line="264" w:lineRule="auto"/>
        <w:ind w:left="210"/>
        <w:rPr>
          <w:rFonts w:hint="eastAsia" w:ascii="仿宋" w:hAnsi="仿宋" w:eastAsia="仿宋" w:cs="仿宋"/>
          <w:szCs w:val="21"/>
        </w:rPr>
      </w:pPr>
      <w:r>
        <w:rPr>
          <w:rFonts w:hint="eastAsia" w:ascii="仿宋" w:hAnsi="仿宋" w:eastAsia="仿宋" w:cs="仿宋"/>
          <w:szCs w:val="21"/>
        </w:rPr>
        <w:t>3.5委托人意见或要求</w:t>
      </w:r>
    </w:p>
    <w:p w14:paraId="51CEE20B">
      <w:pPr>
        <w:spacing w:line="264" w:lineRule="auto"/>
        <w:ind w:firstLine="420"/>
        <w:rPr>
          <w:rFonts w:hint="eastAsia" w:ascii="仿宋" w:hAnsi="仿宋" w:eastAsia="仿宋" w:cs="仿宋"/>
          <w:szCs w:val="21"/>
        </w:rPr>
      </w:pPr>
      <w:r>
        <w:rPr>
          <w:rFonts w:hint="eastAsia" w:ascii="仿宋" w:hAnsi="仿宋" w:eastAsia="仿宋" w:cs="仿宋"/>
          <w:szCs w:val="21"/>
        </w:rPr>
        <w:t>在本合同约定的监理与相关服务工作范围内，委托人对承包人的任何意见或要求应通知监理人，由监理人向承包人发出相应指令。</w:t>
      </w:r>
    </w:p>
    <w:p w14:paraId="6420F884">
      <w:pPr>
        <w:spacing w:line="264" w:lineRule="auto"/>
        <w:ind w:left="210"/>
        <w:rPr>
          <w:rFonts w:hint="eastAsia" w:ascii="仿宋" w:hAnsi="仿宋" w:eastAsia="仿宋" w:cs="仿宋"/>
          <w:szCs w:val="21"/>
        </w:rPr>
      </w:pPr>
      <w:r>
        <w:rPr>
          <w:rFonts w:hint="eastAsia" w:ascii="仿宋" w:hAnsi="仿宋" w:eastAsia="仿宋" w:cs="仿宋"/>
          <w:szCs w:val="21"/>
        </w:rPr>
        <w:t>3.6答复</w:t>
      </w:r>
    </w:p>
    <w:p w14:paraId="470C2C4F">
      <w:pPr>
        <w:spacing w:line="264" w:lineRule="auto"/>
        <w:ind w:firstLine="420"/>
        <w:rPr>
          <w:rFonts w:hint="eastAsia" w:ascii="仿宋" w:hAnsi="仿宋" w:eastAsia="仿宋" w:cs="仿宋"/>
          <w:szCs w:val="21"/>
        </w:rPr>
      </w:pPr>
      <w:r>
        <w:rPr>
          <w:rFonts w:hint="eastAsia" w:ascii="仿宋" w:hAnsi="仿宋" w:eastAsia="仿宋" w:cs="仿宋"/>
          <w:szCs w:val="21"/>
        </w:rPr>
        <w:t>委托人应在专用条件约定的时间内，对监理人以书面形式提交并要求作出决定的事宜，给予书面答复。逾期未答复的，视为委托人认可。</w:t>
      </w:r>
    </w:p>
    <w:p w14:paraId="25E28603">
      <w:pPr>
        <w:spacing w:line="264" w:lineRule="auto"/>
        <w:ind w:left="210"/>
        <w:rPr>
          <w:rFonts w:hint="eastAsia" w:ascii="仿宋" w:hAnsi="仿宋" w:eastAsia="仿宋" w:cs="仿宋"/>
          <w:szCs w:val="21"/>
        </w:rPr>
      </w:pPr>
      <w:r>
        <w:rPr>
          <w:rFonts w:hint="eastAsia" w:ascii="仿宋" w:hAnsi="仿宋" w:eastAsia="仿宋" w:cs="仿宋"/>
          <w:szCs w:val="21"/>
        </w:rPr>
        <w:t>3.7支付</w:t>
      </w:r>
    </w:p>
    <w:p w14:paraId="24588EAE">
      <w:pPr>
        <w:spacing w:line="264" w:lineRule="auto"/>
        <w:ind w:firstLine="420"/>
        <w:rPr>
          <w:rFonts w:hint="eastAsia" w:ascii="仿宋" w:hAnsi="仿宋" w:eastAsia="仿宋" w:cs="仿宋"/>
          <w:szCs w:val="21"/>
        </w:rPr>
      </w:pPr>
      <w:r>
        <w:rPr>
          <w:rFonts w:hint="eastAsia" w:ascii="仿宋" w:hAnsi="仿宋" w:eastAsia="仿宋" w:cs="仿宋"/>
          <w:szCs w:val="21"/>
        </w:rPr>
        <w:t>委托人应按本合同约定，向监理人支付酬金。</w:t>
      </w:r>
    </w:p>
    <w:p w14:paraId="0373304F">
      <w:pPr>
        <w:spacing w:line="264" w:lineRule="auto"/>
        <w:ind w:firstLine="422"/>
        <w:rPr>
          <w:rFonts w:hint="eastAsia" w:ascii="仿宋" w:hAnsi="仿宋" w:eastAsia="仿宋" w:cs="仿宋"/>
          <w:b/>
        </w:rPr>
      </w:pPr>
      <w:bookmarkStart w:id="28" w:name="_Toc398107904"/>
      <w:r>
        <w:rPr>
          <w:rFonts w:hint="eastAsia" w:ascii="仿宋" w:hAnsi="仿宋" w:eastAsia="仿宋" w:cs="仿宋"/>
          <w:b/>
        </w:rPr>
        <w:t>4.违约责任</w:t>
      </w:r>
      <w:bookmarkEnd w:id="28"/>
    </w:p>
    <w:p w14:paraId="01888121">
      <w:pPr>
        <w:spacing w:line="264" w:lineRule="auto"/>
        <w:ind w:left="210"/>
        <w:rPr>
          <w:rFonts w:hint="eastAsia" w:ascii="仿宋" w:hAnsi="仿宋" w:eastAsia="仿宋" w:cs="仿宋"/>
          <w:szCs w:val="21"/>
        </w:rPr>
      </w:pPr>
      <w:r>
        <w:rPr>
          <w:rFonts w:hint="eastAsia" w:ascii="仿宋" w:hAnsi="仿宋" w:eastAsia="仿宋" w:cs="仿宋"/>
          <w:szCs w:val="21"/>
        </w:rPr>
        <w:t>4.1监理人的违约责任</w:t>
      </w:r>
    </w:p>
    <w:p w14:paraId="0774FCC1">
      <w:pPr>
        <w:spacing w:line="264" w:lineRule="auto"/>
        <w:ind w:firstLine="420"/>
        <w:rPr>
          <w:rFonts w:hint="eastAsia" w:ascii="仿宋" w:hAnsi="仿宋" w:eastAsia="仿宋" w:cs="仿宋"/>
          <w:szCs w:val="21"/>
        </w:rPr>
      </w:pPr>
      <w:r>
        <w:rPr>
          <w:rFonts w:hint="eastAsia" w:ascii="仿宋" w:hAnsi="仿宋" w:eastAsia="仿宋" w:cs="仿宋"/>
          <w:szCs w:val="21"/>
        </w:rPr>
        <w:t>监理人未履行本合同义务的，应承担相应的责任。</w:t>
      </w:r>
    </w:p>
    <w:p w14:paraId="34D9BA60">
      <w:pPr>
        <w:spacing w:line="264" w:lineRule="auto"/>
        <w:ind w:firstLine="420"/>
        <w:rPr>
          <w:rFonts w:hint="eastAsia" w:ascii="仿宋" w:hAnsi="仿宋" w:eastAsia="仿宋" w:cs="仿宋"/>
          <w:szCs w:val="21"/>
        </w:rPr>
      </w:pPr>
      <w:r>
        <w:rPr>
          <w:rFonts w:hint="eastAsia" w:ascii="仿宋" w:hAnsi="仿宋" w:eastAsia="仿宋" w:cs="仿宋"/>
          <w:szCs w:val="21"/>
        </w:rPr>
        <w:t>4.1.1因监理人违反本合同约定给委托人造成损失的，监理人应当赔偿委托人损失。赔偿金额的确定方法在专用条件中约定。监理人承担部分赔偿责任的，其承担赔偿金额由双方协商确定。</w:t>
      </w:r>
    </w:p>
    <w:p w14:paraId="793E1AE2">
      <w:pPr>
        <w:spacing w:line="264" w:lineRule="auto"/>
        <w:ind w:firstLine="420"/>
        <w:rPr>
          <w:rFonts w:hint="eastAsia" w:ascii="仿宋" w:hAnsi="仿宋" w:eastAsia="仿宋" w:cs="仿宋"/>
          <w:szCs w:val="21"/>
        </w:rPr>
      </w:pPr>
      <w:r>
        <w:rPr>
          <w:rFonts w:hint="eastAsia" w:ascii="仿宋" w:hAnsi="仿宋" w:eastAsia="仿宋" w:cs="仿宋"/>
          <w:szCs w:val="21"/>
        </w:rPr>
        <w:t>4.1.2监理人向委托人的索赔不成立时，监理人应赔偿委托人由此发生的费用。</w:t>
      </w:r>
    </w:p>
    <w:p w14:paraId="2955AD7E">
      <w:pPr>
        <w:spacing w:line="264" w:lineRule="auto"/>
        <w:ind w:firstLine="210"/>
        <w:rPr>
          <w:rFonts w:hint="eastAsia" w:ascii="仿宋" w:hAnsi="仿宋" w:eastAsia="仿宋" w:cs="仿宋"/>
          <w:szCs w:val="21"/>
        </w:rPr>
      </w:pPr>
      <w:r>
        <w:rPr>
          <w:rFonts w:hint="eastAsia" w:ascii="仿宋" w:hAnsi="仿宋" w:eastAsia="仿宋" w:cs="仿宋"/>
          <w:szCs w:val="21"/>
        </w:rPr>
        <w:t>4.2委托人的违约责任</w:t>
      </w:r>
    </w:p>
    <w:p w14:paraId="1C043183">
      <w:pPr>
        <w:spacing w:line="264" w:lineRule="auto"/>
        <w:ind w:firstLine="420"/>
        <w:rPr>
          <w:rFonts w:hint="eastAsia" w:ascii="仿宋" w:hAnsi="仿宋" w:eastAsia="仿宋" w:cs="仿宋"/>
          <w:szCs w:val="21"/>
        </w:rPr>
      </w:pPr>
      <w:r>
        <w:rPr>
          <w:rFonts w:hint="eastAsia" w:ascii="仿宋" w:hAnsi="仿宋" w:eastAsia="仿宋" w:cs="仿宋"/>
          <w:szCs w:val="21"/>
        </w:rPr>
        <w:t>委托人未履行本合同义务的，应承担相应的责任。</w:t>
      </w:r>
    </w:p>
    <w:p w14:paraId="29600BF0">
      <w:pPr>
        <w:spacing w:line="264" w:lineRule="auto"/>
        <w:ind w:firstLine="420"/>
        <w:rPr>
          <w:rFonts w:hint="eastAsia" w:ascii="仿宋" w:hAnsi="仿宋" w:eastAsia="仿宋" w:cs="仿宋"/>
          <w:szCs w:val="21"/>
        </w:rPr>
      </w:pPr>
      <w:r>
        <w:rPr>
          <w:rFonts w:hint="eastAsia" w:ascii="仿宋" w:hAnsi="仿宋" w:eastAsia="仿宋" w:cs="仿宋"/>
          <w:szCs w:val="21"/>
        </w:rPr>
        <w:t>4.2.1委托人违反本合同约定造成监理人损失的，委托人应予以赔偿。</w:t>
      </w:r>
    </w:p>
    <w:p w14:paraId="28706FAF">
      <w:pPr>
        <w:spacing w:line="264" w:lineRule="auto"/>
        <w:ind w:firstLine="420"/>
        <w:rPr>
          <w:rFonts w:hint="eastAsia" w:ascii="仿宋" w:hAnsi="仿宋" w:eastAsia="仿宋" w:cs="仿宋"/>
          <w:szCs w:val="21"/>
        </w:rPr>
      </w:pPr>
      <w:r>
        <w:rPr>
          <w:rFonts w:hint="eastAsia" w:ascii="仿宋" w:hAnsi="仿宋" w:eastAsia="仿宋" w:cs="仿宋"/>
          <w:szCs w:val="21"/>
        </w:rPr>
        <w:t>4.2.2委托人向监理人的索赔不成立时，应赔偿监理人由此引起的费用。</w:t>
      </w:r>
    </w:p>
    <w:p w14:paraId="1C7F331D">
      <w:pPr>
        <w:spacing w:line="264" w:lineRule="auto"/>
        <w:ind w:firstLine="420"/>
        <w:rPr>
          <w:rFonts w:hint="eastAsia" w:ascii="仿宋" w:hAnsi="仿宋" w:eastAsia="仿宋" w:cs="仿宋"/>
          <w:szCs w:val="21"/>
        </w:rPr>
      </w:pPr>
      <w:r>
        <w:rPr>
          <w:rFonts w:hint="eastAsia" w:ascii="仿宋" w:hAnsi="仿宋" w:eastAsia="仿宋" w:cs="仿宋"/>
          <w:szCs w:val="21"/>
        </w:rPr>
        <w:t>4.2.3委托人未能按期支付酬金超过28天，应按专用条件约定支付逾期付款利息。</w:t>
      </w:r>
    </w:p>
    <w:p w14:paraId="755FAD1B">
      <w:pPr>
        <w:spacing w:line="264" w:lineRule="auto"/>
        <w:ind w:firstLine="210"/>
        <w:rPr>
          <w:rFonts w:hint="eastAsia" w:ascii="仿宋" w:hAnsi="仿宋" w:eastAsia="仿宋" w:cs="仿宋"/>
          <w:szCs w:val="21"/>
        </w:rPr>
      </w:pPr>
      <w:r>
        <w:rPr>
          <w:rFonts w:hint="eastAsia" w:ascii="仿宋" w:hAnsi="仿宋" w:eastAsia="仿宋" w:cs="仿宋"/>
          <w:szCs w:val="21"/>
        </w:rPr>
        <w:t>4.3除外责任</w:t>
      </w:r>
    </w:p>
    <w:p w14:paraId="565E48D2">
      <w:pPr>
        <w:spacing w:line="264" w:lineRule="auto"/>
        <w:ind w:firstLine="420"/>
        <w:rPr>
          <w:rFonts w:hint="eastAsia" w:ascii="仿宋" w:hAnsi="仿宋" w:eastAsia="仿宋" w:cs="仿宋"/>
          <w:szCs w:val="21"/>
        </w:rPr>
      </w:pPr>
      <w:r>
        <w:rPr>
          <w:rFonts w:hint="eastAsia" w:ascii="仿宋" w:hAnsi="仿宋" w:eastAsia="仿宋" w:cs="仿宋"/>
          <w:szCs w:val="21"/>
        </w:rPr>
        <w:t>因非监理人的原因，且监理人无过错，发生工程质量事故、安全事故、工期延误等造成的损失，监理人不承担赔偿责任。</w:t>
      </w:r>
    </w:p>
    <w:p w14:paraId="42368459">
      <w:pPr>
        <w:spacing w:line="264" w:lineRule="auto"/>
        <w:ind w:firstLine="420"/>
        <w:rPr>
          <w:rFonts w:hint="eastAsia" w:ascii="仿宋" w:hAnsi="仿宋" w:eastAsia="仿宋" w:cs="仿宋"/>
          <w:szCs w:val="21"/>
        </w:rPr>
      </w:pPr>
      <w:r>
        <w:rPr>
          <w:rFonts w:hint="eastAsia" w:ascii="仿宋" w:hAnsi="仿宋" w:eastAsia="仿宋" w:cs="仿宋"/>
          <w:szCs w:val="21"/>
        </w:rPr>
        <w:t>因不可抗力导致本合同全部或部分不能履行时，双方各自承担其因此而造成的损失、损害。</w:t>
      </w:r>
    </w:p>
    <w:p w14:paraId="7E76BF42">
      <w:pPr>
        <w:spacing w:line="264" w:lineRule="auto"/>
        <w:ind w:firstLine="422"/>
        <w:rPr>
          <w:rFonts w:hint="eastAsia" w:ascii="仿宋" w:hAnsi="仿宋" w:eastAsia="仿宋" w:cs="仿宋"/>
          <w:b/>
        </w:rPr>
      </w:pPr>
      <w:bookmarkStart w:id="29" w:name="_Toc398107905"/>
      <w:r>
        <w:rPr>
          <w:rFonts w:hint="eastAsia" w:ascii="仿宋" w:hAnsi="仿宋" w:eastAsia="仿宋" w:cs="仿宋"/>
          <w:b/>
        </w:rPr>
        <w:t>5.支付</w:t>
      </w:r>
      <w:bookmarkEnd w:id="29"/>
    </w:p>
    <w:p w14:paraId="3F075103">
      <w:pPr>
        <w:spacing w:line="264" w:lineRule="auto"/>
        <w:ind w:left="210"/>
        <w:rPr>
          <w:rFonts w:hint="eastAsia" w:ascii="仿宋" w:hAnsi="仿宋" w:eastAsia="仿宋" w:cs="仿宋"/>
          <w:bCs/>
          <w:szCs w:val="21"/>
        </w:rPr>
      </w:pPr>
      <w:r>
        <w:rPr>
          <w:rFonts w:hint="eastAsia" w:ascii="仿宋" w:hAnsi="仿宋" w:eastAsia="仿宋" w:cs="仿宋"/>
          <w:szCs w:val="21"/>
        </w:rPr>
        <w:t>5.1</w:t>
      </w:r>
      <w:r>
        <w:rPr>
          <w:rFonts w:hint="eastAsia" w:ascii="仿宋" w:hAnsi="仿宋" w:eastAsia="仿宋" w:cs="仿宋"/>
          <w:bCs/>
          <w:szCs w:val="21"/>
        </w:rPr>
        <w:t>支付货币</w:t>
      </w:r>
    </w:p>
    <w:p w14:paraId="3866F7D0">
      <w:pPr>
        <w:spacing w:line="264" w:lineRule="auto"/>
        <w:ind w:firstLine="420"/>
        <w:rPr>
          <w:rFonts w:hint="eastAsia" w:ascii="仿宋" w:hAnsi="仿宋" w:eastAsia="仿宋" w:cs="仿宋"/>
          <w:bCs/>
          <w:szCs w:val="21"/>
        </w:rPr>
      </w:pPr>
      <w:r>
        <w:rPr>
          <w:rFonts w:hint="eastAsia" w:ascii="仿宋" w:hAnsi="仿宋" w:eastAsia="仿宋" w:cs="仿宋"/>
          <w:szCs w:val="21"/>
        </w:rPr>
        <w:t>除专用条件另有约定外，酬金均以人民币支付。涉及外币支付的，所采用的货币种类、比例和汇率在专用条件中约定。</w:t>
      </w:r>
    </w:p>
    <w:p w14:paraId="1C4A9E20">
      <w:pPr>
        <w:spacing w:line="264" w:lineRule="auto"/>
        <w:ind w:left="210"/>
        <w:rPr>
          <w:rFonts w:hint="eastAsia" w:ascii="仿宋" w:hAnsi="仿宋" w:eastAsia="仿宋" w:cs="仿宋"/>
          <w:bCs/>
          <w:szCs w:val="21"/>
        </w:rPr>
      </w:pPr>
      <w:r>
        <w:rPr>
          <w:rFonts w:hint="eastAsia" w:ascii="仿宋" w:hAnsi="仿宋" w:eastAsia="仿宋" w:cs="仿宋"/>
          <w:szCs w:val="21"/>
        </w:rPr>
        <w:t>5.2支付申请</w:t>
      </w:r>
    </w:p>
    <w:p w14:paraId="206653B2">
      <w:pPr>
        <w:spacing w:line="264" w:lineRule="auto"/>
        <w:ind w:firstLine="420"/>
        <w:rPr>
          <w:rFonts w:hint="eastAsia" w:ascii="仿宋" w:hAnsi="仿宋" w:eastAsia="仿宋" w:cs="仿宋"/>
          <w:szCs w:val="21"/>
        </w:rPr>
      </w:pPr>
      <w:r>
        <w:rPr>
          <w:rFonts w:hint="eastAsia" w:ascii="仿宋" w:hAnsi="仿宋" w:eastAsia="仿宋" w:cs="仿宋"/>
          <w:szCs w:val="21"/>
        </w:rPr>
        <w:t>监理人应在本合同约定的每次应付款时间的7天前，向委托人提交支付申请书。支付申请书应当说明当期应付款总额，并列出当期应支付的款项及其金额。</w:t>
      </w:r>
    </w:p>
    <w:p w14:paraId="099580AB">
      <w:pPr>
        <w:spacing w:line="264" w:lineRule="auto"/>
        <w:ind w:firstLine="420"/>
        <w:rPr>
          <w:rFonts w:hint="eastAsia" w:ascii="仿宋" w:hAnsi="仿宋" w:eastAsia="仿宋" w:cs="仿宋"/>
          <w:szCs w:val="21"/>
        </w:rPr>
      </w:pPr>
      <w:r>
        <w:rPr>
          <w:rFonts w:hint="eastAsia" w:ascii="仿宋" w:hAnsi="仿宋" w:eastAsia="仿宋" w:cs="仿宋"/>
          <w:szCs w:val="21"/>
        </w:rPr>
        <w:t>5.3支付酬金</w:t>
      </w:r>
    </w:p>
    <w:p w14:paraId="243C1BFA">
      <w:pPr>
        <w:spacing w:line="264" w:lineRule="auto"/>
        <w:ind w:firstLine="420"/>
        <w:rPr>
          <w:rFonts w:hint="eastAsia" w:ascii="仿宋" w:hAnsi="仿宋" w:eastAsia="仿宋" w:cs="仿宋"/>
          <w:b/>
          <w:bCs/>
          <w:color w:val="FFFFFF"/>
          <w:szCs w:val="21"/>
        </w:rPr>
      </w:pPr>
      <w:r>
        <w:rPr>
          <w:rFonts w:hint="eastAsia" w:ascii="仿宋" w:hAnsi="仿宋" w:eastAsia="仿宋" w:cs="仿宋"/>
          <w:b/>
          <w:bCs/>
          <w:szCs w:val="21"/>
        </w:rPr>
        <w:t>。</w:t>
      </w:r>
    </w:p>
    <w:p w14:paraId="2BE6120F">
      <w:pPr>
        <w:spacing w:line="264" w:lineRule="auto"/>
        <w:ind w:firstLine="420"/>
        <w:rPr>
          <w:rFonts w:hint="eastAsia" w:ascii="仿宋" w:hAnsi="仿宋" w:eastAsia="仿宋" w:cs="仿宋"/>
          <w:bCs/>
          <w:szCs w:val="21"/>
        </w:rPr>
      </w:pPr>
      <w:r>
        <w:rPr>
          <w:rFonts w:hint="eastAsia" w:ascii="仿宋" w:hAnsi="仿宋" w:eastAsia="仿宋" w:cs="仿宋"/>
          <w:szCs w:val="21"/>
        </w:rPr>
        <w:t>5.4</w:t>
      </w:r>
      <w:r>
        <w:rPr>
          <w:rFonts w:hint="eastAsia" w:ascii="仿宋" w:hAnsi="仿宋" w:eastAsia="仿宋" w:cs="仿宋"/>
          <w:bCs/>
          <w:szCs w:val="21"/>
        </w:rPr>
        <w:t>有争议部分的付款</w:t>
      </w:r>
    </w:p>
    <w:p w14:paraId="7571D5A9">
      <w:pPr>
        <w:spacing w:line="264" w:lineRule="auto"/>
        <w:ind w:firstLine="420"/>
        <w:rPr>
          <w:rFonts w:hint="eastAsia" w:ascii="仿宋" w:hAnsi="仿宋" w:eastAsia="仿宋" w:cs="仿宋"/>
          <w:szCs w:val="21"/>
        </w:rPr>
      </w:pPr>
      <w:r>
        <w:rPr>
          <w:rFonts w:hint="eastAsia" w:ascii="仿宋" w:hAnsi="仿宋" w:eastAsia="仿宋" w:cs="仿宋"/>
          <w:szCs w:val="21"/>
        </w:rPr>
        <w:t>委托人对监理人提交的支付申请书有异议时，应当在收到监理人提交的支付申请书后7天内，以书面形式向监理人发出异议通知。无异议部分的款项应按期支付，有异议部分的款项按第7条约定办理。</w:t>
      </w:r>
    </w:p>
    <w:p w14:paraId="2C5F2BD0">
      <w:pPr>
        <w:spacing w:line="276" w:lineRule="auto"/>
        <w:ind w:firstLine="422"/>
        <w:rPr>
          <w:rFonts w:hint="eastAsia" w:ascii="仿宋" w:hAnsi="仿宋" w:eastAsia="仿宋" w:cs="仿宋"/>
          <w:szCs w:val="21"/>
        </w:rPr>
      </w:pPr>
      <w:bookmarkStart w:id="30" w:name="_Toc398107906"/>
      <w:r>
        <w:rPr>
          <w:rFonts w:hint="eastAsia" w:ascii="仿宋" w:hAnsi="仿宋" w:eastAsia="仿宋" w:cs="仿宋"/>
          <w:b/>
        </w:rPr>
        <w:t>6.合同生效、变更、暂停、解除与终止</w:t>
      </w:r>
      <w:bookmarkEnd w:id="30"/>
    </w:p>
    <w:p w14:paraId="40258566">
      <w:pPr>
        <w:spacing w:line="276" w:lineRule="auto"/>
        <w:ind w:left="210"/>
        <w:rPr>
          <w:rFonts w:hint="eastAsia" w:ascii="仿宋" w:hAnsi="仿宋" w:eastAsia="仿宋" w:cs="仿宋"/>
          <w:szCs w:val="21"/>
        </w:rPr>
      </w:pPr>
      <w:r>
        <w:rPr>
          <w:rFonts w:hint="eastAsia" w:ascii="仿宋" w:hAnsi="仿宋" w:eastAsia="仿宋" w:cs="仿宋"/>
          <w:szCs w:val="21"/>
        </w:rPr>
        <w:t>6.1生效</w:t>
      </w:r>
    </w:p>
    <w:p w14:paraId="483DFF25">
      <w:pPr>
        <w:spacing w:line="276" w:lineRule="auto"/>
        <w:ind w:firstLine="420"/>
        <w:rPr>
          <w:rFonts w:hint="eastAsia" w:ascii="仿宋" w:hAnsi="仿宋" w:eastAsia="仿宋" w:cs="仿宋"/>
          <w:szCs w:val="21"/>
        </w:rPr>
      </w:pPr>
      <w:r>
        <w:rPr>
          <w:rFonts w:hint="eastAsia" w:ascii="仿宋" w:hAnsi="仿宋" w:eastAsia="仿宋" w:cs="仿宋"/>
          <w:szCs w:val="21"/>
        </w:rPr>
        <w:t>除法律另有规定或者专用条件另有约定外，委托人和监理人的法定代表人或其授权代理人在协议书上签字并盖单位章后本合同生效。</w:t>
      </w:r>
    </w:p>
    <w:p w14:paraId="02604497">
      <w:pPr>
        <w:spacing w:line="276" w:lineRule="auto"/>
        <w:ind w:left="210"/>
        <w:rPr>
          <w:rFonts w:hint="eastAsia" w:ascii="仿宋" w:hAnsi="仿宋" w:eastAsia="仿宋" w:cs="仿宋"/>
          <w:bCs/>
          <w:szCs w:val="21"/>
        </w:rPr>
      </w:pPr>
      <w:r>
        <w:rPr>
          <w:rFonts w:hint="eastAsia" w:ascii="仿宋" w:hAnsi="仿宋" w:eastAsia="仿宋" w:cs="仿宋"/>
          <w:szCs w:val="21"/>
        </w:rPr>
        <w:t>6.2</w:t>
      </w:r>
      <w:r>
        <w:rPr>
          <w:rFonts w:hint="eastAsia" w:ascii="仿宋" w:hAnsi="仿宋" w:eastAsia="仿宋" w:cs="仿宋"/>
          <w:bCs/>
          <w:szCs w:val="21"/>
        </w:rPr>
        <w:t>变更</w:t>
      </w:r>
    </w:p>
    <w:p w14:paraId="3B1E63A3">
      <w:pPr>
        <w:spacing w:line="276" w:lineRule="auto"/>
        <w:ind w:firstLine="420"/>
        <w:rPr>
          <w:rFonts w:hint="eastAsia" w:ascii="仿宋" w:hAnsi="仿宋" w:eastAsia="仿宋" w:cs="仿宋"/>
          <w:szCs w:val="21"/>
        </w:rPr>
      </w:pPr>
      <w:r>
        <w:rPr>
          <w:rFonts w:hint="eastAsia" w:ascii="仿宋" w:hAnsi="仿宋" w:eastAsia="仿宋" w:cs="仿宋"/>
          <w:szCs w:val="21"/>
        </w:rPr>
        <w:t>6.2.1任何一方提出变更请求时，双方经协商一致后可进行变更。</w:t>
      </w:r>
    </w:p>
    <w:p w14:paraId="6116995B">
      <w:pPr>
        <w:spacing w:line="276" w:lineRule="auto"/>
        <w:ind w:firstLine="420"/>
        <w:rPr>
          <w:rFonts w:hint="eastAsia" w:ascii="仿宋" w:hAnsi="仿宋" w:eastAsia="仿宋" w:cs="仿宋"/>
          <w:szCs w:val="21"/>
        </w:rPr>
      </w:pPr>
      <w:r>
        <w:rPr>
          <w:rFonts w:hint="eastAsia" w:ascii="仿宋" w:hAnsi="仿宋" w:eastAsia="仿宋" w:cs="仿宋"/>
          <w:szCs w:val="21"/>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165EB7DF">
      <w:pPr>
        <w:spacing w:line="276" w:lineRule="auto"/>
        <w:ind w:firstLine="420"/>
        <w:rPr>
          <w:rFonts w:hint="eastAsia" w:ascii="仿宋" w:hAnsi="仿宋" w:eastAsia="仿宋" w:cs="仿宋"/>
          <w:szCs w:val="21"/>
        </w:rPr>
      </w:pPr>
      <w:r>
        <w:rPr>
          <w:rFonts w:hint="eastAsia" w:ascii="仿宋" w:hAnsi="仿宋" w:eastAsia="仿宋" w:cs="仿宋"/>
          <w:szCs w:val="21"/>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61EB52A6">
      <w:pPr>
        <w:spacing w:line="276" w:lineRule="auto"/>
        <w:ind w:firstLine="420"/>
        <w:rPr>
          <w:rFonts w:hint="eastAsia" w:ascii="仿宋" w:hAnsi="仿宋" w:eastAsia="仿宋" w:cs="仿宋"/>
          <w:szCs w:val="21"/>
        </w:rPr>
      </w:pPr>
      <w:r>
        <w:rPr>
          <w:rFonts w:hint="eastAsia" w:ascii="仿宋" w:hAnsi="仿宋" w:eastAsia="仿宋" w:cs="仿宋"/>
          <w:szCs w:val="21"/>
        </w:rPr>
        <w:t>6.2.4合同签订后，遇有与工程相关的法律法规、标准颁布或修订的，双方应遵照执行。由此引起监理与相关服务的范围、时间、酬金变化的，双方应通过协商进行相应调整。</w:t>
      </w:r>
    </w:p>
    <w:p w14:paraId="301164C2">
      <w:pPr>
        <w:spacing w:line="276" w:lineRule="auto"/>
        <w:ind w:firstLine="420"/>
        <w:rPr>
          <w:rFonts w:hint="eastAsia" w:ascii="仿宋" w:hAnsi="仿宋" w:eastAsia="仿宋" w:cs="仿宋"/>
          <w:szCs w:val="21"/>
        </w:rPr>
      </w:pPr>
      <w:r>
        <w:rPr>
          <w:rFonts w:hint="eastAsia" w:ascii="仿宋" w:hAnsi="仿宋" w:eastAsia="仿宋" w:cs="仿宋"/>
          <w:szCs w:val="21"/>
        </w:rPr>
        <w:t>6.2.5因非监理人原因造成工程概算投资额或建筑安装工程费增加时，正常工作酬金应作相应调整。调整方法在专用条件中约定。</w:t>
      </w:r>
    </w:p>
    <w:p w14:paraId="6426E51E">
      <w:pPr>
        <w:spacing w:line="276" w:lineRule="auto"/>
        <w:ind w:firstLine="420"/>
        <w:rPr>
          <w:rFonts w:hint="eastAsia" w:ascii="仿宋" w:hAnsi="仿宋" w:eastAsia="仿宋" w:cs="仿宋"/>
          <w:szCs w:val="21"/>
        </w:rPr>
      </w:pPr>
      <w:r>
        <w:rPr>
          <w:rFonts w:hint="eastAsia" w:ascii="仿宋" w:hAnsi="仿宋" w:eastAsia="仿宋" w:cs="仿宋"/>
          <w:szCs w:val="21"/>
        </w:rPr>
        <w:t>6.2.6因工程规模、监理范围的变化导致监理人的正常工作量减少时，正常工作酬金应作相应调整。调整方法在专用条件中约定。</w:t>
      </w:r>
    </w:p>
    <w:p w14:paraId="7B811C5D">
      <w:pPr>
        <w:spacing w:line="276" w:lineRule="auto"/>
        <w:ind w:firstLine="420"/>
        <w:rPr>
          <w:rFonts w:hint="eastAsia" w:ascii="仿宋" w:hAnsi="仿宋" w:eastAsia="仿宋" w:cs="仿宋"/>
          <w:bCs/>
          <w:szCs w:val="21"/>
        </w:rPr>
      </w:pPr>
      <w:r>
        <w:rPr>
          <w:rFonts w:hint="eastAsia" w:ascii="仿宋" w:hAnsi="仿宋" w:eastAsia="仿宋" w:cs="仿宋"/>
          <w:szCs w:val="21"/>
        </w:rPr>
        <w:t>6.3暂停与</w:t>
      </w:r>
      <w:r>
        <w:rPr>
          <w:rFonts w:hint="eastAsia" w:ascii="仿宋" w:hAnsi="仿宋" w:eastAsia="仿宋" w:cs="仿宋"/>
          <w:bCs/>
          <w:szCs w:val="21"/>
        </w:rPr>
        <w:t>解除</w:t>
      </w:r>
    </w:p>
    <w:p w14:paraId="01D5CD4D">
      <w:pPr>
        <w:spacing w:line="276" w:lineRule="auto"/>
        <w:ind w:firstLine="420"/>
        <w:rPr>
          <w:rFonts w:hint="eastAsia" w:ascii="仿宋" w:hAnsi="仿宋" w:eastAsia="仿宋" w:cs="仿宋"/>
          <w:szCs w:val="21"/>
        </w:rPr>
      </w:pPr>
      <w:r>
        <w:rPr>
          <w:rFonts w:hint="eastAsia" w:ascii="仿宋" w:hAnsi="仿宋" w:eastAsia="仿宋" w:cs="仿宋"/>
          <w:szCs w:val="21"/>
        </w:rPr>
        <w:t>除双方协商一致可以解除本合同外，当一方无正当理由未履行本合同约定的义务时，另一方可以根据本合同约定暂停履行本合同直至解除本合同。</w:t>
      </w:r>
    </w:p>
    <w:p w14:paraId="43EAA3E6">
      <w:pPr>
        <w:spacing w:line="276" w:lineRule="auto"/>
        <w:ind w:firstLine="420"/>
        <w:rPr>
          <w:rFonts w:hint="eastAsia" w:ascii="仿宋" w:hAnsi="仿宋" w:eastAsia="仿宋" w:cs="仿宋"/>
          <w:szCs w:val="21"/>
        </w:rPr>
      </w:pPr>
      <w:r>
        <w:rPr>
          <w:rFonts w:hint="eastAsia" w:ascii="仿宋" w:hAnsi="仿宋" w:eastAsia="仿宋" w:cs="仿宋"/>
          <w:szCs w:val="21"/>
        </w:rPr>
        <w:t>6.3.1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61339E6C">
      <w:pPr>
        <w:spacing w:line="276" w:lineRule="auto"/>
        <w:ind w:firstLine="420"/>
        <w:rPr>
          <w:rFonts w:hint="eastAsia" w:ascii="仿宋" w:hAnsi="仿宋" w:eastAsia="仿宋" w:cs="仿宋"/>
          <w:szCs w:val="21"/>
        </w:rPr>
      </w:pPr>
      <w:r>
        <w:rPr>
          <w:rFonts w:hint="eastAsia" w:ascii="仿宋" w:hAnsi="仿宋" w:eastAsia="仿宋" w:cs="仿宋"/>
          <w:szCs w:val="21"/>
        </w:rPr>
        <w:t>因解除本合同或解除监理人的部分义务导致监理人遭受的损失，除依法可以免除责任的情况外，应由委托人予以补偿，补偿金额由双方协商确定。</w:t>
      </w:r>
    </w:p>
    <w:p w14:paraId="385A3EF7">
      <w:pPr>
        <w:spacing w:line="276" w:lineRule="auto"/>
        <w:ind w:firstLine="420"/>
        <w:rPr>
          <w:rFonts w:hint="eastAsia" w:ascii="仿宋" w:hAnsi="仿宋" w:eastAsia="仿宋" w:cs="仿宋"/>
          <w:szCs w:val="21"/>
        </w:rPr>
      </w:pPr>
      <w:r>
        <w:rPr>
          <w:rFonts w:hint="eastAsia" w:ascii="仿宋" w:hAnsi="仿宋" w:eastAsia="仿宋" w:cs="仿宋"/>
          <w:szCs w:val="21"/>
        </w:rPr>
        <w:t>解除本合同的协议必须采取书面形式，协议未达成之前，本合同仍然有效。</w:t>
      </w:r>
    </w:p>
    <w:p w14:paraId="348D8D24">
      <w:pPr>
        <w:spacing w:line="276" w:lineRule="auto"/>
        <w:ind w:firstLine="420"/>
        <w:rPr>
          <w:rFonts w:hint="eastAsia" w:ascii="仿宋" w:hAnsi="仿宋" w:eastAsia="仿宋" w:cs="仿宋"/>
          <w:szCs w:val="21"/>
        </w:rPr>
      </w:pPr>
      <w:r>
        <w:rPr>
          <w:rFonts w:hint="eastAsia" w:ascii="仿宋" w:hAnsi="仿宋" w:eastAsia="仿宋" w:cs="仿宋"/>
          <w:szCs w:val="21"/>
        </w:rPr>
        <w:t>6.3.2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06E427F3">
      <w:pPr>
        <w:spacing w:line="276" w:lineRule="auto"/>
        <w:ind w:firstLine="420"/>
        <w:rPr>
          <w:rFonts w:hint="eastAsia" w:ascii="仿宋" w:hAnsi="仿宋" w:eastAsia="仿宋" w:cs="仿宋"/>
          <w:szCs w:val="21"/>
        </w:rPr>
      </w:pPr>
      <w:r>
        <w:rPr>
          <w:rFonts w:hint="eastAsia" w:ascii="仿宋" w:hAnsi="仿宋" w:eastAsia="仿宋" w:cs="仿宋"/>
          <w:szCs w:val="21"/>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14:paraId="1A84D0E0">
      <w:pPr>
        <w:spacing w:line="276" w:lineRule="auto"/>
        <w:ind w:firstLine="420"/>
        <w:rPr>
          <w:rFonts w:hint="eastAsia" w:ascii="仿宋" w:hAnsi="仿宋" w:eastAsia="仿宋" w:cs="仿宋"/>
          <w:szCs w:val="21"/>
        </w:rPr>
      </w:pPr>
      <w:r>
        <w:rPr>
          <w:rFonts w:hint="eastAsia" w:ascii="仿宋" w:hAnsi="仿宋" w:eastAsia="仿宋" w:cs="仿宋"/>
          <w:szCs w:val="21"/>
        </w:rPr>
        <w:t>6.3.3当监理人无正当理由未履行本合同约定的义务时，委托人应通知监理人限期改正。若委托人在建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14:paraId="74C9337A">
      <w:pPr>
        <w:spacing w:line="276" w:lineRule="auto"/>
        <w:ind w:firstLine="420"/>
        <w:rPr>
          <w:rFonts w:hint="eastAsia" w:ascii="仿宋" w:hAnsi="仿宋" w:eastAsia="仿宋" w:cs="仿宋"/>
          <w:szCs w:val="21"/>
        </w:rPr>
      </w:pPr>
      <w:r>
        <w:rPr>
          <w:rFonts w:hint="eastAsia" w:ascii="仿宋" w:hAnsi="仿宋" w:eastAsia="仿宋" w:cs="仿宋"/>
          <w:szCs w:val="21"/>
        </w:rPr>
        <w:t>6.3.4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661FB31D">
      <w:pPr>
        <w:spacing w:line="276" w:lineRule="auto"/>
        <w:ind w:firstLine="420"/>
        <w:rPr>
          <w:rFonts w:hint="eastAsia" w:ascii="仿宋" w:hAnsi="仿宋" w:eastAsia="仿宋" w:cs="仿宋"/>
          <w:szCs w:val="21"/>
        </w:rPr>
      </w:pPr>
      <w:r>
        <w:rPr>
          <w:rFonts w:hint="eastAsia" w:ascii="仿宋" w:hAnsi="仿宋" w:eastAsia="仿宋" w:cs="仿宋"/>
          <w:szCs w:val="21"/>
        </w:rPr>
        <w:t>6.3.5因不可抗力致使本合同部分或全部不能履行时，一方应立即通知另一方，可暂停或解除本合同。</w:t>
      </w:r>
    </w:p>
    <w:p w14:paraId="54C47DE1">
      <w:pPr>
        <w:spacing w:line="276" w:lineRule="auto"/>
        <w:ind w:firstLine="420"/>
        <w:rPr>
          <w:rFonts w:hint="eastAsia" w:ascii="仿宋" w:hAnsi="仿宋" w:eastAsia="仿宋" w:cs="仿宋"/>
          <w:szCs w:val="21"/>
        </w:rPr>
      </w:pPr>
      <w:r>
        <w:rPr>
          <w:rFonts w:hint="eastAsia" w:ascii="仿宋" w:hAnsi="仿宋" w:eastAsia="仿宋" w:cs="仿宋"/>
          <w:szCs w:val="21"/>
        </w:rPr>
        <w:t>6.3.6本合同解除后，本合同约定的有关结算、清理、争议解决方式的条件仍然有效。</w:t>
      </w:r>
    </w:p>
    <w:p w14:paraId="4A1B876E">
      <w:pPr>
        <w:spacing w:line="276" w:lineRule="auto"/>
        <w:ind w:left="210"/>
        <w:rPr>
          <w:rFonts w:hint="eastAsia" w:ascii="仿宋" w:hAnsi="仿宋" w:eastAsia="仿宋" w:cs="仿宋"/>
          <w:bCs/>
          <w:szCs w:val="21"/>
        </w:rPr>
      </w:pPr>
      <w:r>
        <w:rPr>
          <w:rFonts w:hint="eastAsia" w:ascii="仿宋" w:hAnsi="仿宋" w:eastAsia="仿宋" w:cs="仿宋"/>
          <w:szCs w:val="21"/>
        </w:rPr>
        <w:t>6.4</w:t>
      </w:r>
      <w:r>
        <w:rPr>
          <w:rFonts w:hint="eastAsia" w:ascii="仿宋" w:hAnsi="仿宋" w:eastAsia="仿宋" w:cs="仿宋"/>
          <w:bCs/>
          <w:szCs w:val="21"/>
        </w:rPr>
        <w:t>终止</w:t>
      </w:r>
    </w:p>
    <w:p w14:paraId="384BAB9A">
      <w:pPr>
        <w:spacing w:line="276" w:lineRule="auto"/>
        <w:ind w:firstLine="420"/>
        <w:rPr>
          <w:rFonts w:hint="eastAsia" w:ascii="仿宋" w:hAnsi="仿宋" w:eastAsia="仿宋" w:cs="仿宋"/>
          <w:szCs w:val="21"/>
        </w:rPr>
      </w:pPr>
      <w:r>
        <w:rPr>
          <w:rFonts w:hint="eastAsia" w:ascii="仿宋" w:hAnsi="仿宋" w:eastAsia="仿宋" w:cs="仿宋"/>
          <w:szCs w:val="21"/>
        </w:rPr>
        <w:t>以下条件全部满足时，本合同即告终止：</w:t>
      </w:r>
    </w:p>
    <w:p w14:paraId="7990FFC0">
      <w:pPr>
        <w:spacing w:line="276" w:lineRule="auto"/>
        <w:ind w:firstLine="420"/>
        <w:rPr>
          <w:rFonts w:hint="eastAsia" w:ascii="仿宋" w:hAnsi="仿宋" w:eastAsia="仿宋" w:cs="仿宋"/>
          <w:szCs w:val="21"/>
        </w:rPr>
      </w:pPr>
      <w:r>
        <w:rPr>
          <w:rFonts w:hint="eastAsia" w:ascii="仿宋" w:hAnsi="仿宋" w:eastAsia="仿宋" w:cs="仿宋"/>
          <w:szCs w:val="21"/>
        </w:rPr>
        <w:t>（1）监理人完成本合同约定的全部工作；</w:t>
      </w:r>
    </w:p>
    <w:p w14:paraId="28CE2C7E">
      <w:pPr>
        <w:spacing w:line="276" w:lineRule="auto"/>
        <w:ind w:firstLine="420"/>
        <w:rPr>
          <w:rFonts w:hint="eastAsia" w:ascii="仿宋" w:hAnsi="仿宋" w:eastAsia="仿宋" w:cs="仿宋"/>
          <w:szCs w:val="21"/>
        </w:rPr>
      </w:pPr>
      <w:r>
        <w:rPr>
          <w:rFonts w:hint="eastAsia" w:ascii="仿宋" w:hAnsi="仿宋" w:eastAsia="仿宋" w:cs="仿宋"/>
          <w:szCs w:val="21"/>
        </w:rPr>
        <w:t>（2）委托人与监理人结清并支付全部酬金。</w:t>
      </w:r>
    </w:p>
    <w:p w14:paraId="483F41FF">
      <w:pPr>
        <w:spacing w:line="276" w:lineRule="auto"/>
        <w:ind w:firstLine="422"/>
        <w:rPr>
          <w:rFonts w:hint="eastAsia" w:ascii="仿宋" w:hAnsi="仿宋" w:eastAsia="仿宋" w:cs="仿宋"/>
          <w:b/>
        </w:rPr>
      </w:pPr>
      <w:bookmarkStart w:id="31" w:name="_Toc398107907"/>
      <w:r>
        <w:rPr>
          <w:rFonts w:hint="eastAsia" w:ascii="仿宋" w:hAnsi="仿宋" w:eastAsia="仿宋" w:cs="仿宋"/>
          <w:b/>
        </w:rPr>
        <w:t>7.争议解决</w:t>
      </w:r>
      <w:bookmarkEnd w:id="31"/>
    </w:p>
    <w:p w14:paraId="66DC8486">
      <w:pPr>
        <w:spacing w:line="276" w:lineRule="auto"/>
        <w:ind w:left="210"/>
        <w:rPr>
          <w:rFonts w:hint="eastAsia" w:ascii="仿宋" w:hAnsi="仿宋" w:eastAsia="仿宋" w:cs="仿宋"/>
          <w:bCs/>
          <w:szCs w:val="21"/>
        </w:rPr>
      </w:pPr>
      <w:r>
        <w:rPr>
          <w:rFonts w:hint="eastAsia" w:ascii="仿宋" w:hAnsi="仿宋" w:eastAsia="仿宋" w:cs="仿宋"/>
          <w:szCs w:val="21"/>
        </w:rPr>
        <w:t>7.1</w:t>
      </w:r>
      <w:r>
        <w:rPr>
          <w:rFonts w:hint="eastAsia" w:ascii="仿宋" w:hAnsi="仿宋" w:eastAsia="仿宋" w:cs="仿宋"/>
          <w:bCs/>
          <w:szCs w:val="21"/>
        </w:rPr>
        <w:t>协商</w:t>
      </w:r>
    </w:p>
    <w:p w14:paraId="7C854A85">
      <w:pPr>
        <w:spacing w:line="276" w:lineRule="auto"/>
        <w:ind w:firstLine="420"/>
        <w:rPr>
          <w:rFonts w:hint="eastAsia" w:ascii="仿宋" w:hAnsi="仿宋" w:eastAsia="仿宋" w:cs="仿宋"/>
          <w:bCs/>
          <w:szCs w:val="21"/>
        </w:rPr>
      </w:pPr>
      <w:r>
        <w:rPr>
          <w:rFonts w:hint="eastAsia" w:ascii="仿宋" w:hAnsi="仿宋" w:eastAsia="仿宋" w:cs="仿宋"/>
          <w:szCs w:val="21"/>
        </w:rPr>
        <w:t>双方应本着诚信原则协商解决彼此间的争议。</w:t>
      </w:r>
    </w:p>
    <w:p w14:paraId="7E232760">
      <w:pPr>
        <w:spacing w:line="276" w:lineRule="auto"/>
        <w:ind w:left="210"/>
        <w:rPr>
          <w:rFonts w:hint="eastAsia" w:ascii="仿宋" w:hAnsi="仿宋" w:eastAsia="仿宋" w:cs="仿宋"/>
          <w:bCs/>
          <w:szCs w:val="21"/>
        </w:rPr>
      </w:pPr>
      <w:r>
        <w:rPr>
          <w:rFonts w:hint="eastAsia" w:ascii="仿宋" w:hAnsi="仿宋" w:eastAsia="仿宋" w:cs="仿宋"/>
          <w:szCs w:val="21"/>
        </w:rPr>
        <w:t>7.2</w:t>
      </w:r>
      <w:r>
        <w:rPr>
          <w:rFonts w:hint="eastAsia" w:ascii="仿宋" w:hAnsi="仿宋" w:eastAsia="仿宋" w:cs="仿宋"/>
          <w:bCs/>
          <w:szCs w:val="21"/>
        </w:rPr>
        <w:t>调解</w:t>
      </w:r>
    </w:p>
    <w:p w14:paraId="1AC48CA3">
      <w:pPr>
        <w:spacing w:line="276" w:lineRule="auto"/>
        <w:ind w:firstLine="420"/>
        <w:rPr>
          <w:rFonts w:hint="eastAsia" w:ascii="仿宋" w:hAnsi="仿宋" w:eastAsia="仿宋" w:cs="仿宋"/>
          <w:bCs/>
          <w:szCs w:val="21"/>
        </w:rPr>
      </w:pPr>
      <w:r>
        <w:rPr>
          <w:rFonts w:hint="eastAsia" w:ascii="仿宋" w:hAnsi="仿宋" w:eastAsia="仿宋" w:cs="仿宋"/>
          <w:szCs w:val="21"/>
        </w:rPr>
        <w:t>如果双方不能在14天内或双方商定的其他时间内解决本合同争议，可以将其提交给专用条件约定的或事后达成协议的调解人进行调解。</w:t>
      </w:r>
    </w:p>
    <w:p w14:paraId="5DB3E2B2">
      <w:pPr>
        <w:spacing w:line="276" w:lineRule="auto"/>
        <w:ind w:left="210"/>
        <w:rPr>
          <w:rFonts w:hint="eastAsia" w:ascii="仿宋" w:hAnsi="仿宋" w:eastAsia="仿宋" w:cs="仿宋"/>
          <w:bCs/>
          <w:szCs w:val="21"/>
        </w:rPr>
      </w:pPr>
      <w:r>
        <w:rPr>
          <w:rFonts w:hint="eastAsia" w:ascii="仿宋" w:hAnsi="仿宋" w:eastAsia="仿宋" w:cs="仿宋"/>
          <w:szCs w:val="21"/>
        </w:rPr>
        <w:t>7.3</w:t>
      </w:r>
      <w:r>
        <w:rPr>
          <w:rFonts w:hint="eastAsia" w:ascii="仿宋" w:hAnsi="仿宋" w:eastAsia="仿宋" w:cs="仿宋"/>
          <w:bCs/>
          <w:szCs w:val="21"/>
        </w:rPr>
        <w:t>仲裁或诉讼</w:t>
      </w:r>
    </w:p>
    <w:p w14:paraId="109FDF87">
      <w:pPr>
        <w:spacing w:line="276" w:lineRule="auto"/>
        <w:ind w:firstLine="420"/>
        <w:rPr>
          <w:rFonts w:hint="eastAsia" w:ascii="仿宋" w:hAnsi="仿宋" w:eastAsia="仿宋" w:cs="仿宋"/>
          <w:szCs w:val="21"/>
        </w:rPr>
      </w:pPr>
      <w:r>
        <w:rPr>
          <w:rFonts w:hint="eastAsia" w:ascii="仿宋" w:hAnsi="仿宋" w:eastAsia="仿宋" w:cs="仿宋"/>
          <w:szCs w:val="21"/>
        </w:rPr>
        <w:t>双方均有权不经调解直接向专用条件约定的仲裁机构申请仲裁或向有管辖权的人民法院提起诉讼。</w:t>
      </w:r>
    </w:p>
    <w:p w14:paraId="22E71569">
      <w:pPr>
        <w:spacing w:line="276" w:lineRule="auto"/>
        <w:ind w:firstLine="422"/>
        <w:rPr>
          <w:rFonts w:hint="eastAsia" w:ascii="仿宋" w:hAnsi="仿宋" w:eastAsia="仿宋" w:cs="仿宋"/>
          <w:b/>
        </w:rPr>
      </w:pPr>
      <w:bookmarkStart w:id="32" w:name="_Toc398107908"/>
      <w:r>
        <w:rPr>
          <w:rFonts w:hint="eastAsia" w:ascii="仿宋" w:hAnsi="仿宋" w:eastAsia="仿宋" w:cs="仿宋"/>
          <w:b/>
        </w:rPr>
        <w:t>8.其他</w:t>
      </w:r>
      <w:bookmarkEnd w:id="32"/>
    </w:p>
    <w:p w14:paraId="7D9F6A5A">
      <w:pPr>
        <w:spacing w:line="276" w:lineRule="auto"/>
        <w:ind w:left="210"/>
        <w:rPr>
          <w:rFonts w:hint="eastAsia" w:ascii="仿宋" w:hAnsi="仿宋" w:eastAsia="仿宋" w:cs="仿宋"/>
          <w:bCs/>
          <w:szCs w:val="21"/>
        </w:rPr>
      </w:pPr>
      <w:r>
        <w:rPr>
          <w:rFonts w:hint="eastAsia" w:ascii="仿宋" w:hAnsi="仿宋" w:eastAsia="仿宋" w:cs="仿宋"/>
          <w:szCs w:val="21"/>
        </w:rPr>
        <w:t>8.1</w:t>
      </w:r>
      <w:r>
        <w:rPr>
          <w:rFonts w:hint="eastAsia" w:ascii="仿宋" w:hAnsi="仿宋" w:eastAsia="仿宋" w:cs="仿宋"/>
          <w:bCs/>
          <w:szCs w:val="21"/>
        </w:rPr>
        <w:t>外出考察费用</w:t>
      </w:r>
    </w:p>
    <w:p w14:paraId="65E2D3E9">
      <w:pPr>
        <w:spacing w:line="276" w:lineRule="auto"/>
        <w:ind w:firstLine="420"/>
        <w:rPr>
          <w:rFonts w:hint="eastAsia" w:ascii="仿宋" w:hAnsi="仿宋" w:eastAsia="仿宋" w:cs="仿宋"/>
          <w:bCs/>
          <w:szCs w:val="21"/>
        </w:rPr>
      </w:pPr>
      <w:r>
        <w:rPr>
          <w:rFonts w:hint="eastAsia" w:ascii="仿宋" w:hAnsi="仿宋" w:eastAsia="仿宋" w:cs="仿宋"/>
          <w:szCs w:val="21"/>
        </w:rPr>
        <w:t>经委托人同意，监理人员外出考察发生的费用由委托人审核后支付。</w:t>
      </w:r>
    </w:p>
    <w:p w14:paraId="53064687">
      <w:pPr>
        <w:spacing w:line="276" w:lineRule="auto"/>
        <w:ind w:left="210"/>
        <w:rPr>
          <w:rFonts w:hint="eastAsia" w:ascii="仿宋" w:hAnsi="仿宋" w:eastAsia="仿宋" w:cs="仿宋"/>
          <w:bCs/>
          <w:szCs w:val="21"/>
        </w:rPr>
      </w:pPr>
      <w:r>
        <w:rPr>
          <w:rFonts w:hint="eastAsia" w:ascii="仿宋" w:hAnsi="仿宋" w:eastAsia="仿宋" w:cs="仿宋"/>
          <w:szCs w:val="21"/>
        </w:rPr>
        <w:t>8.2</w:t>
      </w:r>
      <w:r>
        <w:rPr>
          <w:rFonts w:hint="eastAsia" w:ascii="仿宋" w:hAnsi="仿宋" w:eastAsia="仿宋" w:cs="仿宋"/>
          <w:bCs/>
          <w:szCs w:val="21"/>
        </w:rPr>
        <w:t>检测费用</w:t>
      </w:r>
    </w:p>
    <w:p w14:paraId="101442DF">
      <w:pPr>
        <w:spacing w:line="276" w:lineRule="auto"/>
        <w:ind w:firstLine="420"/>
        <w:rPr>
          <w:rFonts w:hint="eastAsia" w:ascii="仿宋" w:hAnsi="仿宋" w:eastAsia="仿宋" w:cs="仿宋"/>
          <w:bCs/>
          <w:szCs w:val="21"/>
        </w:rPr>
      </w:pPr>
      <w:r>
        <w:rPr>
          <w:rFonts w:hint="eastAsia" w:ascii="仿宋" w:hAnsi="仿宋" w:eastAsia="仿宋" w:cs="仿宋"/>
          <w:szCs w:val="21"/>
        </w:rPr>
        <w:t>委托人要求监理人进行的材料和设备检测所发生的费用，由委托人支付，支付时间在专用条件中约定。</w:t>
      </w:r>
    </w:p>
    <w:p w14:paraId="68A68477">
      <w:pPr>
        <w:spacing w:line="276" w:lineRule="auto"/>
        <w:ind w:left="210"/>
        <w:rPr>
          <w:rFonts w:hint="eastAsia" w:ascii="仿宋" w:hAnsi="仿宋" w:eastAsia="仿宋" w:cs="仿宋"/>
          <w:bCs/>
          <w:szCs w:val="21"/>
        </w:rPr>
      </w:pPr>
      <w:r>
        <w:rPr>
          <w:rFonts w:hint="eastAsia" w:ascii="仿宋" w:hAnsi="仿宋" w:eastAsia="仿宋" w:cs="仿宋"/>
          <w:szCs w:val="21"/>
        </w:rPr>
        <w:t>8.3</w:t>
      </w:r>
      <w:r>
        <w:rPr>
          <w:rFonts w:hint="eastAsia" w:ascii="仿宋" w:hAnsi="仿宋" w:eastAsia="仿宋" w:cs="仿宋"/>
          <w:bCs/>
          <w:szCs w:val="21"/>
        </w:rPr>
        <w:t>咨询费用</w:t>
      </w:r>
    </w:p>
    <w:p w14:paraId="0558D5D0">
      <w:pPr>
        <w:spacing w:line="276" w:lineRule="auto"/>
        <w:ind w:firstLine="420"/>
        <w:rPr>
          <w:rFonts w:hint="eastAsia" w:ascii="仿宋" w:hAnsi="仿宋" w:eastAsia="仿宋" w:cs="仿宋"/>
          <w:szCs w:val="21"/>
        </w:rPr>
      </w:pPr>
      <w:r>
        <w:rPr>
          <w:rFonts w:hint="eastAsia" w:ascii="仿宋" w:hAnsi="仿宋" w:eastAsia="仿宋" w:cs="仿宋"/>
          <w:szCs w:val="21"/>
        </w:rPr>
        <w:t>经委托人同意，根据工程需要由监理人组织的相关咨询论证会以及聘请相关专家等发生的费用由委托人支付，支付时间在专用条件中约定。</w:t>
      </w:r>
    </w:p>
    <w:p w14:paraId="7D6AF742">
      <w:pPr>
        <w:spacing w:line="276" w:lineRule="auto"/>
        <w:ind w:left="210"/>
        <w:rPr>
          <w:rFonts w:hint="eastAsia" w:ascii="仿宋" w:hAnsi="仿宋" w:eastAsia="仿宋" w:cs="仿宋"/>
          <w:bCs/>
          <w:szCs w:val="21"/>
        </w:rPr>
      </w:pPr>
      <w:r>
        <w:rPr>
          <w:rFonts w:hint="eastAsia" w:ascii="仿宋" w:hAnsi="仿宋" w:eastAsia="仿宋" w:cs="仿宋"/>
          <w:szCs w:val="21"/>
        </w:rPr>
        <w:t>8.4</w:t>
      </w:r>
      <w:r>
        <w:rPr>
          <w:rFonts w:hint="eastAsia" w:ascii="仿宋" w:hAnsi="仿宋" w:eastAsia="仿宋" w:cs="仿宋"/>
          <w:bCs/>
          <w:szCs w:val="21"/>
        </w:rPr>
        <w:t>奖励</w:t>
      </w:r>
    </w:p>
    <w:p w14:paraId="1706CBCB">
      <w:pPr>
        <w:spacing w:line="276" w:lineRule="auto"/>
        <w:ind w:firstLine="420"/>
        <w:rPr>
          <w:rFonts w:hint="eastAsia" w:ascii="仿宋" w:hAnsi="仿宋" w:eastAsia="仿宋" w:cs="仿宋"/>
          <w:szCs w:val="21"/>
        </w:rPr>
      </w:pPr>
      <w:r>
        <w:rPr>
          <w:rFonts w:hint="eastAsia" w:ascii="仿宋" w:hAnsi="仿宋" w:eastAsia="仿宋" w:cs="仿宋"/>
          <w:szCs w:val="21"/>
        </w:rPr>
        <w:t>监理人在服务过程中提出的合理化建议，使委托人获得经济效益的，双方在专用条件中约定奖励金额的确定方法。奖励金额在合理化建议被采纳后，与最近一期的正常工作酬金同期支付。</w:t>
      </w:r>
    </w:p>
    <w:p w14:paraId="1E77CC4C">
      <w:pPr>
        <w:spacing w:line="276" w:lineRule="auto"/>
        <w:ind w:left="210"/>
        <w:rPr>
          <w:rFonts w:hint="eastAsia" w:ascii="仿宋" w:hAnsi="仿宋" w:eastAsia="仿宋" w:cs="仿宋"/>
          <w:bCs/>
          <w:szCs w:val="21"/>
        </w:rPr>
      </w:pPr>
      <w:r>
        <w:rPr>
          <w:rFonts w:hint="eastAsia" w:ascii="仿宋" w:hAnsi="仿宋" w:eastAsia="仿宋" w:cs="仿宋"/>
          <w:szCs w:val="21"/>
        </w:rPr>
        <w:t>8.5</w:t>
      </w:r>
      <w:r>
        <w:rPr>
          <w:rFonts w:hint="eastAsia" w:ascii="仿宋" w:hAnsi="仿宋" w:eastAsia="仿宋" w:cs="仿宋"/>
          <w:bCs/>
          <w:szCs w:val="21"/>
        </w:rPr>
        <w:t>守法诚信</w:t>
      </w:r>
    </w:p>
    <w:p w14:paraId="53B01B54">
      <w:pPr>
        <w:spacing w:line="276" w:lineRule="auto"/>
        <w:ind w:firstLine="420"/>
        <w:rPr>
          <w:rFonts w:hint="eastAsia" w:ascii="仿宋" w:hAnsi="仿宋" w:eastAsia="仿宋" w:cs="仿宋"/>
          <w:bCs/>
          <w:szCs w:val="21"/>
        </w:rPr>
      </w:pPr>
      <w:r>
        <w:rPr>
          <w:rFonts w:hint="eastAsia" w:ascii="仿宋" w:hAnsi="仿宋" w:eastAsia="仿宋" w:cs="仿宋"/>
          <w:szCs w:val="21"/>
        </w:rPr>
        <w:t>监理人及其工作人员不得从与实施工程有关的第三方处获得任何经济利益。</w:t>
      </w:r>
    </w:p>
    <w:p w14:paraId="477F360F">
      <w:pPr>
        <w:spacing w:line="276" w:lineRule="auto"/>
        <w:ind w:left="210"/>
        <w:rPr>
          <w:rFonts w:hint="eastAsia" w:ascii="仿宋" w:hAnsi="仿宋" w:eastAsia="仿宋" w:cs="仿宋"/>
          <w:bCs/>
          <w:szCs w:val="21"/>
        </w:rPr>
      </w:pPr>
      <w:r>
        <w:rPr>
          <w:rFonts w:hint="eastAsia" w:ascii="仿宋" w:hAnsi="仿宋" w:eastAsia="仿宋" w:cs="仿宋"/>
          <w:szCs w:val="21"/>
        </w:rPr>
        <w:t>8.6</w:t>
      </w:r>
      <w:r>
        <w:rPr>
          <w:rFonts w:hint="eastAsia" w:ascii="仿宋" w:hAnsi="仿宋" w:eastAsia="仿宋" w:cs="仿宋"/>
          <w:bCs/>
          <w:szCs w:val="21"/>
        </w:rPr>
        <w:t>保密</w:t>
      </w:r>
    </w:p>
    <w:p w14:paraId="091959AC">
      <w:pPr>
        <w:spacing w:line="276" w:lineRule="auto"/>
        <w:ind w:firstLine="420"/>
        <w:rPr>
          <w:rFonts w:hint="eastAsia" w:ascii="仿宋" w:hAnsi="仿宋" w:eastAsia="仿宋" w:cs="仿宋"/>
          <w:bCs/>
          <w:szCs w:val="21"/>
        </w:rPr>
      </w:pPr>
      <w:r>
        <w:rPr>
          <w:rFonts w:hint="eastAsia" w:ascii="仿宋" w:hAnsi="仿宋" w:eastAsia="仿宋" w:cs="仿宋"/>
          <w:szCs w:val="21"/>
        </w:rPr>
        <w:t>双方不得泄露对方申明的保密资料，亦不得泄露与实施工程有关的第三方所提供的保密资料，保密事项在专用条件中约定。</w:t>
      </w:r>
    </w:p>
    <w:p w14:paraId="72292C3A">
      <w:pPr>
        <w:spacing w:line="276" w:lineRule="auto"/>
        <w:ind w:left="210"/>
        <w:rPr>
          <w:rFonts w:hint="eastAsia" w:ascii="仿宋" w:hAnsi="仿宋" w:eastAsia="仿宋" w:cs="仿宋"/>
          <w:bCs/>
          <w:szCs w:val="21"/>
        </w:rPr>
      </w:pPr>
      <w:r>
        <w:rPr>
          <w:rFonts w:hint="eastAsia" w:ascii="仿宋" w:hAnsi="仿宋" w:eastAsia="仿宋" w:cs="仿宋"/>
          <w:szCs w:val="21"/>
        </w:rPr>
        <w:t>8.7</w:t>
      </w:r>
      <w:r>
        <w:rPr>
          <w:rFonts w:hint="eastAsia" w:ascii="仿宋" w:hAnsi="仿宋" w:eastAsia="仿宋" w:cs="仿宋"/>
          <w:bCs/>
          <w:szCs w:val="21"/>
        </w:rPr>
        <w:t>通知</w:t>
      </w:r>
    </w:p>
    <w:p w14:paraId="7A0A8252">
      <w:pPr>
        <w:spacing w:line="276" w:lineRule="auto"/>
        <w:ind w:firstLine="420"/>
        <w:rPr>
          <w:rFonts w:hint="eastAsia" w:ascii="仿宋" w:hAnsi="仿宋" w:eastAsia="仿宋" w:cs="仿宋"/>
          <w:bCs/>
          <w:szCs w:val="21"/>
        </w:rPr>
      </w:pPr>
      <w:r>
        <w:rPr>
          <w:rFonts w:hint="eastAsia" w:ascii="仿宋" w:hAnsi="仿宋" w:eastAsia="仿宋" w:cs="仿宋"/>
          <w:szCs w:val="21"/>
        </w:rPr>
        <w:t>本合同涉及的通知均应当采用书面形式，并在送达对方时生效，收件人应书面签收。</w:t>
      </w:r>
    </w:p>
    <w:p w14:paraId="7A3D4631">
      <w:pPr>
        <w:spacing w:line="276" w:lineRule="auto"/>
        <w:ind w:left="210"/>
        <w:rPr>
          <w:rFonts w:hint="eastAsia" w:ascii="仿宋" w:hAnsi="仿宋" w:eastAsia="仿宋" w:cs="仿宋"/>
          <w:bCs/>
          <w:szCs w:val="21"/>
        </w:rPr>
      </w:pPr>
      <w:r>
        <w:rPr>
          <w:rFonts w:hint="eastAsia" w:ascii="仿宋" w:hAnsi="仿宋" w:eastAsia="仿宋" w:cs="仿宋"/>
          <w:szCs w:val="21"/>
        </w:rPr>
        <w:t>8.8</w:t>
      </w:r>
      <w:r>
        <w:rPr>
          <w:rFonts w:hint="eastAsia" w:ascii="仿宋" w:hAnsi="仿宋" w:eastAsia="仿宋" w:cs="仿宋"/>
          <w:bCs/>
          <w:szCs w:val="21"/>
        </w:rPr>
        <w:t>著作权</w:t>
      </w:r>
    </w:p>
    <w:p w14:paraId="7CE31078">
      <w:pPr>
        <w:spacing w:line="276" w:lineRule="auto"/>
        <w:ind w:firstLine="420"/>
        <w:rPr>
          <w:rFonts w:hint="eastAsia" w:ascii="仿宋" w:hAnsi="仿宋" w:eastAsia="仿宋" w:cs="仿宋"/>
          <w:szCs w:val="21"/>
        </w:rPr>
      </w:pPr>
      <w:r>
        <w:rPr>
          <w:rFonts w:hint="eastAsia" w:ascii="仿宋" w:hAnsi="仿宋" w:eastAsia="仿宋" w:cs="仿宋"/>
          <w:szCs w:val="21"/>
        </w:rPr>
        <w:t>监理人对其编制的文件拥有著作权。</w:t>
      </w:r>
    </w:p>
    <w:p w14:paraId="06D9A180">
      <w:pPr>
        <w:spacing w:line="276" w:lineRule="auto"/>
        <w:ind w:firstLine="420"/>
        <w:rPr>
          <w:rFonts w:hint="eastAsia" w:ascii="仿宋" w:hAnsi="仿宋" w:eastAsia="仿宋" w:cs="仿宋"/>
          <w:szCs w:val="21"/>
        </w:rPr>
      </w:pPr>
      <w:r>
        <w:rPr>
          <w:rFonts w:hint="eastAsia" w:ascii="仿宋" w:hAnsi="仿宋" w:eastAsia="仿宋" w:cs="仿宋"/>
          <w:szCs w:val="21"/>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286DF72C">
      <w:pPr>
        <w:tabs>
          <w:tab w:val="left" w:pos="3120"/>
        </w:tabs>
        <w:spacing w:line="360" w:lineRule="auto"/>
        <w:ind w:firstLine="422"/>
        <w:jc w:val="center"/>
        <w:rPr>
          <w:rFonts w:hint="eastAsia" w:ascii="仿宋" w:hAnsi="仿宋" w:eastAsia="仿宋" w:cs="仿宋"/>
          <w:b/>
          <w:bCs/>
          <w:szCs w:val="21"/>
        </w:rPr>
      </w:pPr>
    </w:p>
    <w:p w14:paraId="4D592ADC">
      <w:pPr>
        <w:tabs>
          <w:tab w:val="left" w:pos="3120"/>
        </w:tabs>
        <w:spacing w:line="360" w:lineRule="auto"/>
        <w:ind w:firstLine="422"/>
        <w:jc w:val="center"/>
        <w:rPr>
          <w:rFonts w:hint="eastAsia" w:ascii="仿宋" w:hAnsi="仿宋" w:eastAsia="仿宋" w:cs="仿宋"/>
          <w:b/>
          <w:bCs/>
          <w:szCs w:val="21"/>
        </w:rPr>
      </w:pPr>
    </w:p>
    <w:p w14:paraId="424681C7">
      <w:pPr>
        <w:tabs>
          <w:tab w:val="left" w:pos="3120"/>
        </w:tabs>
        <w:spacing w:line="360" w:lineRule="auto"/>
        <w:ind w:firstLine="422"/>
        <w:jc w:val="center"/>
        <w:rPr>
          <w:rFonts w:hint="eastAsia" w:ascii="仿宋" w:hAnsi="仿宋" w:eastAsia="仿宋" w:cs="仿宋"/>
          <w:b/>
          <w:bCs/>
          <w:szCs w:val="21"/>
        </w:rPr>
      </w:pPr>
    </w:p>
    <w:p w14:paraId="1AABA013">
      <w:pPr>
        <w:pStyle w:val="3"/>
        <w:spacing w:line="360" w:lineRule="auto"/>
        <w:ind w:firstLine="640"/>
        <w:jc w:val="center"/>
        <w:rPr>
          <w:rFonts w:hint="eastAsia" w:ascii="仿宋" w:hAnsi="仿宋" w:eastAsia="仿宋" w:cs="仿宋"/>
        </w:rPr>
      </w:pPr>
      <w:r>
        <w:rPr>
          <w:rFonts w:hint="eastAsia" w:ascii="仿宋" w:hAnsi="仿宋" w:eastAsia="仿宋" w:cs="仿宋"/>
        </w:rPr>
        <w:br w:type="page" w:clear="all"/>
      </w:r>
      <w:bookmarkStart w:id="33" w:name="_Toc398107909"/>
      <w:r>
        <w:rPr>
          <w:rFonts w:hint="eastAsia" w:ascii="仿宋" w:hAnsi="仿宋" w:eastAsia="仿宋" w:cs="仿宋"/>
        </w:rPr>
        <w:t>第三部分专用条件</w:t>
      </w:r>
      <w:bookmarkEnd w:id="33"/>
    </w:p>
    <w:p w14:paraId="041ACB25">
      <w:pPr>
        <w:spacing w:line="276" w:lineRule="auto"/>
        <w:ind w:firstLine="422"/>
        <w:rPr>
          <w:rFonts w:hint="eastAsia" w:ascii="仿宋" w:hAnsi="仿宋" w:eastAsia="仿宋" w:cs="仿宋"/>
          <w:b/>
        </w:rPr>
      </w:pPr>
      <w:bookmarkStart w:id="34" w:name="_Toc398107910"/>
      <w:r>
        <w:rPr>
          <w:rFonts w:hint="eastAsia" w:ascii="仿宋" w:hAnsi="仿宋" w:eastAsia="仿宋" w:cs="仿宋"/>
          <w:b/>
        </w:rPr>
        <w:t>1.定义与解释</w:t>
      </w:r>
      <w:bookmarkEnd w:id="34"/>
    </w:p>
    <w:p w14:paraId="119596B3">
      <w:pPr>
        <w:spacing w:line="276" w:lineRule="auto"/>
        <w:ind w:firstLine="420"/>
        <w:rPr>
          <w:rFonts w:hint="eastAsia" w:ascii="仿宋" w:hAnsi="仿宋" w:eastAsia="仿宋" w:cs="仿宋"/>
          <w:szCs w:val="21"/>
        </w:rPr>
      </w:pPr>
      <w:r>
        <w:rPr>
          <w:rFonts w:hint="eastAsia" w:ascii="仿宋" w:hAnsi="仿宋" w:eastAsia="仿宋" w:cs="仿宋"/>
          <w:szCs w:val="21"/>
        </w:rPr>
        <w:t>1.2解释</w:t>
      </w:r>
    </w:p>
    <w:p w14:paraId="399437E8">
      <w:pPr>
        <w:spacing w:line="276" w:lineRule="auto"/>
        <w:ind w:firstLine="420"/>
        <w:rPr>
          <w:rFonts w:hint="eastAsia" w:ascii="仿宋" w:hAnsi="仿宋" w:eastAsia="仿宋" w:cs="仿宋"/>
          <w:szCs w:val="21"/>
        </w:rPr>
      </w:pPr>
      <w:r>
        <w:rPr>
          <w:rFonts w:hint="eastAsia" w:ascii="仿宋" w:hAnsi="仿宋" w:eastAsia="仿宋" w:cs="仿宋"/>
          <w:szCs w:val="21"/>
        </w:rPr>
        <w:t>1.2.1本合同文件除使用中文外，还可用</w:t>
      </w:r>
      <w:r>
        <w:rPr>
          <w:rFonts w:hint="eastAsia" w:ascii="仿宋" w:hAnsi="仿宋" w:eastAsia="仿宋" w:cs="仿宋"/>
          <w:szCs w:val="21"/>
          <w:u w:val="single"/>
        </w:rPr>
        <w:t>/</w:t>
      </w:r>
      <w:r>
        <w:rPr>
          <w:rFonts w:hint="eastAsia" w:ascii="仿宋" w:hAnsi="仿宋" w:eastAsia="仿宋" w:cs="仿宋"/>
          <w:szCs w:val="21"/>
        </w:rPr>
        <w:t>。</w:t>
      </w:r>
    </w:p>
    <w:p w14:paraId="43663FCA">
      <w:pPr>
        <w:spacing w:line="276" w:lineRule="auto"/>
        <w:ind w:firstLine="420"/>
        <w:rPr>
          <w:rFonts w:hint="eastAsia" w:ascii="仿宋" w:hAnsi="仿宋" w:eastAsia="仿宋" w:cs="仿宋"/>
          <w:szCs w:val="21"/>
        </w:rPr>
      </w:pPr>
      <w:r>
        <w:rPr>
          <w:rFonts w:hint="eastAsia" w:ascii="仿宋" w:hAnsi="仿宋" w:eastAsia="仿宋" w:cs="仿宋"/>
          <w:szCs w:val="21"/>
        </w:rPr>
        <w:t>1.2.2约定本合同文件的解释顺序为：</w:t>
      </w:r>
      <w:r>
        <w:rPr>
          <w:rFonts w:hint="eastAsia" w:ascii="仿宋" w:hAnsi="仿宋" w:eastAsia="仿宋" w:cs="仿宋"/>
          <w:color w:val="FF0000"/>
          <w:szCs w:val="21"/>
          <w:u w:val="single"/>
        </w:rPr>
        <w:t>（1）合同协议书（2）中标通知书（3）招标文件及招标时澄清、修改、补充文件（4）合同专用条款（5）投标书及附件（6）合同通用条款（7）标准、规范及有关规范文件（8）施工图纸（9）在工程实施过程中，双方有关合同洽商、变更等书面协议或纪要</w:t>
      </w:r>
      <w:r>
        <w:rPr>
          <w:rFonts w:hint="eastAsia" w:ascii="仿宋" w:hAnsi="仿宋" w:eastAsia="仿宋" w:cs="仿宋"/>
          <w:szCs w:val="21"/>
        </w:rPr>
        <w:t>。</w:t>
      </w:r>
    </w:p>
    <w:p w14:paraId="362C60DC">
      <w:pPr>
        <w:spacing w:line="276" w:lineRule="auto"/>
        <w:ind w:firstLine="422"/>
        <w:rPr>
          <w:rFonts w:hint="eastAsia" w:ascii="仿宋" w:hAnsi="仿宋" w:eastAsia="仿宋" w:cs="仿宋"/>
          <w:b/>
        </w:rPr>
      </w:pPr>
      <w:bookmarkStart w:id="35" w:name="_Toc398107911"/>
      <w:r>
        <w:rPr>
          <w:rFonts w:hint="eastAsia" w:ascii="仿宋" w:hAnsi="仿宋" w:eastAsia="仿宋" w:cs="仿宋"/>
          <w:b/>
        </w:rPr>
        <w:t>2.监理人义务</w:t>
      </w:r>
      <w:bookmarkEnd w:id="35"/>
    </w:p>
    <w:p w14:paraId="347B3C9D">
      <w:pPr>
        <w:spacing w:line="276" w:lineRule="auto"/>
        <w:ind w:firstLine="205"/>
        <w:rPr>
          <w:rFonts w:hint="eastAsia" w:ascii="仿宋" w:hAnsi="仿宋" w:eastAsia="仿宋" w:cs="仿宋"/>
          <w:szCs w:val="21"/>
        </w:rPr>
      </w:pPr>
      <w:r>
        <w:rPr>
          <w:rFonts w:hint="eastAsia" w:ascii="仿宋" w:hAnsi="仿宋" w:eastAsia="仿宋" w:cs="仿宋"/>
          <w:szCs w:val="21"/>
        </w:rPr>
        <w:t>2.1监理的范围和</w:t>
      </w:r>
      <w:r>
        <w:rPr>
          <w:rFonts w:hint="eastAsia" w:ascii="仿宋" w:hAnsi="仿宋" w:eastAsia="仿宋" w:cs="仿宋"/>
          <w:bCs/>
          <w:szCs w:val="21"/>
        </w:rPr>
        <w:t>内容</w:t>
      </w:r>
    </w:p>
    <w:p w14:paraId="565B98D7">
      <w:pPr>
        <w:spacing w:line="276" w:lineRule="auto"/>
        <w:ind w:firstLine="210"/>
        <w:rPr>
          <w:rFonts w:hint="eastAsia" w:ascii="仿宋" w:hAnsi="仿宋" w:eastAsia="仿宋" w:cs="仿宋"/>
          <w:szCs w:val="21"/>
        </w:rPr>
      </w:pPr>
      <w:r>
        <w:rPr>
          <w:rFonts w:hint="eastAsia" w:ascii="仿宋" w:hAnsi="仿宋" w:eastAsia="仿宋" w:cs="仿宋"/>
          <w:szCs w:val="21"/>
        </w:rPr>
        <w:t>2.1.1监理范围包括：</w:t>
      </w:r>
      <w:r>
        <w:rPr>
          <w:rFonts w:hint="eastAsia" w:ascii="仿宋" w:hAnsi="仿宋" w:eastAsia="仿宋" w:cs="仿宋"/>
          <w:color w:val="FF0000"/>
          <w:szCs w:val="21"/>
          <w:u w:val="single"/>
        </w:rPr>
        <w:t>（包括但不限于招标人提供的施工设计图纸中包括的所含工程（具体按照所有专业的施工图纸及设计变更内容进行监理）的施工准备阶段、施工阶段、施工验收结算阶段）等</w:t>
      </w:r>
      <w:r>
        <w:rPr>
          <w:rFonts w:hint="eastAsia" w:ascii="仿宋" w:hAnsi="仿宋" w:eastAsia="仿宋" w:cs="仿宋"/>
          <w:szCs w:val="21"/>
        </w:rPr>
        <w:t>。</w:t>
      </w:r>
    </w:p>
    <w:p w14:paraId="2B4AFEF8">
      <w:pPr>
        <w:spacing w:line="276" w:lineRule="auto"/>
        <w:ind w:firstLine="210"/>
        <w:rPr>
          <w:rFonts w:hint="eastAsia" w:ascii="仿宋" w:hAnsi="仿宋" w:eastAsia="仿宋" w:cs="仿宋"/>
          <w:color w:val="FF0000"/>
          <w:szCs w:val="21"/>
        </w:rPr>
      </w:pPr>
      <w:r>
        <w:rPr>
          <w:rFonts w:hint="eastAsia" w:ascii="仿宋" w:hAnsi="仿宋" w:eastAsia="仿宋" w:cs="仿宋"/>
          <w:szCs w:val="21"/>
        </w:rPr>
        <w:t>2.1.2监理工作内容还包括：</w:t>
      </w:r>
      <w:r>
        <w:rPr>
          <w:rFonts w:hint="eastAsia" w:ascii="仿宋" w:hAnsi="仿宋" w:eastAsia="仿宋" w:cs="仿宋"/>
          <w:color w:val="FF0000"/>
          <w:szCs w:val="21"/>
          <w:u w:val="single"/>
        </w:rPr>
        <w:t>工程中的四控、二管、一协调【（1）投资控制（2）进度控制（3）质量控制（4）施工安全监督（5）合同管理（6）信息管理（7）协调施工现场各工作关系的协调】</w:t>
      </w:r>
      <w:r>
        <w:rPr>
          <w:rFonts w:hint="eastAsia" w:ascii="仿宋" w:hAnsi="仿宋" w:eastAsia="仿宋" w:cs="仿宋"/>
          <w:color w:val="FF0000"/>
          <w:szCs w:val="21"/>
        </w:rPr>
        <w:t>。</w:t>
      </w:r>
    </w:p>
    <w:p w14:paraId="0E158229">
      <w:pPr>
        <w:spacing w:line="276" w:lineRule="auto"/>
        <w:ind w:firstLine="420"/>
        <w:rPr>
          <w:rFonts w:hint="eastAsia" w:ascii="仿宋" w:hAnsi="仿宋" w:eastAsia="仿宋" w:cs="仿宋"/>
          <w:color w:val="FF0000"/>
          <w:szCs w:val="21"/>
          <w:u w:val="single"/>
        </w:rPr>
      </w:pPr>
      <w:r>
        <w:rPr>
          <w:rFonts w:hint="eastAsia" w:ascii="仿宋" w:hAnsi="仿宋" w:eastAsia="仿宋" w:cs="仿宋"/>
          <w:color w:val="FF0000"/>
          <w:szCs w:val="21"/>
          <w:u w:val="single"/>
        </w:rPr>
        <w:t>（1）工程投资控制：审核承包人的进度报表和结算报表，协助发包人控制工程进度额的支付，进行工程风险预测，并采取相应的防范性对策，尽量减少施工单位提出的索赔可能。协助发包人进行工程变更、设计修改，事先进行技术经济预分析，所有工程设计变更、签证必须经发包人直接签字认可。检查、监督施工单位执行合同，使其全面履行，定期、不定期进行工程费用超支分析，并提出工程费用突破的方案和措施。</w:t>
      </w:r>
    </w:p>
    <w:p w14:paraId="63C0DF63">
      <w:pPr>
        <w:spacing w:line="276" w:lineRule="auto"/>
        <w:ind w:firstLine="420"/>
        <w:rPr>
          <w:rFonts w:hint="eastAsia" w:ascii="仿宋" w:hAnsi="仿宋" w:eastAsia="仿宋" w:cs="仿宋"/>
          <w:color w:val="FF0000"/>
          <w:szCs w:val="21"/>
          <w:u w:val="single"/>
        </w:rPr>
      </w:pPr>
      <w:r>
        <w:rPr>
          <w:rFonts w:hint="eastAsia" w:ascii="仿宋" w:hAnsi="仿宋" w:eastAsia="仿宋" w:cs="仿宋"/>
          <w:color w:val="FF0000"/>
          <w:szCs w:val="21"/>
          <w:u w:val="single"/>
        </w:rPr>
        <w:t>（2）进度控制;协助委托人编制工程控制性进度计划，提出工程控制性进度目标，并以此为基础进行审核，当实施进度出现偏差时，及时向发包人提出调整进度计划的建议并督促发包人进行修改。</w:t>
      </w:r>
    </w:p>
    <w:p w14:paraId="4824C775">
      <w:pPr>
        <w:spacing w:line="276" w:lineRule="auto"/>
        <w:ind w:firstLine="420"/>
        <w:rPr>
          <w:rFonts w:hint="eastAsia" w:ascii="仿宋" w:hAnsi="仿宋" w:eastAsia="仿宋" w:cs="仿宋"/>
          <w:color w:val="FF0000"/>
          <w:szCs w:val="21"/>
          <w:u w:val="single"/>
        </w:rPr>
      </w:pPr>
      <w:r>
        <w:rPr>
          <w:rFonts w:hint="eastAsia" w:ascii="仿宋" w:hAnsi="仿宋" w:eastAsia="仿宋" w:cs="仿宋"/>
          <w:color w:val="FF0000"/>
          <w:szCs w:val="21"/>
          <w:u w:val="single"/>
        </w:rPr>
        <w:t>（3）质量控制：审查承包人的质量保证体系和措施，核实质量文件材料，以及工程监理合同文件、设计文件、技术规范与智联验收标准，对施工期进行检查。</w:t>
      </w:r>
    </w:p>
    <w:p w14:paraId="368A7435">
      <w:pPr>
        <w:spacing w:line="276" w:lineRule="auto"/>
        <w:ind w:firstLine="420"/>
        <w:rPr>
          <w:rFonts w:hint="eastAsia" w:ascii="仿宋" w:hAnsi="仿宋" w:eastAsia="仿宋" w:cs="仿宋"/>
          <w:color w:val="FF0000"/>
          <w:szCs w:val="21"/>
          <w:u w:val="single"/>
        </w:rPr>
      </w:pPr>
      <w:r>
        <w:rPr>
          <w:rFonts w:hint="eastAsia" w:ascii="仿宋" w:hAnsi="仿宋" w:eastAsia="仿宋" w:cs="仿宋"/>
          <w:color w:val="FF0000"/>
          <w:szCs w:val="21"/>
          <w:u w:val="single"/>
        </w:rPr>
        <w:t>（4）施工安全监督：审查安全施工措施及动防护和环境保护措施，并负责检查、督促落实执行，参加重大安全事故调查并提出处理意见，协助发包人做好现场施工平面管理，监督检查安全文明施工，书面提出存在的问题及整改意见。</w:t>
      </w:r>
    </w:p>
    <w:p w14:paraId="13956122">
      <w:pPr>
        <w:spacing w:line="276" w:lineRule="auto"/>
        <w:ind w:firstLine="420"/>
        <w:rPr>
          <w:rFonts w:hint="eastAsia" w:ascii="仿宋" w:hAnsi="仿宋" w:eastAsia="仿宋" w:cs="仿宋"/>
          <w:color w:val="FF0000"/>
          <w:szCs w:val="21"/>
          <w:u w:val="single"/>
        </w:rPr>
      </w:pPr>
      <w:r>
        <w:rPr>
          <w:rFonts w:hint="eastAsia" w:ascii="仿宋" w:hAnsi="仿宋" w:eastAsia="仿宋" w:cs="仿宋"/>
          <w:color w:val="FF0000"/>
          <w:szCs w:val="21"/>
          <w:u w:val="single"/>
        </w:rPr>
        <w:t>（5）信息管理：及时做好现场监理记录及信息反馈。参与编制工程项目总结报告。</w:t>
      </w:r>
    </w:p>
    <w:p w14:paraId="4C5AF084">
      <w:pPr>
        <w:spacing w:line="276" w:lineRule="auto"/>
        <w:ind w:firstLine="420"/>
        <w:rPr>
          <w:rFonts w:hint="eastAsia" w:ascii="仿宋" w:hAnsi="仿宋" w:eastAsia="仿宋" w:cs="仿宋"/>
          <w:color w:val="FF0000"/>
          <w:szCs w:val="21"/>
          <w:u w:val="single"/>
        </w:rPr>
      </w:pPr>
      <w:r>
        <w:rPr>
          <w:rFonts w:hint="eastAsia" w:ascii="仿宋" w:hAnsi="仿宋" w:eastAsia="仿宋" w:cs="仿宋"/>
          <w:color w:val="FF0000"/>
          <w:szCs w:val="21"/>
          <w:u w:val="single"/>
        </w:rPr>
        <w:t>（6）定期组织监理例会，做好监理合同授权范围内的参建各方协调工作，编发施工协调会会议纪要，及时协调解决过程中出现的各类问题。</w:t>
      </w:r>
    </w:p>
    <w:p w14:paraId="340FA8D3">
      <w:pPr>
        <w:spacing w:line="276" w:lineRule="auto"/>
        <w:ind w:firstLine="420"/>
        <w:rPr>
          <w:rFonts w:hint="eastAsia" w:ascii="仿宋" w:hAnsi="仿宋" w:eastAsia="仿宋" w:cs="仿宋"/>
          <w:color w:val="FF0000"/>
          <w:szCs w:val="21"/>
          <w:u w:val="single"/>
        </w:rPr>
      </w:pPr>
      <w:r>
        <w:rPr>
          <w:rFonts w:hint="eastAsia" w:ascii="仿宋" w:hAnsi="仿宋" w:eastAsia="仿宋" w:cs="仿宋"/>
          <w:color w:val="FF0000"/>
          <w:szCs w:val="21"/>
          <w:u w:val="single"/>
        </w:rPr>
        <w:t>（7）工程矛盾纠纷的协调</w:t>
      </w:r>
    </w:p>
    <w:p w14:paraId="56606A96">
      <w:pPr>
        <w:spacing w:line="276" w:lineRule="auto"/>
        <w:ind w:firstLine="420"/>
        <w:rPr>
          <w:rFonts w:hint="eastAsia" w:ascii="仿宋" w:hAnsi="仿宋" w:eastAsia="仿宋" w:cs="仿宋"/>
          <w:color w:val="FF0000"/>
          <w:szCs w:val="21"/>
          <w:u w:val="single"/>
        </w:rPr>
      </w:pPr>
      <w:r>
        <w:rPr>
          <w:rFonts w:hint="eastAsia" w:ascii="仿宋" w:hAnsi="仿宋" w:eastAsia="仿宋" w:cs="仿宋"/>
          <w:color w:val="FF0000"/>
          <w:szCs w:val="21"/>
          <w:u w:val="single"/>
        </w:rPr>
        <w:t>（8）监理文件材料整理：编制整理监理服务的各种文件、通知、记录、检测文件材料、图纸等，监理合同完成或终止时移交给发包人。</w:t>
      </w:r>
    </w:p>
    <w:p w14:paraId="58EC5AE7">
      <w:pPr>
        <w:spacing w:line="276" w:lineRule="auto"/>
        <w:ind w:firstLine="420"/>
        <w:rPr>
          <w:rFonts w:hint="eastAsia" w:ascii="仿宋" w:hAnsi="仿宋" w:eastAsia="仿宋" w:cs="仿宋"/>
          <w:color w:val="FF0000"/>
          <w:szCs w:val="21"/>
          <w:u w:val="single"/>
        </w:rPr>
      </w:pPr>
      <w:r>
        <w:rPr>
          <w:rFonts w:hint="eastAsia" w:ascii="仿宋" w:hAnsi="仿宋" w:eastAsia="仿宋" w:cs="仿宋"/>
          <w:color w:val="FF0000"/>
          <w:szCs w:val="21"/>
          <w:u w:val="single"/>
        </w:rPr>
        <w:t>（9）承包人施工合同中关于监理工作内容。</w:t>
      </w:r>
    </w:p>
    <w:p w14:paraId="642ADCC2">
      <w:pPr>
        <w:spacing w:line="276" w:lineRule="auto"/>
        <w:ind w:firstLine="105"/>
        <w:rPr>
          <w:rFonts w:hint="eastAsia" w:ascii="仿宋" w:hAnsi="仿宋" w:eastAsia="仿宋" w:cs="仿宋"/>
          <w:szCs w:val="21"/>
        </w:rPr>
      </w:pPr>
      <w:r>
        <w:rPr>
          <w:rFonts w:hint="eastAsia" w:ascii="仿宋" w:hAnsi="仿宋" w:eastAsia="仿宋" w:cs="仿宋"/>
          <w:szCs w:val="21"/>
        </w:rPr>
        <w:t>2.2监理与相关服务依据</w:t>
      </w:r>
    </w:p>
    <w:p w14:paraId="4316BDC6">
      <w:pPr>
        <w:spacing w:line="276" w:lineRule="auto"/>
        <w:ind w:firstLine="420"/>
        <w:rPr>
          <w:rFonts w:hint="eastAsia" w:ascii="仿宋" w:hAnsi="仿宋" w:eastAsia="仿宋" w:cs="仿宋"/>
          <w:szCs w:val="21"/>
        </w:rPr>
      </w:pPr>
      <w:r>
        <w:rPr>
          <w:rFonts w:hint="eastAsia" w:ascii="仿宋" w:hAnsi="仿宋" w:eastAsia="仿宋" w:cs="仿宋"/>
          <w:szCs w:val="21"/>
        </w:rPr>
        <w:t>2.2.1监理依据包括：</w:t>
      </w:r>
    </w:p>
    <w:p w14:paraId="2B6675CB">
      <w:pPr>
        <w:spacing w:line="276" w:lineRule="auto"/>
        <w:ind w:firstLine="420"/>
        <w:rPr>
          <w:rFonts w:hint="eastAsia" w:ascii="仿宋" w:hAnsi="仿宋" w:eastAsia="仿宋" w:cs="仿宋"/>
          <w:color w:val="FF0000"/>
          <w:szCs w:val="21"/>
          <w:u w:val="single"/>
        </w:rPr>
      </w:pPr>
      <w:r>
        <w:rPr>
          <w:rFonts w:hint="eastAsia" w:ascii="仿宋" w:hAnsi="仿宋" w:eastAsia="仿宋" w:cs="仿宋"/>
          <w:color w:val="FF0000"/>
          <w:szCs w:val="21"/>
          <w:u w:val="single"/>
        </w:rPr>
        <w:t>1、《中华人</w:t>
      </w:r>
      <w:r>
        <w:rPr>
          <w:rFonts w:hint="eastAsia" w:ascii="仿宋" w:hAnsi="仿宋" w:eastAsia="仿宋" w:cs="仿宋"/>
          <w:color w:val="FF0000"/>
          <w:szCs w:val="21"/>
          <w:u w:val="single"/>
          <w:lang w:val="en-US" w:eastAsia="zh-CN"/>
        </w:rPr>
        <w:t>民</w:t>
      </w:r>
      <w:r>
        <w:rPr>
          <w:rFonts w:hint="eastAsia" w:ascii="仿宋" w:hAnsi="仿宋" w:eastAsia="仿宋" w:cs="仿宋"/>
          <w:color w:val="FF0000"/>
          <w:szCs w:val="21"/>
          <w:u w:val="single"/>
        </w:rPr>
        <w:t>共和国民法典》</w:t>
      </w:r>
    </w:p>
    <w:p w14:paraId="4D7C61A5">
      <w:pPr>
        <w:spacing w:line="276" w:lineRule="auto"/>
        <w:ind w:firstLine="420"/>
        <w:rPr>
          <w:rFonts w:hint="eastAsia" w:ascii="仿宋" w:hAnsi="仿宋" w:eastAsia="仿宋" w:cs="仿宋"/>
          <w:color w:val="FF0000"/>
          <w:szCs w:val="21"/>
          <w:u w:val="single"/>
        </w:rPr>
      </w:pPr>
      <w:r>
        <w:rPr>
          <w:rFonts w:hint="eastAsia" w:ascii="仿宋" w:hAnsi="仿宋" w:eastAsia="仿宋" w:cs="仿宋"/>
          <w:color w:val="FF0000"/>
          <w:szCs w:val="21"/>
          <w:u w:val="single"/>
        </w:rPr>
        <w:t>2、《中华人民共和国建筑法》</w:t>
      </w:r>
    </w:p>
    <w:p w14:paraId="17C58FB0">
      <w:pPr>
        <w:spacing w:line="276" w:lineRule="auto"/>
        <w:ind w:firstLine="420"/>
        <w:rPr>
          <w:rFonts w:hint="eastAsia" w:ascii="仿宋" w:hAnsi="仿宋" w:eastAsia="仿宋" w:cs="仿宋"/>
          <w:color w:val="FF0000"/>
          <w:szCs w:val="21"/>
          <w:u w:val="single"/>
        </w:rPr>
      </w:pPr>
      <w:r>
        <w:rPr>
          <w:rFonts w:hint="eastAsia" w:ascii="仿宋" w:hAnsi="仿宋" w:eastAsia="仿宋" w:cs="仿宋"/>
          <w:color w:val="FF0000"/>
          <w:szCs w:val="21"/>
          <w:u w:val="single"/>
        </w:rPr>
        <w:t>3、《</w:t>
      </w:r>
      <w:r>
        <w:rPr>
          <w:rFonts w:hint="eastAsia" w:ascii="仿宋" w:hAnsi="仿宋" w:eastAsia="仿宋" w:cs="仿宋"/>
          <w:color w:val="FF0000"/>
          <w:szCs w:val="21"/>
          <w:u w:val="single"/>
          <w:lang w:eastAsia="zh-CN"/>
        </w:rPr>
        <w:t>中华人民共和国招标投标法</w:t>
      </w:r>
      <w:r>
        <w:rPr>
          <w:rFonts w:hint="eastAsia" w:ascii="仿宋" w:hAnsi="仿宋" w:eastAsia="仿宋" w:cs="仿宋"/>
          <w:color w:val="FF0000"/>
          <w:szCs w:val="21"/>
          <w:u w:val="single"/>
        </w:rPr>
        <w:t>》</w:t>
      </w:r>
    </w:p>
    <w:p w14:paraId="688A0EED">
      <w:pPr>
        <w:spacing w:line="276" w:lineRule="auto"/>
        <w:ind w:firstLine="420"/>
        <w:rPr>
          <w:rFonts w:hint="eastAsia" w:ascii="仿宋" w:hAnsi="仿宋" w:eastAsia="仿宋" w:cs="仿宋"/>
          <w:color w:val="FF0000"/>
          <w:szCs w:val="21"/>
          <w:u w:val="single"/>
        </w:rPr>
      </w:pPr>
      <w:r>
        <w:rPr>
          <w:rFonts w:hint="eastAsia" w:ascii="仿宋" w:hAnsi="仿宋" w:eastAsia="仿宋" w:cs="仿宋"/>
          <w:color w:val="FF0000"/>
          <w:szCs w:val="21"/>
          <w:u w:val="single"/>
        </w:rPr>
        <w:t>4、《中华人民共和国审计法》</w:t>
      </w:r>
    </w:p>
    <w:p w14:paraId="3A4AFDEF">
      <w:pPr>
        <w:spacing w:line="276" w:lineRule="auto"/>
        <w:ind w:firstLine="420"/>
        <w:rPr>
          <w:rFonts w:hint="eastAsia" w:ascii="仿宋" w:hAnsi="仿宋" w:eastAsia="仿宋" w:cs="仿宋"/>
          <w:color w:val="FF0000"/>
          <w:szCs w:val="21"/>
          <w:u w:val="single"/>
        </w:rPr>
      </w:pPr>
      <w:r>
        <w:rPr>
          <w:rFonts w:hint="eastAsia" w:ascii="仿宋" w:hAnsi="仿宋" w:eastAsia="仿宋" w:cs="仿宋"/>
          <w:color w:val="FF0000"/>
          <w:szCs w:val="21"/>
          <w:u w:val="single"/>
        </w:rPr>
        <w:t>5、《中华人民共和国安全生产法》</w:t>
      </w:r>
    </w:p>
    <w:p w14:paraId="7AD0618D">
      <w:pPr>
        <w:spacing w:line="276" w:lineRule="auto"/>
        <w:ind w:firstLine="420"/>
        <w:rPr>
          <w:rFonts w:hint="eastAsia" w:ascii="仿宋" w:hAnsi="仿宋" w:eastAsia="仿宋" w:cs="仿宋"/>
          <w:color w:val="FF0000"/>
          <w:szCs w:val="21"/>
          <w:u w:val="single"/>
        </w:rPr>
      </w:pPr>
      <w:r>
        <w:rPr>
          <w:rFonts w:hint="eastAsia" w:ascii="仿宋" w:hAnsi="仿宋" w:eastAsia="仿宋" w:cs="仿宋"/>
          <w:color w:val="FF0000"/>
          <w:szCs w:val="21"/>
          <w:u w:val="single"/>
        </w:rPr>
        <w:t>6、《建设工程安全生产管理条例》（国务院第393号令）</w:t>
      </w:r>
    </w:p>
    <w:p w14:paraId="187A8171">
      <w:pPr>
        <w:spacing w:line="276" w:lineRule="auto"/>
        <w:ind w:firstLine="420"/>
        <w:rPr>
          <w:rFonts w:hint="eastAsia" w:ascii="仿宋" w:hAnsi="仿宋" w:eastAsia="仿宋" w:cs="仿宋"/>
          <w:color w:val="FF0000"/>
          <w:szCs w:val="21"/>
          <w:u w:val="single"/>
        </w:rPr>
      </w:pPr>
      <w:r>
        <w:rPr>
          <w:rFonts w:hint="eastAsia" w:ascii="仿宋" w:hAnsi="仿宋" w:eastAsia="仿宋" w:cs="仿宋"/>
          <w:color w:val="FF0000"/>
          <w:szCs w:val="21"/>
          <w:u w:val="single"/>
        </w:rPr>
        <w:t>7、《建设工程质量管理条例》</w:t>
      </w:r>
    </w:p>
    <w:p w14:paraId="315481D6">
      <w:pPr>
        <w:spacing w:line="276" w:lineRule="auto"/>
        <w:ind w:firstLine="420"/>
        <w:rPr>
          <w:rFonts w:hint="eastAsia" w:ascii="仿宋" w:hAnsi="仿宋" w:eastAsia="仿宋" w:cs="仿宋"/>
          <w:color w:val="FF0000"/>
          <w:szCs w:val="21"/>
          <w:u w:val="single"/>
        </w:rPr>
      </w:pPr>
      <w:r>
        <w:rPr>
          <w:rFonts w:hint="eastAsia" w:ascii="仿宋" w:hAnsi="仿宋" w:eastAsia="仿宋" w:cs="仿宋"/>
          <w:color w:val="FF0000"/>
          <w:szCs w:val="21"/>
          <w:u w:val="single"/>
        </w:rPr>
        <w:t>8、《江苏省建筑市场管理条例》</w:t>
      </w:r>
    </w:p>
    <w:p w14:paraId="2D33ABEA">
      <w:pPr>
        <w:spacing w:line="276" w:lineRule="auto"/>
        <w:ind w:firstLine="420"/>
        <w:rPr>
          <w:rFonts w:hint="eastAsia" w:ascii="仿宋" w:hAnsi="仿宋" w:eastAsia="仿宋" w:cs="仿宋"/>
          <w:color w:val="FF0000"/>
          <w:szCs w:val="21"/>
          <w:u w:val="single"/>
        </w:rPr>
      </w:pPr>
      <w:r>
        <w:rPr>
          <w:rFonts w:hint="eastAsia" w:ascii="仿宋" w:hAnsi="仿宋" w:eastAsia="仿宋" w:cs="仿宋"/>
          <w:color w:val="FF0000"/>
          <w:szCs w:val="21"/>
          <w:u w:val="single"/>
        </w:rPr>
        <w:t>9、《工程建设标准强制性条文》</w:t>
      </w:r>
    </w:p>
    <w:p w14:paraId="70DD30F4">
      <w:pPr>
        <w:spacing w:line="276" w:lineRule="auto"/>
        <w:ind w:firstLine="420"/>
        <w:rPr>
          <w:rFonts w:hint="eastAsia" w:ascii="仿宋" w:hAnsi="仿宋" w:eastAsia="仿宋" w:cs="仿宋"/>
          <w:color w:val="FF0000"/>
          <w:szCs w:val="21"/>
          <w:u w:val="single"/>
        </w:rPr>
      </w:pPr>
      <w:r>
        <w:rPr>
          <w:rFonts w:hint="eastAsia" w:ascii="仿宋" w:hAnsi="仿宋" w:eastAsia="仿宋" w:cs="仿宋"/>
          <w:color w:val="FF0000"/>
          <w:szCs w:val="21"/>
          <w:u w:val="single"/>
        </w:rPr>
        <w:t>10、《江苏省审计机关政府投资项目跟踪审计实施办法（试行）》（苏审发【2008】168号）</w:t>
      </w:r>
    </w:p>
    <w:p w14:paraId="7D510E57">
      <w:pPr>
        <w:spacing w:line="276" w:lineRule="auto"/>
        <w:ind w:firstLine="420"/>
        <w:rPr>
          <w:rFonts w:hint="eastAsia" w:ascii="仿宋" w:hAnsi="仿宋" w:eastAsia="仿宋" w:cs="仿宋"/>
          <w:color w:val="FF0000"/>
          <w:szCs w:val="21"/>
          <w:u w:val="single"/>
        </w:rPr>
      </w:pPr>
      <w:r>
        <w:rPr>
          <w:rFonts w:hint="eastAsia" w:ascii="仿宋" w:hAnsi="仿宋" w:eastAsia="仿宋" w:cs="仿宋"/>
          <w:color w:val="FF0000"/>
          <w:szCs w:val="21"/>
          <w:u w:val="single"/>
        </w:rPr>
        <w:t>11、《淮安市政府投资项目审计监督办法》（淮政发【2009】49号）及“最高人民法院关于审理建设工程施工合同纠纷案件适用法律问题的解释”</w:t>
      </w:r>
    </w:p>
    <w:p w14:paraId="5D2A5A3F">
      <w:pPr>
        <w:spacing w:line="276" w:lineRule="auto"/>
        <w:ind w:firstLine="420"/>
        <w:rPr>
          <w:rFonts w:hint="eastAsia" w:ascii="仿宋" w:hAnsi="仿宋" w:eastAsia="仿宋" w:cs="仿宋"/>
          <w:color w:val="FF0000"/>
          <w:szCs w:val="21"/>
          <w:u w:val="single"/>
        </w:rPr>
      </w:pPr>
      <w:r>
        <w:rPr>
          <w:rFonts w:hint="eastAsia" w:ascii="仿宋" w:hAnsi="仿宋" w:eastAsia="仿宋" w:cs="仿宋"/>
          <w:color w:val="FF0000"/>
          <w:szCs w:val="21"/>
          <w:u w:val="single"/>
        </w:rPr>
        <w:t>12、《工程建设监理规范》（GB50319-2013）</w:t>
      </w:r>
    </w:p>
    <w:p w14:paraId="62E9E075">
      <w:pPr>
        <w:spacing w:line="276" w:lineRule="auto"/>
        <w:ind w:firstLine="420"/>
        <w:rPr>
          <w:rFonts w:hint="eastAsia" w:ascii="仿宋" w:hAnsi="仿宋" w:eastAsia="仿宋" w:cs="仿宋"/>
          <w:color w:val="FF0000"/>
          <w:szCs w:val="21"/>
          <w:u w:val="single"/>
        </w:rPr>
      </w:pPr>
      <w:r>
        <w:rPr>
          <w:rFonts w:hint="eastAsia" w:ascii="仿宋" w:hAnsi="仿宋" w:eastAsia="仿宋" w:cs="仿宋"/>
          <w:color w:val="FF0000"/>
          <w:szCs w:val="21"/>
          <w:u w:val="single"/>
        </w:rPr>
        <w:t>13、《工程建设监理规定》</w:t>
      </w:r>
    </w:p>
    <w:p w14:paraId="6917170F">
      <w:pPr>
        <w:spacing w:line="276" w:lineRule="auto"/>
        <w:ind w:firstLine="420"/>
        <w:rPr>
          <w:rFonts w:hint="eastAsia" w:ascii="仿宋" w:hAnsi="仿宋" w:eastAsia="仿宋" w:cs="仿宋"/>
          <w:color w:val="FF0000"/>
          <w:szCs w:val="21"/>
          <w:u w:val="single"/>
        </w:rPr>
      </w:pPr>
      <w:r>
        <w:rPr>
          <w:rFonts w:hint="eastAsia" w:ascii="仿宋" w:hAnsi="仿宋" w:eastAsia="仿宋" w:cs="仿宋"/>
          <w:color w:val="FF0000"/>
          <w:szCs w:val="21"/>
          <w:u w:val="single"/>
        </w:rPr>
        <w:t>14、《实施工程建设强制性标准监督规定》</w:t>
      </w:r>
    </w:p>
    <w:p w14:paraId="0A444082">
      <w:pPr>
        <w:spacing w:line="276" w:lineRule="auto"/>
        <w:ind w:firstLine="420"/>
        <w:rPr>
          <w:rFonts w:hint="eastAsia" w:ascii="仿宋" w:hAnsi="仿宋" w:eastAsia="仿宋" w:cs="仿宋"/>
          <w:color w:val="FF0000"/>
          <w:szCs w:val="21"/>
          <w:u w:val="single"/>
        </w:rPr>
      </w:pPr>
      <w:r>
        <w:rPr>
          <w:rFonts w:hint="eastAsia" w:ascii="仿宋" w:hAnsi="仿宋" w:eastAsia="仿宋" w:cs="仿宋"/>
          <w:color w:val="FF0000"/>
          <w:szCs w:val="21"/>
          <w:u w:val="single"/>
        </w:rPr>
        <w:t>15、工程招、投标文件</w:t>
      </w:r>
    </w:p>
    <w:p w14:paraId="0112B980">
      <w:pPr>
        <w:spacing w:line="276" w:lineRule="auto"/>
        <w:ind w:firstLine="420"/>
        <w:rPr>
          <w:rFonts w:hint="eastAsia" w:ascii="仿宋" w:hAnsi="仿宋" w:eastAsia="仿宋" w:cs="仿宋"/>
          <w:color w:val="FF0000"/>
          <w:szCs w:val="21"/>
          <w:u w:val="single"/>
        </w:rPr>
      </w:pPr>
      <w:r>
        <w:rPr>
          <w:rFonts w:hint="eastAsia" w:ascii="仿宋" w:hAnsi="仿宋" w:eastAsia="仿宋" w:cs="仿宋"/>
          <w:color w:val="FF0000"/>
          <w:szCs w:val="21"/>
          <w:u w:val="single"/>
        </w:rPr>
        <w:t>16、《建设工程施工合同》</w:t>
      </w:r>
    </w:p>
    <w:p w14:paraId="361CF94A">
      <w:pPr>
        <w:spacing w:line="276" w:lineRule="auto"/>
        <w:ind w:firstLine="420"/>
        <w:rPr>
          <w:rFonts w:hint="eastAsia" w:ascii="仿宋" w:hAnsi="仿宋" w:eastAsia="仿宋" w:cs="仿宋"/>
          <w:color w:val="FF0000"/>
          <w:szCs w:val="21"/>
          <w:u w:val="single"/>
        </w:rPr>
      </w:pPr>
      <w:r>
        <w:rPr>
          <w:rFonts w:hint="eastAsia" w:ascii="仿宋" w:hAnsi="仿宋" w:eastAsia="仿宋" w:cs="仿宋"/>
          <w:color w:val="FF0000"/>
          <w:szCs w:val="21"/>
          <w:u w:val="single"/>
        </w:rPr>
        <w:t>17、《江苏省人民防空工程监理管理办法》等有关人防建筑要求的其它法律法规和相关文件。</w:t>
      </w:r>
    </w:p>
    <w:p w14:paraId="2DE1DC6D">
      <w:pPr>
        <w:spacing w:line="276" w:lineRule="auto"/>
        <w:ind w:firstLine="420"/>
        <w:rPr>
          <w:rFonts w:hint="eastAsia" w:ascii="仿宋" w:hAnsi="仿宋" w:eastAsia="仿宋" w:cs="仿宋"/>
          <w:color w:val="FF0000"/>
          <w:szCs w:val="21"/>
          <w:u w:val="single"/>
        </w:rPr>
      </w:pPr>
      <w:r>
        <w:rPr>
          <w:rFonts w:hint="eastAsia" w:ascii="仿宋" w:hAnsi="仿宋" w:eastAsia="仿宋" w:cs="仿宋"/>
          <w:color w:val="FF0000"/>
          <w:szCs w:val="21"/>
          <w:u w:val="single"/>
        </w:rPr>
        <w:t>18、工程有关的设计文件及其他现行工程建设标准、规范和规章等，但不限于此。</w:t>
      </w:r>
    </w:p>
    <w:p w14:paraId="5CF60BCC">
      <w:pPr>
        <w:spacing w:line="276" w:lineRule="auto"/>
        <w:ind w:firstLine="420"/>
        <w:rPr>
          <w:rFonts w:hint="eastAsia" w:ascii="仿宋" w:hAnsi="仿宋" w:eastAsia="仿宋" w:cs="仿宋"/>
          <w:color w:val="FF0000"/>
          <w:szCs w:val="21"/>
          <w:u w:val="single"/>
        </w:rPr>
      </w:pPr>
      <w:r>
        <w:rPr>
          <w:rFonts w:hint="eastAsia" w:ascii="仿宋" w:hAnsi="仿宋" w:eastAsia="仿宋" w:cs="仿宋"/>
          <w:color w:val="FF0000"/>
          <w:szCs w:val="21"/>
          <w:u w:val="single"/>
        </w:rPr>
        <w:t>19、如上述标准、规范等要求有出入则以较严格者为准，如标准、规范等修改或更新的，则以修改或更新后的内容为准。</w:t>
      </w:r>
    </w:p>
    <w:p w14:paraId="64935736">
      <w:pPr>
        <w:spacing w:line="276" w:lineRule="auto"/>
        <w:ind w:firstLine="420"/>
        <w:rPr>
          <w:rFonts w:hint="eastAsia" w:ascii="仿宋" w:hAnsi="仿宋" w:eastAsia="仿宋" w:cs="仿宋"/>
          <w:szCs w:val="21"/>
        </w:rPr>
      </w:pPr>
      <w:r>
        <w:rPr>
          <w:rFonts w:hint="eastAsia" w:ascii="仿宋" w:hAnsi="仿宋" w:eastAsia="仿宋" w:cs="仿宋"/>
          <w:szCs w:val="21"/>
        </w:rPr>
        <w:t>2.2.2相关服务依据包括：</w:t>
      </w:r>
      <w:r>
        <w:rPr>
          <w:rFonts w:hint="eastAsia" w:ascii="仿宋" w:hAnsi="仿宋" w:eastAsia="仿宋" w:cs="仿宋"/>
          <w:color w:val="FF0000"/>
          <w:szCs w:val="21"/>
          <w:u w:val="single"/>
        </w:rPr>
        <w:t>本合同及委托人与其签订的有关其他合同</w:t>
      </w:r>
    </w:p>
    <w:p w14:paraId="4D60A1F0">
      <w:pPr>
        <w:spacing w:line="276" w:lineRule="auto"/>
        <w:ind w:firstLine="420"/>
        <w:rPr>
          <w:rFonts w:hint="eastAsia" w:ascii="仿宋" w:hAnsi="仿宋" w:eastAsia="仿宋" w:cs="仿宋"/>
          <w:szCs w:val="21"/>
        </w:rPr>
      </w:pPr>
      <w:r>
        <w:rPr>
          <w:rFonts w:hint="eastAsia" w:ascii="仿宋" w:hAnsi="仿宋" w:eastAsia="仿宋" w:cs="仿宋"/>
          <w:szCs w:val="21"/>
        </w:rPr>
        <w:t>2.3项目监理机构和人员</w:t>
      </w:r>
    </w:p>
    <w:p w14:paraId="54148D58">
      <w:pPr>
        <w:spacing w:line="276" w:lineRule="auto"/>
        <w:ind w:firstLine="420"/>
        <w:rPr>
          <w:rFonts w:hint="eastAsia" w:ascii="仿宋" w:hAnsi="仿宋" w:eastAsia="仿宋" w:cs="仿宋"/>
          <w:szCs w:val="21"/>
        </w:rPr>
      </w:pPr>
      <w:r>
        <w:rPr>
          <w:rFonts w:hint="eastAsia" w:ascii="仿宋" w:hAnsi="仿宋" w:eastAsia="仿宋" w:cs="仿宋"/>
          <w:szCs w:val="21"/>
        </w:rPr>
        <w:t>2.3.4更换监理人员的其他情形：</w:t>
      </w:r>
      <w:r>
        <w:rPr>
          <w:rFonts w:hint="eastAsia" w:ascii="仿宋" w:hAnsi="仿宋" w:eastAsia="仿宋" w:cs="仿宋"/>
          <w:color w:val="FF0000"/>
          <w:szCs w:val="21"/>
          <w:u w:val="single"/>
        </w:rPr>
        <w:t>监理人员身体健康等客观原因，更换监理人员，必须得到委托人书面批准，更换的监理人员必须是本企业的正式在职员工，并且不得低于原岗位的监理人员具有的条件（如资质、信誉、业绩等）</w:t>
      </w:r>
      <w:r>
        <w:rPr>
          <w:rFonts w:hint="eastAsia" w:ascii="仿宋" w:hAnsi="仿宋" w:eastAsia="仿宋" w:cs="仿宋"/>
          <w:szCs w:val="21"/>
          <w:u w:val="single"/>
        </w:rPr>
        <w:t>。</w:t>
      </w:r>
    </w:p>
    <w:p w14:paraId="3495C73B">
      <w:pPr>
        <w:spacing w:line="276" w:lineRule="auto"/>
        <w:ind w:firstLine="205"/>
        <w:rPr>
          <w:rFonts w:hint="eastAsia" w:ascii="仿宋" w:hAnsi="仿宋" w:eastAsia="仿宋" w:cs="仿宋"/>
          <w:szCs w:val="21"/>
        </w:rPr>
      </w:pPr>
      <w:r>
        <w:rPr>
          <w:rFonts w:hint="eastAsia" w:ascii="仿宋" w:hAnsi="仿宋" w:eastAsia="仿宋" w:cs="仿宋"/>
          <w:szCs w:val="21"/>
        </w:rPr>
        <w:t>2.4履行职责</w:t>
      </w:r>
    </w:p>
    <w:p w14:paraId="5DCE4435">
      <w:pPr>
        <w:spacing w:line="276" w:lineRule="auto"/>
        <w:ind w:firstLine="420"/>
        <w:rPr>
          <w:rFonts w:hint="eastAsia" w:ascii="仿宋" w:hAnsi="仿宋" w:eastAsia="仿宋" w:cs="仿宋"/>
          <w:szCs w:val="21"/>
          <w:u w:val="single"/>
        </w:rPr>
      </w:pPr>
      <w:r>
        <w:rPr>
          <w:rFonts w:hint="eastAsia" w:ascii="仿宋" w:hAnsi="仿宋" w:eastAsia="仿宋" w:cs="仿宋"/>
          <w:szCs w:val="21"/>
        </w:rPr>
        <w:t>2.4.3对监理人的授权范围：</w:t>
      </w:r>
      <w:r>
        <w:rPr>
          <w:rFonts w:hint="eastAsia" w:ascii="仿宋" w:hAnsi="仿宋" w:eastAsia="仿宋" w:cs="仿宋"/>
          <w:color w:val="FF0000"/>
          <w:szCs w:val="21"/>
          <w:u w:val="single"/>
        </w:rPr>
        <w:t>工程质量控制、进度控制、现场安全生产、文明施工管理、造价以及合同管理、工程信息管理和施工现场的组织协调，以及法律、法规、规章、监理合同和监理规范等文件的相关规定执行。</w:t>
      </w:r>
    </w:p>
    <w:p w14:paraId="25775F0C">
      <w:pPr>
        <w:spacing w:line="276" w:lineRule="auto"/>
        <w:ind w:firstLine="420"/>
        <w:rPr>
          <w:rFonts w:hint="eastAsia" w:ascii="仿宋" w:hAnsi="仿宋" w:eastAsia="仿宋" w:cs="仿宋"/>
          <w:color w:val="FF0000"/>
          <w:szCs w:val="21"/>
        </w:rPr>
      </w:pPr>
      <w:r>
        <w:rPr>
          <w:rFonts w:hint="eastAsia" w:ascii="仿宋" w:hAnsi="仿宋" w:eastAsia="仿宋" w:cs="仿宋"/>
          <w:szCs w:val="21"/>
        </w:rPr>
        <w:t>监理人需要取得委托人批准才能行使的权利：</w:t>
      </w:r>
      <w:r>
        <w:rPr>
          <w:rFonts w:hint="eastAsia" w:ascii="仿宋" w:hAnsi="仿宋" w:eastAsia="仿宋" w:cs="仿宋"/>
          <w:szCs w:val="21"/>
          <w:u w:val="single"/>
        </w:rPr>
        <w:t>（</w:t>
      </w:r>
      <w:r>
        <w:rPr>
          <w:rFonts w:hint="eastAsia" w:ascii="仿宋" w:hAnsi="仿宋" w:eastAsia="仿宋" w:cs="仿宋"/>
          <w:color w:val="FF0000"/>
          <w:szCs w:val="21"/>
          <w:u w:val="single"/>
        </w:rPr>
        <w:t>1）对本合同工作的任何变更或签证，（2）工程批准及质量等级的确认，（3）工程开、停、复、竣工，工期提前、工期顺延、合同进度计划的确认，（4）工程索赔违约事件的确认（5）暂列金额、计日工、暂估价的使用和确认（7）材料设备的选用及价格的确定</w:t>
      </w:r>
    </w:p>
    <w:p w14:paraId="16171DD3">
      <w:pPr>
        <w:spacing w:line="276" w:lineRule="auto"/>
        <w:ind w:firstLine="420"/>
        <w:rPr>
          <w:rFonts w:hint="eastAsia" w:ascii="仿宋" w:hAnsi="仿宋" w:eastAsia="仿宋" w:cs="仿宋"/>
          <w:color w:val="FF0000"/>
          <w:szCs w:val="21"/>
          <w:u w:val="single"/>
        </w:rPr>
      </w:pPr>
      <w:r>
        <w:rPr>
          <w:rFonts w:hint="eastAsia" w:ascii="仿宋" w:hAnsi="仿宋" w:eastAsia="仿宋" w:cs="仿宋"/>
          <w:color w:val="FF0000"/>
          <w:szCs w:val="21"/>
          <w:u w:val="single"/>
        </w:rPr>
        <w:t>当监理人认为出现危及生命安全紧急事件时，在不免除合同约定的承包人责任的情况下，监理人可以指示承包人实施为消除或减少这种危险所必须进行的工作，即使没有委托人的事先批准，承包人也应立即遵守执行，相关责任和费用由责任方承担。</w:t>
      </w:r>
    </w:p>
    <w:p w14:paraId="6C6CF702">
      <w:pPr>
        <w:spacing w:line="276" w:lineRule="auto"/>
        <w:ind w:firstLine="420"/>
        <w:rPr>
          <w:rFonts w:hint="eastAsia" w:ascii="仿宋" w:hAnsi="仿宋" w:eastAsia="仿宋" w:cs="仿宋"/>
          <w:szCs w:val="21"/>
          <w:u w:val="single"/>
        </w:rPr>
      </w:pPr>
      <w:r>
        <w:rPr>
          <w:rFonts w:hint="eastAsia" w:ascii="仿宋" w:hAnsi="仿宋" w:eastAsia="仿宋" w:cs="仿宋"/>
          <w:color w:val="FF0000"/>
          <w:szCs w:val="21"/>
          <w:u w:val="single"/>
        </w:rPr>
        <w:t>根据本项目的工程特点，监理人应确保满足各施工阶段的相应专业监理资质要求。</w:t>
      </w:r>
    </w:p>
    <w:p w14:paraId="0FD3FC4F">
      <w:pPr>
        <w:spacing w:line="276" w:lineRule="auto"/>
        <w:ind w:firstLine="420"/>
        <w:rPr>
          <w:rFonts w:hint="eastAsia" w:ascii="仿宋" w:hAnsi="仿宋" w:eastAsia="仿宋" w:cs="仿宋"/>
          <w:szCs w:val="21"/>
        </w:rPr>
      </w:pPr>
      <w:r>
        <w:rPr>
          <w:rFonts w:hint="eastAsia" w:ascii="仿宋" w:hAnsi="仿宋" w:eastAsia="仿宋" w:cs="仿宋"/>
          <w:szCs w:val="21"/>
        </w:rPr>
        <w:t>在涉及工程延期</w:t>
      </w:r>
      <w:r>
        <w:rPr>
          <w:rFonts w:hint="eastAsia" w:ascii="仿宋" w:hAnsi="仿宋" w:eastAsia="仿宋" w:cs="仿宋"/>
          <w:szCs w:val="21"/>
          <w:u w:val="single"/>
        </w:rPr>
        <w:t>/</w:t>
      </w:r>
      <w:r>
        <w:rPr>
          <w:rFonts w:hint="eastAsia" w:ascii="仿宋" w:hAnsi="仿宋" w:eastAsia="仿宋" w:cs="仿宋"/>
          <w:szCs w:val="21"/>
        </w:rPr>
        <w:t>天内和（或）金额</w:t>
      </w:r>
      <w:r>
        <w:rPr>
          <w:rFonts w:hint="eastAsia" w:ascii="仿宋" w:hAnsi="仿宋" w:eastAsia="仿宋" w:cs="仿宋"/>
          <w:szCs w:val="21"/>
          <w:u w:val="single"/>
        </w:rPr>
        <w:t>/</w:t>
      </w:r>
      <w:r>
        <w:rPr>
          <w:rFonts w:hint="eastAsia" w:ascii="仿宋" w:hAnsi="仿宋" w:eastAsia="仿宋" w:cs="仿宋"/>
          <w:szCs w:val="21"/>
        </w:rPr>
        <w:t>万元内的变更，监理人不需请示委托人即可向承包人发布变更通知。</w:t>
      </w:r>
    </w:p>
    <w:p w14:paraId="44F69086">
      <w:pPr>
        <w:spacing w:line="276" w:lineRule="auto"/>
        <w:ind w:firstLine="315"/>
        <w:rPr>
          <w:rFonts w:hint="eastAsia" w:ascii="仿宋" w:hAnsi="仿宋" w:eastAsia="仿宋" w:cs="仿宋"/>
          <w:szCs w:val="21"/>
        </w:rPr>
      </w:pPr>
      <w:r>
        <w:rPr>
          <w:rFonts w:hint="eastAsia" w:ascii="仿宋" w:hAnsi="仿宋" w:eastAsia="仿宋" w:cs="仿宋"/>
          <w:szCs w:val="21"/>
        </w:rPr>
        <w:t>2.4.4监理人有权要求承包人调换其人员的限制条件：</w:t>
      </w:r>
      <w:r>
        <w:rPr>
          <w:rFonts w:hint="eastAsia" w:ascii="仿宋" w:hAnsi="仿宋" w:eastAsia="仿宋" w:cs="仿宋"/>
          <w:szCs w:val="21"/>
          <w:u w:val="single"/>
        </w:rPr>
        <w:t>/</w:t>
      </w:r>
      <w:r>
        <w:rPr>
          <w:rFonts w:hint="eastAsia" w:ascii="仿宋" w:hAnsi="仿宋" w:eastAsia="仿宋" w:cs="仿宋"/>
          <w:szCs w:val="21"/>
        </w:rPr>
        <w:t>。</w:t>
      </w:r>
    </w:p>
    <w:p w14:paraId="76C5CBAD">
      <w:pPr>
        <w:spacing w:line="276" w:lineRule="auto"/>
        <w:ind w:firstLine="105"/>
        <w:rPr>
          <w:rFonts w:hint="eastAsia" w:ascii="仿宋" w:hAnsi="仿宋" w:eastAsia="仿宋" w:cs="仿宋"/>
          <w:szCs w:val="21"/>
        </w:rPr>
      </w:pPr>
      <w:r>
        <w:rPr>
          <w:rFonts w:hint="eastAsia" w:ascii="仿宋" w:hAnsi="仿宋" w:eastAsia="仿宋" w:cs="仿宋"/>
          <w:szCs w:val="21"/>
        </w:rPr>
        <w:t>2.5提交报告</w:t>
      </w:r>
    </w:p>
    <w:p w14:paraId="3763D709">
      <w:pPr>
        <w:spacing w:line="276" w:lineRule="auto"/>
        <w:ind w:firstLine="420"/>
        <w:rPr>
          <w:rFonts w:hint="eastAsia" w:ascii="仿宋" w:hAnsi="仿宋" w:eastAsia="仿宋" w:cs="仿宋"/>
          <w:szCs w:val="21"/>
          <w:u w:val="single"/>
        </w:rPr>
      </w:pPr>
      <w:r>
        <w:rPr>
          <w:rFonts w:hint="eastAsia" w:ascii="仿宋" w:hAnsi="仿宋" w:eastAsia="仿宋" w:cs="仿宋"/>
          <w:szCs w:val="21"/>
        </w:rPr>
        <w:t>监理人应提交报告的种类(包括监理规划、监理月报及约定的专项报告)、时间和份数：</w:t>
      </w:r>
      <w:r>
        <w:rPr>
          <w:rFonts w:hint="eastAsia" w:ascii="仿宋" w:hAnsi="仿宋" w:eastAsia="仿宋" w:cs="仿宋"/>
          <w:color w:val="FF0000"/>
          <w:szCs w:val="21"/>
          <w:u w:val="single"/>
        </w:rPr>
        <w:t>开工前提交监理规划、明细，每月25日前提交监理月报</w:t>
      </w:r>
      <w:r>
        <w:rPr>
          <w:rFonts w:hint="eastAsia" w:ascii="仿宋" w:hAnsi="仿宋" w:eastAsia="仿宋" w:cs="仿宋"/>
          <w:szCs w:val="21"/>
        </w:rPr>
        <w:t>。</w:t>
      </w:r>
    </w:p>
    <w:p w14:paraId="401851C8">
      <w:pPr>
        <w:spacing w:line="276" w:lineRule="auto"/>
        <w:ind w:firstLine="420"/>
        <w:rPr>
          <w:rFonts w:hint="eastAsia" w:ascii="仿宋" w:hAnsi="仿宋" w:eastAsia="仿宋" w:cs="仿宋"/>
          <w:szCs w:val="21"/>
        </w:rPr>
      </w:pPr>
      <w:r>
        <w:rPr>
          <w:rFonts w:hint="eastAsia" w:ascii="仿宋" w:hAnsi="仿宋" w:eastAsia="仿宋" w:cs="仿宋"/>
          <w:szCs w:val="21"/>
        </w:rPr>
        <w:t>2.7使用委托人的财产</w:t>
      </w:r>
    </w:p>
    <w:p w14:paraId="5E1E83D9">
      <w:pPr>
        <w:spacing w:line="276" w:lineRule="auto"/>
        <w:ind w:firstLine="420"/>
        <w:rPr>
          <w:rFonts w:hint="eastAsia" w:ascii="仿宋" w:hAnsi="仿宋" w:eastAsia="仿宋" w:cs="仿宋"/>
          <w:szCs w:val="21"/>
        </w:rPr>
      </w:pPr>
      <w:r>
        <w:rPr>
          <w:rFonts w:hint="eastAsia" w:ascii="仿宋" w:hAnsi="仿宋" w:eastAsia="仿宋" w:cs="仿宋"/>
          <w:szCs w:val="21"/>
        </w:rPr>
        <w:t>附录B中由委托人无偿提供的房屋、设备的所有权属于：</w:t>
      </w:r>
      <w:r>
        <w:rPr>
          <w:rFonts w:hint="eastAsia" w:ascii="仿宋" w:hAnsi="仿宋" w:eastAsia="仿宋" w:cs="仿宋"/>
          <w:color w:val="FF0000"/>
          <w:szCs w:val="21"/>
          <w:u w:val="single"/>
        </w:rPr>
        <w:t>委托人</w:t>
      </w:r>
      <w:r>
        <w:rPr>
          <w:rFonts w:hint="eastAsia" w:ascii="仿宋" w:hAnsi="仿宋" w:eastAsia="仿宋" w:cs="仿宋"/>
          <w:szCs w:val="21"/>
        </w:rPr>
        <w:t>。</w:t>
      </w:r>
    </w:p>
    <w:p w14:paraId="7BB8C728">
      <w:pPr>
        <w:spacing w:line="276" w:lineRule="auto"/>
        <w:ind w:left="105" w:firstLine="315"/>
        <w:rPr>
          <w:rFonts w:hint="eastAsia" w:ascii="仿宋" w:hAnsi="仿宋" w:eastAsia="仿宋" w:cs="仿宋"/>
          <w:szCs w:val="21"/>
        </w:rPr>
      </w:pPr>
      <w:r>
        <w:rPr>
          <w:rFonts w:hint="eastAsia" w:ascii="仿宋" w:hAnsi="仿宋" w:eastAsia="仿宋" w:cs="仿宋"/>
          <w:szCs w:val="21"/>
        </w:rPr>
        <w:t>监理人应在本合同终止后</w:t>
      </w:r>
      <w:r>
        <w:rPr>
          <w:rFonts w:hint="eastAsia" w:ascii="仿宋" w:hAnsi="仿宋" w:eastAsia="仿宋" w:cs="仿宋"/>
          <w:szCs w:val="21"/>
          <w:u w:val="single"/>
        </w:rPr>
        <w:t>1</w:t>
      </w:r>
      <w:r>
        <w:rPr>
          <w:rFonts w:hint="eastAsia" w:ascii="仿宋" w:hAnsi="仿宋" w:eastAsia="仿宋" w:cs="仿宋"/>
          <w:szCs w:val="21"/>
        </w:rPr>
        <w:t>天内移交委托人无偿提供的房屋、设备，移交的时间和方式为：</w:t>
      </w:r>
      <w:r>
        <w:rPr>
          <w:rFonts w:hint="eastAsia" w:ascii="仿宋" w:hAnsi="仿宋" w:eastAsia="仿宋" w:cs="仿宋"/>
          <w:color w:val="FF0000"/>
          <w:szCs w:val="21"/>
          <w:u w:val="single"/>
        </w:rPr>
        <w:t>视实际情况而定。</w:t>
      </w:r>
    </w:p>
    <w:p w14:paraId="3590B333">
      <w:pPr>
        <w:spacing w:line="276" w:lineRule="auto"/>
        <w:ind w:firstLine="422"/>
        <w:rPr>
          <w:rFonts w:hint="eastAsia" w:ascii="仿宋" w:hAnsi="仿宋" w:eastAsia="仿宋" w:cs="仿宋"/>
        </w:rPr>
      </w:pPr>
      <w:bookmarkStart w:id="36" w:name="_Toc398107912"/>
      <w:r>
        <w:rPr>
          <w:rFonts w:hint="eastAsia" w:ascii="仿宋" w:hAnsi="仿宋" w:eastAsia="仿宋" w:cs="仿宋"/>
          <w:b/>
        </w:rPr>
        <w:t>3.委托人义务</w:t>
      </w:r>
      <w:bookmarkEnd w:id="36"/>
    </w:p>
    <w:p w14:paraId="3C7D08C8">
      <w:pPr>
        <w:spacing w:line="276" w:lineRule="auto"/>
        <w:ind w:firstLine="420"/>
        <w:rPr>
          <w:rFonts w:hint="eastAsia" w:ascii="仿宋" w:hAnsi="仿宋" w:eastAsia="仿宋" w:cs="仿宋"/>
          <w:szCs w:val="21"/>
        </w:rPr>
      </w:pPr>
      <w:bookmarkStart w:id="37" w:name="_Toc423619626"/>
      <w:r>
        <w:rPr>
          <w:rFonts w:hint="eastAsia" w:ascii="仿宋" w:hAnsi="仿宋" w:eastAsia="仿宋" w:cs="仿宋"/>
          <w:szCs w:val="21"/>
        </w:rPr>
        <w:t>3.1告知</w:t>
      </w:r>
      <w:bookmarkEnd w:id="37"/>
    </w:p>
    <w:p w14:paraId="67FCC80C">
      <w:pPr>
        <w:spacing w:line="276" w:lineRule="auto"/>
        <w:ind w:firstLine="420"/>
        <w:rPr>
          <w:rFonts w:hint="eastAsia" w:ascii="仿宋" w:hAnsi="仿宋" w:eastAsia="仿宋" w:cs="仿宋"/>
          <w:szCs w:val="21"/>
        </w:rPr>
      </w:pPr>
      <w:r>
        <w:rPr>
          <w:rFonts w:hint="eastAsia" w:ascii="仿宋" w:hAnsi="仿宋" w:eastAsia="仿宋" w:cs="仿宋"/>
          <w:szCs w:val="21"/>
        </w:rPr>
        <w:t>委托人应在委托人与承包人签订的合同中明确监理人、总监理工程师和授予项目监理机构的权限。如有变更，应及时通知承包人。</w:t>
      </w:r>
    </w:p>
    <w:p w14:paraId="3CD7A3F6">
      <w:pPr>
        <w:spacing w:line="276" w:lineRule="auto"/>
        <w:ind w:firstLine="420"/>
        <w:rPr>
          <w:rFonts w:hint="eastAsia" w:ascii="仿宋" w:hAnsi="仿宋" w:eastAsia="仿宋" w:cs="仿宋"/>
          <w:szCs w:val="21"/>
        </w:rPr>
      </w:pPr>
      <w:bookmarkStart w:id="38" w:name="_Toc423619627"/>
      <w:r>
        <w:rPr>
          <w:rFonts w:hint="eastAsia" w:ascii="仿宋" w:hAnsi="仿宋" w:eastAsia="仿宋" w:cs="仿宋"/>
          <w:szCs w:val="21"/>
        </w:rPr>
        <w:t>3.2提供资料</w:t>
      </w:r>
      <w:bookmarkEnd w:id="38"/>
    </w:p>
    <w:p w14:paraId="40BAC2EA">
      <w:pPr>
        <w:spacing w:line="276" w:lineRule="auto"/>
        <w:ind w:firstLine="420"/>
        <w:rPr>
          <w:rFonts w:hint="eastAsia" w:ascii="仿宋" w:hAnsi="仿宋" w:eastAsia="仿宋" w:cs="仿宋"/>
          <w:szCs w:val="21"/>
        </w:rPr>
      </w:pPr>
      <w:r>
        <w:rPr>
          <w:rFonts w:hint="eastAsia" w:ascii="仿宋" w:hAnsi="仿宋" w:eastAsia="仿宋" w:cs="仿宋"/>
          <w:szCs w:val="21"/>
        </w:rPr>
        <w:t>委托人应按照附录B约定，无偿向监理人提供工程有关的资料。在本合同履行过程中，委托人应及时向监理人提供最新的与工程有关的资料。</w:t>
      </w:r>
    </w:p>
    <w:p w14:paraId="7F0F2330">
      <w:pPr>
        <w:spacing w:line="276" w:lineRule="auto"/>
        <w:ind w:firstLine="420"/>
        <w:rPr>
          <w:rFonts w:hint="eastAsia" w:ascii="仿宋" w:hAnsi="仿宋" w:eastAsia="仿宋" w:cs="仿宋"/>
          <w:szCs w:val="21"/>
        </w:rPr>
      </w:pPr>
      <w:bookmarkStart w:id="39" w:name="_Toc423619628"/>
      <w:r>
        <w:rPr>
          <w:rFonts w:hint="eastAsia" w:ascii="仿宋" w:hAnsi="仿宋" w:eastAsia="仿宋" w:cs="仿宋"/>
          <w:szCs w:val="21"/>
        </w:rPr>
        <w:t>3.3提供工作条件</w:t>
      </w:r>
      <w:bookmarkEnd w:id="39"/>
    </w:p>
    <w:p w14:paraId="2BC99B33">
      <w:pPr>
        <w:spacing w:line="276" w:lineRule="auto"/>
        <w:ind w:firstLine="420"/>
        <w:rPr>
          <w:rFonts w:hint="eastAsia" w:ascii="仿宋" w:hAnsi="仿宋" w:eastAsia="仿宋" w:cs="仿宋"/>
          <w:szCs w:val="21"/>
        </w:rPr>
      </w:pPr>
      <w:r>
        <w:rPr>
          <w:rFonts w:hint="eastAsia" w:ascii="仿宋" w:hAnsi="仿宋" w:eastAsia="仿宋" w:cs="仿宋"/>
          <w:szCs w:val="21"/>
        </w:rPr>
        <w:t>委托人应为监理人完成监理与相关服务提供必要的条件。</w:t>
      </w:r>
    </w:p>
    <w:p w14:paraId="0725EA00">
      <w:pPr>
        <w:spacing w:line="276" w:lineRule="auto"/>
        <w:ind w:firstLine="420"/>
        <w:rPr>
          <w:rFonts w:hint="eastAsia" w:ascii="仿宋" w:hAnsi="仿宋" w:eastAsia="仿宋" w:cs="仿宋"/>
          <w:szCs w:val="21"/>
        </w:rPr>
      </w:pPr>
      <w:r>
        <w:rPr>
          <w:rFonts w:hint="eastAsia" w:ascii="仿宋" w:hAnsi="仿宋" w:eastAsia="仿宋" w:cs="仿宋"/>
          <w:szCs w:val="21"/>
        </w:rPr>
        <w:t>3.3.1委托人应按照附录B约定，派遣相应的人员，提供房屋、设备，供监理人无偿使用。</w:t>
      </w:r>
    </w:p>
    <w:p w14:paraId="32BE8E3C">
      <w:pPr>
        <w:spacing w:line="276" w:lineRule="auto"/>
        <w:ind w:firstLine="420"/>
        <w:rPr>
          <w:rFonts w:hint="eastAsia" w:ascii="仿宋" w:hAnsi="仿宋" w:eastAsia="仿宋" w:cs="仿宋"/>
          <w:szCs w:val="21"/>
        </w:rPr>
      </w:pPr>
      <w:r>
        <w:rPr>
          <w:rFonts w:hint="eastAsia" w:ascii="仿宋" w:hAnsi="仿宋" w:eastAsia="仿宋" w:cs="仿宋"/>
          <w:szCs w:val="21"/>
        </w:rPr>
        <w:t>3.3.2委托人应负责协调工程建设中所有外部关系，为监理人履行本合同提供必要的外部条件。</w:t>
      </w:r>
    </w:p>
    <w:p w14:paraId="7AA51B03">
      <w:pPr>
        <w:spacing w:line="276" w:lineRule="auto"/>
        <w:ind w:firstLine="420"/>
        <w:rPr>
          <w:rFonts w:hint="eastAsia" w:ascii="仿宋" w:hAnsi="仿宋" w:eastAsia="仿宋" w:cs="仿宋"/>
          <w:szCs w:val="21"/>
        </w:rPr>
      </w:pPr>
      <w:r>
        <w:rPr>
          <w:rFonts w:hint="eastAsia" w:ascii="仿宋" w:hAnsi="仿宋" w:eastAsia="仿宋" w:cs="仿宋"/>
          <w:szCs w:val="21"/>
        </w:rPr>
        <w:t>3.4委托人代表</w:t>
      </w:r>
    </w:p>
    <w:p w14:paraId="08F51A0B">
      <w:pPr>
        <w:spacing w:line="276" w:lineRule="auto"/>
        <w:ind w:firstLine="420"/>
        <w:rPr>
          <w:rFonts w:hint="eastAsia" w:ascii="仿宋" w:hAnsi="仿宋" w:eastAsia="仿宋" w:cs="仿宋"/>
          <w:szCs w:val="21"/>
          <w:u w:val="single"/>
        </w:rPr>
      </w:pPr>
      <w:r>
        <w:rPr>
          <w:rFonts w:hint="eastAsia" w:ascii="仿宋" w:hAnsi="仿宋" w:eastAsia="仿宋" w:cs="仿宋"/>
          <w:szCs w:val="21"/>
        </w:rPr>
        <w:t>委托人代表为：。</w:t>
      </w:r>
    </w:p>
    <w:p w14:paraId="0194D25C">
      <w:pPr>
        <w:spacing w:line="276" w:lineRule="auto"/>
        <w:ind w:firstLine="420"/>
        <w:rPr>
          <w:rFonts w:hint="eastAsia" w:ascii="仿宋" w:hAnsi="仿宋" w:eastAsia="仿宋" w:cs="仿宋"/>
          <w:szCs w:val="21"/>
        </w:rPr>
      </w:pPr>
      <w:bookmarkStart w:id="40" w:name="_Toc423619630"/>
      <w:r>
        <w:rPr>
          <w:rFonts w:hint="eastAsia" w:ascii="仿宋" w:hAnsi="仿宋" w:eastAsia="仿宋" w:cs="仿宋"/>
          <w:szCs w:val="21"/>
        </w:rPr>
        <w:t>3.5委托人意见或要求</w:t>
      </w:r>
      <w:bookmarkEnd w:id="40"/>
    </w:p>
    <w:p w14:paraId="53308155">
      <w:pPr>
        <w:spacing w:line="276" w:lineRule="auto"/>
        <w:ind w:firstLine="420"/>
        <w:rPr>
          <w:rFonts w:hint="eastAsia" w:ascii="仿宋" w:hAnsi="仿宋" w:eastAsia="仿宋" w:cs="仿宋"/>
          <w:szCs w:val="21"/>
        </w:rPr>
      </w:pPr>
      <w:r>
        <w:rPr>
          <w:rFonts w:hint="eastAsia" w:ascii="仿宋" w:hAnsi="仿宋" w:eastAsia="仿宋" w:cs="仿宋"/>
          <w:szCs w:val="21"/>
        </w:rPr>
        <w:t>在本合同约定的监理与相关服务工作范围内，委托人对承包人的任何意见或要求应通知监理人，由监理人向承包人发出相应指令。</w:t>
      </w:r>
    </w:p>
    <w:p w14:paraId="573497F2">
      <w:pPr>
        <w:spacing w:line="276" w:lineRule="auto"/>
        <w:ind w:firstLine="420"/>
        <w:rPr>
          <w:rFonts w:hint="eastAsia" w:ascii="仿宋" w:hAnsi="仿宋" w:eastAsia="仿宋" w:cs="仿宋"/>
          <w:szCs w:val="21"/>
        </w:rPr>
      </w:pPr>
      <w:r>
        <w:rPr>
          <w:rFonts w:hint="eastAsia" w:ascii="仿宋" w:hAnsi="仿宋" w:eastAsia="仿宋" w:cs="仿宋"/>
          <w:szCs w:val="21"/>
        </w:rPr>
        <w:t>3.6答复</w:t>
      </w:r>
    </w:p>
    <w:p w14:paraId="37CA1B16">
      <w:pPr>
        <w:spacing w:line="360" w:lineRule="auto"/>
        <w:ind w:firstLine="420"/>
        <w:rPr>
          <w:rFonts w:hint="eastAsia" w:ascii="仿宋" w:hAnsi="仿宋" w:eastAsia="仿宋" w:cs="仿宋"/>
          <w:szCs w:val="21"/>
        </w:rPr>
      </w:pPr>
      <w:bookmarkStart w:id="41" w:name="_Toc398107913"/>
      <w:r>
        <w:rPr>
          <w:rFonts w:hint="eastAsia" w:ascii="仿宋" w:hAnsi="仿宋" w:eastAsia="仿宋" w:cs="仿宋"/>
          <w:szCs w:val="21"/>
        </w:rPr>
        <w:t>委托人应在专用条件约定的时间内，对监理人以书面形式提交并要求作出决定的事宜，给予书面答复。逾期未答复的，视为委托人认可。</w:t>
      </w:r>
    </w:p>
    <w:p w14:paraId="0474B43D">
      <w:pPr>
        <w:spacing w:line="276" w:lineRule="auto"/>
        <w:ind w:firstLine="422"/>
        <w:rPr>
          <w:rFonts w:hint="eastAsia" w:ascii="仿宋" w:hAnsi="仿宋" w:eastAsia="仿宋" w:cs="仿宋"/>
          <w:b/>
        </w:rPr>
      </w:pPr>
      <w:r>
        <w:rPr>
          <w:rFonts w:hint="eastAsia" w:ascii="仿宋" w:hAnsi="仿宋" w:eastAsia="仿宋" w:cs="仿宋"/>
          <w:b/>
        </w:rPr>
        <w:t>4.违约责任</w:t>
      </w:r>
      <w:bookmarkEnd w:id="41"/>
    </w:p>
    <w:p w14:paraId="71040E59">
      <w:pPr>
        <w:spacing w:line="276" w:lineRule="auto"/>
        <w:ind w:left="210"/>
        <w:rPr>
          <w:rFonts w:hint="eastAsia" w:ascii="仿宋" w:hAnsi="仿宋" w:eastAsia="仿宋" w:cs="仿宋"/>
          <w:szCs w:val="21"/>
        </w:rPr>
      </w:pPr>
      <w:r>
        <w:rPr>
          <w:rFonts w:hint="eastAsia" w:ascii="仿宋" w:hAnsi="仿宋" w:eastAsia="仿宋" w:cs="仿宋"/>
          <w:szCs w:val="21"/>
        </w:rPr>
        <w:t>4.1监理人的违约责任</w:t>
      </w:r>
    </w:p>
    <w:p w14:paraId="5C35B7E0">
      <w:pPr>
        <w:spacing w:line="276" w:lineRule="auto"/>
        <w:ind w:firstLine="420"/>
        <w:rPr>
          <w:rFonts w:hint="eastAsia" w:ascii="仿宋" w:hAnsi="仿宋" w:eastAsia="仿宋" w:cs="仿宋"/>
          <w:szCs w:val="21"/>
        </w:rPr>
      </w:pPr>
      <w:r>
        <w:rPr>
          <w:rFonts w:hint="eastAsia" w:ascii="仿宋" w:hAnsi="仿宋" w:eastAsia="仿宋" w:cs="仿宋"/>
          <w:szCs w:val="21"/>
        </w:rPr>
        <w:t>4.1.1监理人赔偿金额按下列方法确定：</w:t>
      </w:r>
    </w:p>
    <w:p w14:paraId="33F43632">
      <w:pPr>
        <w:spacing w:line="276" w:lineRule="auto"/>
        <w:ind w:firstLine="420"/>
        <w:rPr>
          <w:rFonts w:hint="eastAsia" w:ascii="仿宋" w:hAnsi="仿宋" w:eastAsia="仿宋" w:cs="仿宋"/>
          <w:szCs w:val="21"/>
        </w:rPr>
      </w:pPr>
      <w:r>
        <w:rPr>
          <w:rFonts w:hint="eastAsia" w:ascii="仿宋" w:hAnsi="仿宋" w:eastAsia="仿宋" w:cs="仿宋"/>
          <w:szCs w:val="21"/>
        </w:rPr>
        <w:t>赔偿金＝直接经济损失×正常工作酬金÷工程概算投资额（或建筑安装工程费）</w:t>
      </w:r>
    </w:p>
    <w:p w14:paraId="48374D3F">
      <w:pPr>
        <w:spacing w:line="276" w:lineRule="auto"/>
        <w:ind w:firstLine="420"/>
        <w:rPr>
          <w:rFonts w:hint="eastAsia" w:ascii="仿宋" w:hAnsi="仿宋" w:eastAsia="仿宋" w:cs="仿宋"/>
          <w:szCs w:val="21"/>
        </w:rPr>
      </w:pPr>
      <w:r>
        <w:rPr>
          <w:rFonts w:hint="eastAsia" w:ascii="仿宋" w:hAnsi="仿宋" w:eastAsia="仿宋" w:cs="仿宋"/>
          <w:szCs w:val="21"/>
        </w:rPr>
        <w:t>4.2委托人的违约责任</w:t>
      </w:r>
    </w:p>
    <w:p w14:paraId="3533A774">
      <w:pPr>
        <w:spacing w:line="276" w:lineRule="auto"/>
        <w:ind w:firstLine="420"/>
        <w:rPr>
          <w:rFonts w:hint="eastAsia" w:ascii="仿宋" w:hAnsi="仿宋" w:eastAsia="仿宋" w:cs="仿宋"/>
          <w:szCs w:val="21"/>
        </w:rPr>
      </w:pPr>
      <w:r>
        <w:rPr>
          <w:rFonts w:hint="eastAsia" w:ascii="仿宋" w:hAnsi="仿宋" w:eastAsia="仿宋" w:cs="仿宋"/>
          <w:szCs w:val="21"/>
        </w:rPr>
        <w:t>4.2.1委托人违反本合同约定造成监理人损失的，委托人应予以赔偿。</w:t>
      </w:r>
    </w:p>
    <w:p w14:paraId="5291DB30">
      <w:pPr>
        <w:spacing w:line="276" w:lineRule="auto"/>
        <w:ind w:firstLine="420"/>
        <w:rPr>
          <w:rFonts w:hint="eastAsia" w:ascii="仿宋" w:hAnsi="仿宋" w:eastAsia="仿宋" w:cs="仿宋"/>
          <w:szCs w:val="21"/>
        </w:rPr>
      </w:pPr>
      <w:r>
        <w:rPr>
          <w:rFonts w:hint="eastAsia" w:ascii="仿宋" w:hAnsi="仿宋" w:eastAsia="仿宋" w:cs="仿宋"/>
          <w:szCs w:val="21"/>
        </w:rPr>
        <w:t>4.2.2委托人向监理人的索赔不成立时，应赔偿监理人由此引起的费用。</w:t>
      </w:r>
    </w:p>
    <w:p w14:paraId="3ED45672">
      <w:pPr>
        <w:spacing w:line="276" w:lineRule="auto"/>
        <w:ind w:firstLine="420"/>
        <w:rPr>
          <w:rFonts w:hint="eastAsia" w:ascii="仿宋" w:hAnsi="仿宋" w:eastAsia="仿宋" w:cs="仿宋"/>
          <w:szCs w:val="21"/>
        </w:rPr>
      </w:pPr>
      <w:r>
        <w:rPr>
          <w:rFonts w:hint="eastAsia" w:ascii="仿宋" w:hAnsi="仿宋" w:eastAsia="仿宋" w:cs="仿宋"/>
          <w:szCs w:val="21"/>
        </w:rPr>
        <w:t>4.2.3委托人逾期付款利息按下列方法确定：</w:t>
      </w:r>
    </w:p>
    <w:p w14:paraId="7E8D399B">
      <w:pPr>
        <w:spacing w:line="276" w:lineRule="auto"/>
        <w:ind w:firstLine="420"/>
        <w:rPr>
          <w:rFonts w:hint="eastAsia" w:ascii="仿宋" w:hAnsi="仿宋" w:eastAsia="仿宋" w:cs="仿宋"/>
          <w:szCs w:val="21"/>
        </w:rPr>
      </w:pPr>
      <w:r>
        <w:rPr>
          <w:rFonts w:hint="eastAsia" w:ascii="仿宋" w:hAnsi="仿宋" w:eastAsia="仿宋" w:cs="仿宋"/>
          <w:szCs w:val="21"/>
        </w:rPr>
        <w:t>逾期付款利息＝当期应付款总额×银行同期贷款利率×拖延支付天数</w:t>
      </w:r>
    </w:p>
    <w:p w14:paraId="79346CA0">
      <w:pPr>
        <w:spacing w:line="276" w:lineRule="auto"/>
        <w:ind w:firstLine="422"/>
        <w:rPr>
          <w:rFonts w:hint="eastAsia" w:ascii="仿宋" w:hAnsi="仿宋" w:eastAsia="仿宋" w:cs="仿宋"/>
          <w:b/>
        </w:rPr>
      </w:pPr>
      <w:bookmarkStart w:id="42" w:name="_Toc398107914"/>
      <w:r>
        <w:rPr>
          <w:rFonts w:hint="eastAsia" w:ascii="仿宋" w:hAnsi="仿宋" w:eastAsia="仿宋" w:cs="仿宋"/>
          <w:b/>
        </w:rPr>
        <w:t>5.支付</w:t>
      </w:r>
      <w:bookmarkEnd w:id="42"/>
    </w:p>
    <w:p w14:paraId="62745E2E">
      <w:pPr>
        <w:spacing w:line="276" w:lineRule="auto"/>
        <w:ind w:firstLine="420"/>
        <w:rPr>
          <w:rFonts w:hint="eastAsia" w:ascii="仿宋" w:hAnsi="仿宋" w:eastAsia="仿宋" w:cs="仿宋"/>
          <w:bCs/>
          <w:szCs w:val="21"/>
        </w:rPr>
      </w:pPr>
      <w:r>
        <w:rPr>
          <w:rFonts w:hint="eastAsia" w:ascii="仿宋" w:hAnsi="仿宋" w:eastAsia="仿宋" w:cs="仿宋"/>
          <w:szCs w:val="21"/>
        </w:rPr>
        <w:t>5.1</w:t>
      </w:r>
      <w:r>
        <w:rPr>
          <w:rFonts w:hint="eastAsia" w:ascii="仿宋" w:hAnsi="仿宋" w:eastAsia="仿宋" w:cs="仿宋"/>
          <w:bCs/>
          <w:szCs w:val="21"/>
        </w:rPr>
        <w:t>支付货币</w:t>
      </w:r>
    </w:p>
    <w:p w14:paraId="6962FA10">
      <w:pPr>
        <w:spacing w:line="276" w:lineRule="auto"/>
        <w:ind w:firstLine="420"/>
        <w:rPr>
          <w:rFonts w:hint="eastAsia" w:ascii="仿宋" w:hAnsi="仿宋" w:eastAsia="仿宋" w:cs="仿宋"/>
          <w:szCs w:val="21"/>
        </w:rPr>
      </w:pPr>
      <w:r>
        <w:rPr>
          <w:rFonts w:hint="eastAsia" w:ascii="仿宋" w:hAnsi="仿宋" w:eastAsia="仿宋" w:cs="仿宋"/>
          <w:szCs w:val="21"/>
        </w:rPr>
        <w:t>币种为：</w:t>
      </w:r>
      <w:r>
        <w:rPr>
          <w:rFonts w:hint="eastAsia" w:ascii="仿宋" w:hAnsi="仿宋" w:eastAsia="仿宋" w:cs="仿宋"/>
          <w:szCs w:val="21"/>
          <w:u w:val="single"/>
        </w:rPr>
        <w:t>人民币</w:t>
      </w:r>
      <w:r>
        <w:rPr>
          <w:rFonts w:hint="eastAsia" w:ascii="仿宋" w:hAnsi="仿宋" w:eastAsia="仿宋" w:cs="仿宋"/>
          <w:szCs w:val="21"/>
        </w:rPr>
        <w:t>，比例为：</w:t>
      </w:r>
      <w:r>
        <w:rPr>
          <w:rFonts w:hint="eastAsia" w:ascii="仿宋" w:hAnsi="仿宋" w:eastAsia="仿宋" w:cs="仿宋"/>
          <w:szCs w:val="21"/>
          <w:u w:val="single"/>
        </w:rPr>
        <w:t>100%</w:t>
      </w:r>
      <w:r>
        <w:rPr>
          <w:rFonts w:hint="eastAsia" w:ascii="仿宋" w:hAnsi="仿宋" w:eastAsia="仿宋" w:cs="仿宋"/>
          <w:szCs w:val="21"/>
        </w:rPr>
        <w:t>，汇率为：</w:t>
      </w:r>
      <w:r>
        <w:rPr>
          <w:rFonts w:hint="eastAsia" w:ascii="仿宋" w:hAnsi="仿宋" w:eastAsia="仿宋" w:cs="仿宋"/>
          <w:szCs w:val="21"/>
          <w:u w:val="single"/>
        </w:rPr>
        <w:t>/</w:t>
      </w:r>
    </w:p>
    <w:p w14:paraId="5110414A">
      <w:pPr>
        <w:spacing w:line="276" w:lineRule="auto"/>
        <w:ind w:firstLine="210"/>
        <w:rPr>
          <w:rFonts w:hint="eastAsia" w:ascii="仿宋" w:hAnsi="仿宋" w:eastAsia="仿宋" w:cs="仿宋"/>
          <w:szCs w:val="21"/>
        </w:rPr>
      </w:pPr>
      <w:r>
        <w:rPr>
          <w:rFonts w:hint="eastAsia" w:ascii="仿宋" w:hAnsi="仿宋" w:eastAsia="仿宋" w:cs="仿宋"/>
          <w:szCs w:val="21"/>
        </w:rPr>
        <w:t>5.3支付酬金</w:t>
      </w:r>
    </w:p>
    <w:p w14:paraId="457FAEBE">
      <w:pPr>
        <w:spacing w:line="360" w:lineRule="auto"/>
        <w:ind w:firstLine="480"/>
        <w:rPr>
          <w:rFonts w:hint="eastAsia" w:ascii="宋体" w:hAnsi="宋体" w:cs="宋体"/>
          <w:color w:val="000000"/>
          <w:szCs w:val="21"/>
          <w:highlight w:val="none"/>
        </w:rPr>
      </w:pPr>
      <w:bookmarkStart w:id="43" w:name="_Toc398107915"/>
      <w:r>
        <w:rPr>
          <w:rFonts w:hint="eastAsia" w:ascii="仿宋" w:hAnsi="仿宋" w:eastAsia="仿宋" w:cs="仿宋"/>
          <w:color w:val="000000"/>
          <w:sz w:val="24"/>
          <w:highlight w:val="none"/>
        </w:rPr>
        <w:t>付款方式：</w:t>
      </w:r>
      <w:r>
        <w:rPr>
          <w:rFonts w:ascii="宋体" w:hAnsi="宋体" w:cs="宋体"/>
          <w:color w:val="000000"/>
          <w:szCs w:val="21"/>
          <w:highlight w:val="none"/>
        </w:rPr>
        <w:t>合同签订</w:t>
      </w:r>
      <w:r>
        <w:rPr>
          <w:rFonts w:hint="eastAsia" w:ascii="宋体" w:hAnsi="宋体" w:cs="宋体"/>
          <w:color w:val="000000"/>
          <w:szCs w:val="21"/>
          <w:highlight w:val="none"/>
          <w:lang w:eastAsia="zh-CN"/>
        </w:rPr>
        <w:t>后</w:t>
      </w:r>
      <w:r>
        <w:rPr>
          <w:rFonts w:ascii="宋体" w:hAnsi="宋体" w:cs="宋体"/>
          <w:color w:val="000000"/>
          <w:szCs w:val="21"/>
          <w:highlight w:val="none"/>
        </w:rPr>
        <w:t>监理人员进场付合同价的40%；</w:t>
      </w:r>
      <w:r>
        <w:rPr>
          <w:rFonts w:hint="eastAsia" w:ascii="宋体" w:hAnsi="宋体" w:cs="宋体"/>
          <w:color w:val="000000"/>
          <w:szCs w:val="21"/>
          <w:highlight w:val="none"/>
          <w:lang w:val="en-US" w:eastAsia="zh-CN"/>
        </w:rPr>
        <w:t>主体</w:t>
      </w:r>
      <w:r>
        <w:rPr>
          <w:rFonts w:ascii="宋体" w:hAnsi="宋体" w:cs="宋体"/>
          <w:color w:val="000000"/>
          <w:szCs w:val="21"/>
          <w:highlight w:val="none"/>
        </w:rPr>
        <w:t xml:space="preserve">验收合格，付合同价的 </w:t>
      </w:r>
      <w:r>
        <w:rPr>
          <w:rFonts w:hint="eastAsia" w:ascii="宋体" w:hAnsi="宋体" w:cs="宋体"/>
          <w:color w:val="000000"/>
          <w:szCs w:val="21"/>
          <w:highlight w:val="none"/>
          <w:lang w:val="en-US" w:eastAsia="zh-CN"/>
        </w:rPr>
        <w:t>30</w:t>
      </w:r>
      <w:r>
        <w:rPr>
          <w:rFonts w:ascii="宋体" w:hAnsi="宋体" w:cs="宋体"/>
          <w:color w:val="000000"/>
          <w:szCs w:val="21"/>
          <w:highlight w:val="none"/>
        </w:rPr>
        <w:t>%；</w:t>
      </w:r>
      <w:r>
        <w:rPr>
          <w:rFonts w:hint="eastAsia" w:ascii="宋体" w:hAnsi="宋体" w:cs="宋体"/>
          <w:color w:val="000000"/>
          <w:szCs w:val="21"/>
          <w:highlight w:val="none"/>
          <w:lang w:val="en-US" w:eastAsia="zh-CN"/>
        </w:rPr>
        <w:t>竣工验收合格，</w:t>
      </w:r>
      <w:r>
        <w:rPr>
          <w:rFonts w:ascii="宋体" w:hAnsi="宋体" w:cs="宋体"/>
          <w:color w:val="000000"/>
          <w:szCs w:val="21"/>
          <w:highlight w:val="none"/>
        </w:rPr>
        <w:t>付</w:t>
      </w:r>
      <w:r>
        <w:rPr>
          <w:rFonts w:hint="eastAsia" w:ascii="宋体" w:hAnsi="宋体" w:cs="宋体"/>
          <w:color w:val="000000"/>
          <w:szCs w:val="21"/>
          <w:highlight w:val="none"/>
          <w:lang w:val="en-US" w:eastAsia="zh-CN"/>
        </w:rPr>
        <w:t>至</w:t>
      </w:r>
      <w:r>
        <w:rPr>
          <w:rFonts w:ascii="宋体" w:hAnsi="宋体" w:cs="宋体"/>
          <w:color w:val="000000"/>
          <w:szCs w:val="21"/>
          <w:highlight w:val="none"/>
        </w:rPr>
        <w:t xml:space="preserve">合同价的 </w:t>
      </w:r>
      <w:r>
        <w:rPr>
          <w:rFonts w:hint="eastAsia" w:ascii="宋体" w:hAnsi="宋体" w:cs="宋体"/>
          <w:color w:val="000000"/>
          <w:szCs w:val="21"/>
          <w:highlight w:val="none"/>
          <w:lang w:val="en-US" w:eastAsia="zh-CN"/>
        </w:rPr>
        <w:t>97</w:t>
      </w:r>
      <w:r>
        <w:rPr>
          <w:rFonts w:ascii="宋体" w:hAnsi="宋体" w:cs="宋体"/>
          <w:color w:val="000000"/>
          <w:szCs w:val="21"/>
          <w:highlight w:val="none"/>
        </w:rPr>
        <w:t>%；审计结束后付清余款</w:t>
      </w:r>
      <w:r>
        <w:rPr>
          <w:rFonts w:hint="eastAsia" w:ascii="宋体" w:hAnsi="宋体" w:cs="宋体"/>
          <w:color w:val="000000"/>
          <w:szCs w:val="21"/>
          <w:highlight w:val="none"/>
        </w:rPr>
        <w:t>。结算时需提供满足甲方财务要求的增值税发票。</w:t>
      </w:r>
    </w:p>
    <w:p w14:paraId="32A766BA">
      <w:pPr>
        <w:spacing w:line="276" w:lineRule="auto"/>
        <w:ind w:firstLine="422"/>
        <w:rPr>
          <w:rFonts w:hint="eastAsia" w:ascii="仿宋" w:hAnsi="仿宋" w:eastAsia="仿宋" w:cs="仿宋"/>
          <w:b/>
        </w:rPr>
      </w:pPr>
      <w:r>
        <w:rPr>
          <w:rFonts w:hint="eastAsia" w:ascii="仿宋" w:hAnsi="仿宋" w:eastAsia="仿宋" w:cs="仿宋"/>
          <w:b/>
        </w:rPr>
        <w:t>6.合同生效、变更、暂停、解除与终止</w:t>
      </w:r>
      <w:bookmarkEnd w:id="43"/>
    </w:p>
    <w:p w14:paraId="598792EB">
      <w:pPr>
        <w:spacing w:line="276" w:lineRule="auto"/>
        <w:ind w:firstLine="210"/>
        <w:rPr>
          <w:rFonts w:hint="eastAsia" w:ascii="仿宋" w:hAnsi="仿宋" w:eastAsia="仿宋" w:cs="仿宋"/>
          <w:szCs w:val="21"/>
        </w:rPr>
      </w:pPr>
      <w:r>
        <w:rPr>
          <w:rFonts w:hint="eastAsia" w:ascii="仿宋" w:hAnsi="仿宋" w:eastAsia="仿宋" w:cs="仿宋"/>
          <w:szCs w:val="21"/>
        </w:rPr>
        <w:t>6.1生效</w:t>
      </w:r>
    </w:p>
    <w:p w14:paraId="79429A4A">
      <w:pPr>
        <w:spacing w:line="276" w:lineRule="auto"/>
        <w:ind w:firstLine="420"/>
        <w:rPr>
          <w:rFonts w:hint="eastAsia" w:ascii="仿宋" w:hAnsi="仿宋" w:eastAsia="仿宋" w:cs="仿宋"/>
          <w:szCs w:val="21"/>
        </w:rPr>
      </w:pPr>
      <w:r>
        <w:rPr>
          <w:rFonts w:hint="eastAsia" w:ascii="仿宋" w:hAnsi="仿宋" w:eastAsia="仿宋" w:cs="仿宋"/>
          <w:szCs w:val="21"/>
        </w:rPr>
        <w:t>本合同生效条件：</w:t>
      </w:r>
      <w:r>
        <w:rPr>
          <w:rFonts w:hint="eastAsia" w:ascii="仿宋" w:hAnsi="仿宋" w:eastAsia="仿宋" w:cs="仿宋"/>
          <w:color w:val="FF0000"/>
          <w:szCs w:val="21"/>
          <w:u w:val="single"/>
        </w:rPr>
        <w:t>双方签字盖章后生效</w:t>
      </w:r>
      <w:r>
        <w:rPr>
          <w:rFonts w:hint="eastAsia" w:ascii="仿宋" w:hAnsi="仿宋" w:eastAsia="仿宋" w:cs="仿宋"/>
          <w:szCs w:val="21"/>
        </w:rPr>
        <w:t>。</w:t>
      </w:r>
    </w:p>
    <w:p w14:paraId="7787B741">
      <w:pPr>
        <w:spacing w:line="276" w:lineRule="auto"/>
        <w:ind w:firstLine="205"/>
        <w:rPr>
          <w:rFonts w:hint="eastAsia" w:ascii="仿宋" w:hAnsi="仿宋" w:eastAsia="仿宋" w:cs="仿宋"/>
          <w:szCs w:val="21"/>
        </w:rPr>
      </w:pPr>
      <w:r>
        <w:rPr>
          <w:rFonts w:hint="eastAsia" w:ascii="仿宋" w:hAnsi="仿宋" w:eastAsia="仿宋" w:cs="仿宋"/>
          <w:szCs w:val="21"/>
        </w:rPr>
        <w:t>6.2变更</w:t>
      </w:r>
    </w:p>
    <w:p w14:paraId="0A2E3B3E">
      <w:pPr>
        <w:spacing w:line="276" w:lineRule="auto"/>
        <w:ind w:firstLine="420"/>
        <w:rPr>
          <w:rFonts w:hint="eastAsia" w:ascii="仿宋" w:hAnsi="仿宋" w:eastAsia="仿宋" w:cs="仿宋"/>
          <w:szCs w:val="21"/>
        </w:rPr>
      </w:pPr>
      <w:r>
        <w:rPr>
          <w:rFonts w:hint="eastAsia" w:ascii="仿宋" w:hAnsi="仿宋" w:eastAsia="仿宋" w:cs="仿宋"/>
          <w:szCs w:val="21"/>
        </w:rPr>
        <w:t>6.2.1因工程规模、监理范围的变化导致监理人的正常工作量减少时，按减少工作量的比例从协议书约定的正常工作酬金中扣减相同比例的酬金。</w:t>
      </w:r>
    </w:p>
    <w:p w14:paraId="7995F009">
      <w:pPr>
        <w:spacing w:line="276" w:lineRule="auto"/>
        <w:ind w:firstLine="422"/>
        <w:rPr>
          <w:rFonts w:hint="eastAsia" w:ascii="仿宋" w:hAnsi="仿宋" w:eastAsia="仿宋" w:cs="仿宋"/>
          <w:b/>
        </w:rPr>
      </w:pPr>
      <w:bookmarkStart w:id="44" w:name="_Toc398107916"/>
      <w:r>
        <w:rPr>
          <w:rFonts w:hint="eastAsia" w:ascii="仿宋" w:hAnsi="仿宋" w:eastAsia="仿宋" w:cs="仿宋"/>
          <w:b/>
        </w:rPr>
        <w:t>7.争议解决</w:t>
      </w:r>
      <w:bookmarkEnd w:id="44"/>
    </w:p>
    <w:p w14:paraId="5CB7BDE9">
      <w:pPr>
        <w:spacing w:line="276" w:lineRule="auto"/>
        <w:ind w:firstLine="205"/>
        <w:rPr>
          <w:rFonts w:hint="eastAsia" w:ascii="仿宋" w:hAnsi="仿宋" w:eastAsia="仿宋" w:cs="仿宋"/>
          <w:szCs w:val="21"/>
        </w:rPr>
      </w:pPr>
      <w:r>
        <w:rPr>
          <w:rFonts w:hint="eastAsia" w:ascii="仿宋" w:hAnsi="仿宋" w:eastAsia="仿宋" w:cs="仿宋"/>
          <w:szCs w:val="21"/>
        </w:rPr>
        <w:t>7.2</w:t>
      </w:r>
      <w:r>
        <w:rPr>
          <w:rFonts w:hint="eastAsia" w:ascii="仿宋" w:hAnsi="仿宋" w:eastAsia="仿宋" w:cs="仿宋"/>
          <w:bCs/>
          <w:szCs w:val="21"/>
        </w:rPr>
        <w:t>调解</w:t>
      </w:r>
    </w:p>
    <w:p w14:paraId="05C8A72B">
      <w:pPr>
        <w:spacing w:line="276" w:lineRule="auto"/>
        <w:ind w:firstLine="411"/>
        <w:rPr>
          <w:rFonts w:hint="eastAsia" w:ascii="仿宋" w:hAnsi="仿宋" w:eastAsia="仿宋" w:cs="仿宋"/>
          <w:szCs w:val="21"/>
        </w:rPr>
      </w:pPr>
      <w:r>
        <w:rPr>
          <w:rFonts w:hint="eastAsia" w:ascii="仿宋" w:hAnsi="仿宋" w:eastAsia="仿宋" w:cs="仿宋"/>
          <w:szCs w:val="21"/>
        </w:rPr>
        <w:t>本合同争议进行调解时，可提交</w:t>
      </w:r>
      <w:r>
        <w:rPr>
          <w:rFonts w:hint="eastAsia" w:ascii="仿宋" w:hAnsi="仿宋" w:eastAsia="仿宋" w:cs="仿宋"/>
          <w:color w:val="FF0000"/>
          <w:szCs w:val="21"/>
          <w:u w:val="single"/>
        </w:rPr>
        <w:t>工程所在地县级及以上建设行政主管部门</w:t>
      </w:r>
      <w:r>
        <w:rPr>
          <w:rFonts w:hint="eastAsia" w:ascii="仿宋" w:hAnsi="仿宋" w:eastAsia="仿宋" w:cs="仿宋"/>
          <w:szCs w:val="21"/>
        </w:rPr>
        <w:t>进行调解。</w:t>
      </w:r>
    </w:p>
    <w:p w14:paraId="174FE86B">
      <w:pPr>
        <w:spacing w:line="276" w:lineRule="auto"/>
        <w:ind w:firstLine="205"/>
        <w:rPr>
          <w:rFonts w:hint="eastAsia" w:ascii="仿宋" w:hAnsi="仿宋" w:eastAsia="仿宋" w:cs="仿宋"/>
          <w:szCs w:val="21"/>
        </w:rPr>
      </w:pPr>
      <w:r>
        <w:rPr>
          <w:rFonts w:hint="eastAsia" w:ascii="仿宋" w:hAnsi="仿宋" w:eastAsia="仿宋" w:cs="仿宋"/>
          <w:szCs w:val="21"/>
        </w:rPr>
        <w:t>7.3</w:t>
      </w:r>
      <w:r>
        <w:rPr>
          <w:rFonts w:hint="eastAsia" w:ascii="仿宋" w:hAnsi="仿宋" w:eastAsia="仿宋" w:cs="仿宋"/>
          <w:bCs/>
          <w:szCs w:val="21"/>
        </w:rPr>
        <w:t>仲裁或诉讼</w:t>
      </w:r>
    </w:p>
    <w:p w14:paraId="00971393">
      <w:pPr>
        <w:spacing w:line="276" w:lineRule="auto"/>
        <w:ind w:firstLine="420"/>
        <w:rPr>
          <w:rFonts w:hint="eastAsia" w:ascii="仿宋" w:hAnsi="仿宋" w:eastAsia="仿宋" w:cs="仿宋"/>
          <w:szCs w:val="21"/>
        </w:rPr>
      </w:pPr>
      <w:r>
        <w:rPr>
          <w:rFonts w:hint="eastAsia" w:ascii="仿宋" w:hAnsi="仿宋" w:eastAsia="仿宋" w:cs="仿宋"/>
          <w:szCs w:val="21"/>
        </w:rPr>
        <w:t>合同争议的最终解决方式为下列第</w:t>
      </w:r>
      <w:r>
        <w:rPr>
          <w:rFonts w:hint="eastAsia" w:ascii="仿宋" w:hAnsi="仿宋" w:eastAsia="仿宋" w:cs="仿宋"/>
          <w:szCs w:val="21"/>
          <w:u w:val="single"/>
        </w:rPr>
        <w:t>（2）</w:t>
      </w:r>
      <w:r>
        <w:rPr>
          <w:rFonts w:hint="eastAsia" w:ascii="仿宋" w:hAnsi="仿宋" w:eastAsia="仿宋" w:cs="仿宋"/>
          <w:szCs w:val="21"/>
        </w:rPr>
        <w:t>种方式：</w:t>
      </w:r>
    </w:p>
    <w:p w14:paraId="75A80BB4">
      <w:pPr>
        <w:spacing w:line="276" w:lineRule="auto"/>
        <w:ind w:firstLine="420"/>
        <w:rPr>
          <w:rFonts w:hint="eastAsia" w:ascii="仿宋" w:hAnsi="仿宋" w:eastAsia="仿宋" w:cs="仿宋"/>
          <w:szCs w:val="21"/>
        </w:rPr>
      </w:pPr>
      <w:r>
        <w:rPr>
          <w:rFonts w:hint="eastAsia" w:ascii="仿宋" w:hAnsi="仿宋" w:eastAsia="仿宋" w:cs="仿宋"/>
          <w:szCs w:val="21"/>
        </w:rPr>
        <w:t>（1）提请</w:t>
      </w:r>
      <w:r>
        <w:rPr>
          <w:rFonts w:hint="eastAsia" w:ascii="仿宋" w:hAnsi="仿宋" w:eastAsia="仿宋" w:cs="仿宋"/>
          <w:szCs w:val="21"/>
          <w:u w:val="single"/>
        </w:rPr>
        <w:t>盱眙</w:t>
      </w:r>
      <w:r>
        <w:rPr>
          <w:rFonts w:hint="eastAsia" w:ascii="仿宋" w:hAnsi="仿宋" w:eastAsia="仿宋" w:cs="仿宋"/>
          <w:szCs w:val="21"/>
        </w:rPr>
        <w:t>仲裁委员会进行仲裁。</w:t>
      </w:r>
    </w:p>
    <w:p w14:paraId="026F54A2">
      <w:pPr>
        <w:spacing w:line="276" w:lineRule="auto"/>
        <w:ind w:firstLine="420"/>
        <w:rPr>
          <w:rFonts w:hint="eastAsia" w:ascii="仿宋" w:hAnsi="仿宋" w:eastAsia="仿宋" w:cs="仿宋"/>
          <w:szCs w:val="21"/>
        </w:rPr>
      </w:pPr>
      <w:r>
        <w:rPr>
          <w:rFonts w:hint="eastAsia" w:ascii="仿宋" w:hAnsi="仿宋" w:eastAsia="仿宋" w:cs="仿宋"/>
          <w:szCs w:val="21"/>
        </w:rPr>
        <w:t>（2）向</w:t>
      </w:r>
      <w:r>
        <w:rPr>
          <w:rFonts w:hint="eastAsia" w:ascii="仿宋" w:hAnsi="仿宋" w:eastAsia="仿宋" w:cs="仿宋"/>
          <w:szCs w:val="21"/>
          <w:u w:val="single"/>
        </w:rPr>
        <w:t>盱眙县</w:t>
      </w:r>
      <w:r>
        <w:rPr>
          <w:rFonts w:hint="eastAsia" w:ascii="仿宋" w:hAnsi="仿宋" w:eastAsia="仿宋" w:cs="仿宋"/>
          <w:szCs w:val="21"/>
        </w:rPr>
        <w:t>人民法院提起诉讼。</w:t>
      </w:r>
    </w:p>
    <w:p w14:paraId="248F59DD">
      <w:pPr>
        <w:spacing w:line="276" w:lineRule="auto"/>
        <w:ind w:firstLine="422"/>
        <w:rPr>
          <w:rFonts w:hint="eastAsia" w:ascii="仿宋" w:hAnsi="仿宋" w:eastAsia="仿宋" w:cs="仿宋"/>
          <w:b/>
        </w:rPr>
      </w:pPr>
      <w:bookmarkStart w:id="45" w:name="_Toc398107917"/>
      <w:r>
        <w:rPr>
          <w:rFonts w:hint="eastAsia" w:ascii="仿宋" w:hAnsi="仿宋" w:eastAsia="仿宋" w:cs="仿宋"/>
          <w:b/>
        </w:rPr>
        <w:t>8.其他</w:t>
      </w:r>
      <w:bookmarkEnd w:id="45"/>
    </w:p>
    <w:p w14:paraId="03302807">
      <w:pPr>
        <w:spacing w:line="276" w:lineRule="auto"/>
        <w:ind w:firstLine="422"/>
        <w:rPr>
          <w:rFonts w:hint="eastAsia" w:ascii="仿宋" w:hAnsi="仿宋" w:eastAsia="仿宋" w:cs="仿宋"/>
          <w:bCs/>
          <w:szCs w:val="21"/>
        </w:rPr>
      </w:pPr>
      <w:r>
        <w:rPr>
          <w:rFonts w:hint="eastAsia" w:ascii="仿宋" w:hAnsi="仿宋" w:eastAsia="仿宋" w:cs="仿宋"/>
          <w:bCs/>
          <w:szCs w:val="21"/>
        </w:rPr>
        <w:t>8.2检测费用</w:t>
      </w:r>
    </w:p>
    <w:p w14:paraId="6C22A9B7">
      <w:pPr>
        <w:spacing w:line="276" w:lineRule="auto"/>
        <w:ind w:firstLine="420"/>
        <w:rPr>
          <w:rFonts w:hint="eastAsia" w:ascii="仿宋" w:hAnsi="仿宋" w:eastAsia="仿宋" w:cs="仿宋"/>
          <w:bCs/>
          <w:szCs w:val="21"/>
        </w:rPr>
      </w:pPr>
      <w:r>
        <w:rPr>
          <w:rFonts w:hint="eastAsia" w:ascii="仿宋" w:hAnsi="仿宋" w:eastAsia="仿宋" w:cs="仿宋"/>
          <w:bCs/>
          <w:szCs w:val="21"/>
        </w:rPr>
        <w:t>委托人应在检测工作完成后</w:t>
      </w:r>
      <w:r>
        <w:rPr>
          <w:rFonts w:hint="eastAsia" w:ascii="仿宋" w:hAnsi="仿宋" w:eastAsia="仿宋" w:cs="仿宋"/>
          <w:szCs w:val="21"/>
          <w:u w:val="single"/>
        </w:rPr>
        <w:t>/</w:t>
      </w:r>
      <w:r>
        <w:rPr>
          <w:rFonts w:hint="eastAsia" w:ascii="仿宋" w:hAnsi="仿宋" w:eastAsia="仿宋" w:cs="仿宋"/>
          <w:bCs/>
          <w:szCs w:val="21"/>
        </w:rPr>
        <w:t>天内支付检测费用。</w:t>
      </w:r>
    </w:p>
    <w:p w14:paraId="135C7861">
      <w:pPr>
        <w:spacing w:line="276" w:lineRule="auto"/>
        <w:ind w:firstLine="420"/>
        <w:rPr>
          <w:rFonts w:hint="eastAsia" w:ascii="仿宋" w:hAnsi="仿宋" w:eastAsia="仿宋" w:cs="仿宋"/>
          <w:bCs/>
          <w:szCs w:val="21"/>
        </w:rPr>
      </w:pPr>
      <w:r>
        <w:rPr>
          <w:rFonts w:hint="eastAsia" w:ascii="仿宋" w:hAnsi="仿宋" w:eastAsia="仿宋" w:cs="仿宋"/>
          <w:bCs/>
          <w:szCs w:val="21"/>
        </w:rPr>
        <w:t>8.3咨询费用</w:t>
      </w:r>
    </w:p>
    <w:p w14:paraId="2B2DF015">
      <w:pPr>
        <w:spacing w:line="276" w:lineRule="auto"/>
        <w:ind w:firstLine="420"/>
        <w:rPr>
          <w:rFonts w:hint="eastAsia" w:ascii="仿宋" w:hAnsi="仿宋" w:eastAsia="仿宋" w:cs="仿宋"/>
          <w:bCs/>
          <w:szCs w:val="21"/>
        </w:rPr>
      </w:pPr>
      <w:r>
        <w:rPr>
          <w:rFonts w:hint="eastAsia" w:ascii="仿宋" w:hAnsi="仿宋" w:eastAsia="仿宋" w:cs="仿宋"/>
          <w:bCs/>
          <w:szCs w:val="21"/>
        </w:rPr>
        <w:t>委托人应在咨询工作完成后</w:t>
      </w:r>
      <w:r>
        <w:rPr>
          <w:rFonts w:hint="eastAsia" w:ascii="仿宋" w:hAnsi="仿宋" w:eastAsia="仿宋" w:cs="仿宋"/>
          <w:szCs w:val="21"/>
          <w:u w:val="single"/>
        </w:rPr>
        <w:t>/</w:t>
      </w:r>
      <w:r>
        <w:rPr>
          <w:rFonts w:hint="eastAsia" w:ascii="仿宋" w:hAnsi="仿宋" w:eastAsia="仿宋" w:cs="仿宋"/>
          <w:bCs/>
          <w:szCs w:val="21"/>
        </w:rPr>
        <w:t>天内支付咨询费用。</w:t>
      </w:r>
    </w:p>
    <w:p w14:paraId="2A6814A3">
      <w:pPr>
        <w:spacing w:line="276" w:lineRule="auto"/>
        <w:ind w:firstLine="205"/>
        <w:rPr>
          <w:rFonts w:hint="eastAsia" w:ascii="仿宋" w:hAnsi="仿宋" w:eastAsia="仿宋" w:cs="仿宋"/>
          <w:szCs w:val="21"/>
        </w:rPr>
      </w:pPr>
      <w:r>
        <w:rPr>
          <w:rFonts w:hint="eastAsia" w:ascii="仿宋" w:hAnsi="仿宋" w:eastAsia="仿宋" w:cs="仿宋"/>
          <w:szCs w:val="21"/>
        </w:rPr>
        <w:t>8.4奖励</w:t>
      </w:r>
    </w:p>
    <w:p w14:paraId="4FD39193">
      <w:pPr>
        <w:spacing w:line="276" w:lineRule="auto"/>
        <w:ind w:firstLine="420"/>
        <w:rPr>
          <w:rFonts w:hint="eastAsia" w:ascii="仿宋" w:hAnsi="仿宋" w:eastAsia="仿宋" w:cs="仿宋"/>
          <w:szCs w:val="21"/>
        </w:rPr>
      </w:pPr>
      <w:r>
        <w:rPr>
          <w:rFonts w:hint="eastAsia" w:ascii="仿宋" w:hAnsi="仿宋" w:eastAsia="仿宋" w:cs="仿宋"/>
          <w:szCs w:val="21"/>
        </w:rPr>
        <w:t>合理化建议的奖励金额按下列方法确定为：</w:t>
      </w:r>
    </w:p>
    <w:p w14:paraId="653A5340">
      <w:pPr>
        <w:spacing w:line="276" w:lineRule="auto"/>
        <w:ind w:firstLine="420"/>
        <w:rPr>
          <w:rFonts w:hint="eastAsia" w:ascii="仿宋" w:hAnsi="仿宋" w:eastAsia="仿宋" w:cs="仿宋"/>
          <w:szCs w:val="21"/>
        </w:rPr>
      </w:pPr>
      <w:r>
        <w:rPr>
          <w:rFonts w:hint="eastAsia" w:ascii="仿宋" w:hAnsi="仿宋" w:eastAsia="仿宋" w:cs="仿宋"/>
          <w:szCs w:val="21"/>
        </w:rPr>
        <w:t>奖励金额＝工程投资节省额×奖励金额的比率；</w:t>
      </w:r>
    </w:p>
    <w:p w14:paraId="78E2ED2F">
      <w:pPr>
        <w:spacing w:line="276" w:lineRule="auto"/>
        <w:ind w:firstLine="420"/>
        <w:rPr>
          <w:rFonts w:hint="eastAsia" w:ascii="仿宋" w:hAnsi="仿宋" w:eastAsia="仿宋" w:cs="仿宋"/>
          <w:szCs w:val="21"/>
        </w:rPr>
      </w:pPr>
      <w:r>
        <w:rPr>
          <w:rFonts w:hint="eastAsia" w:ascii="仿宋" w:hAnsi="仿宋" w:eastAsia="仿宋" w:cs="仿宋"/>
          <w:szCs w:val="21"/>
        </w:rPr>
        <w:t>奖励金额的比率为</w:t>
      </w:r>
      <w:r>
        <w:rPr>
          <w:rFonts w:hint="eastAsia" w:ascii="仿宋" w:hAnsi="仿宋" w:eastAsia="仿宋" w:cs="仿宋"/>
          <w:szCs w:val="21"/>
          <w:u w:val="single"/>
        </w:rPr>
        <w:t>无</w:t>
      </w:r>
      <w:r>
        <w:rPr>
          <w:rFonts w:hint="eastAsia" w:ascii="仿宋" w:hAnsi="仿宋" w:eastAsia="仿宋" w:cs="仿宋"/>
          <w:szCs w:val="21"/>
        </w:rPr>
        <w:t>。</w:t>
      </w:r>
    </w:p>
    <w:p w14:paraId="5323B012">
      <w:pPr>
        <w:spacing w:line="276" w:lineRule="auto"/>
        <w:ind w:firstLine="205"/>
        <w:rPr>
          <w:rFonts w:hint="eastAsia" w:ascii="仿宋" w:hAnsi="仿宋" w:eastAsia="仿宋" w:cs="仿宋"/>
          <w:szCs w:val="21"/>
        </w:rPr>
      </w:pPr>
      <w:r>
        <w:rPr>
          <w:rFonts w:hint="eastAsia" w:ascii="仿宋" w:hAnsi="仿宋" w:eastAsia="仿宋" w:cs="仿宋"/>
          <w:szCs w:val="21"/>
        </w:rPr>
        <w:t>8.6保密</w:t>
      </w:r>
    </w:p>
    <w:p w14:paraId="3E62F0E3">
      <w:pPr>
        <w:spacing w:line="276" w:lineRule="auto"/>
        <w:ind w:firstLine="420"/>
        <w:rPr>
          <w:rFonts w:hint="eastAsia" w:ascii="仿宋" w:hAnsi="仿宋" w:eastAsia="仿宋" w:cs="仿宋"/>
          <w:szCs w:val="21"/>
          <w:u w:val="single"/>
        </w:rPr>
      </w:pPr>
      <w:r>
        <w:rPr>
          <w:rFonts w:hint="eastAsia" w:ascii="仿宋" w:hAnsi="仿宋" w:eastAsia="仿宋" w:cs="仿宋"/>
          <w:szCs w:val="21"/>
        </w:rPr>
        <w:t>委托人申明的保密事项和期限：</w:t>
      </w:r>
      <w:r>
        <w:rPr>
          <w:rFonts w:hint="eastAsia" w:ascii="仿宋" w:hAnsi="仿宋" w:eastAsia="仿宋" w:cs="仿宋"/>
          <w:szCs w:val="21"/>
          <w:u w:val="single"/>
        </w:rPr>
        <w:t>/</w:t>
      </w:r>
      <w:r>
        <w:rPr>
          <w:rFonts w:hint="eastAsia" w:ascii="仿宋" w:hAnsi="仿宋" w:eastAsia="仿宋" w:cs="仿宋"/>
          <w:szCs w:val="21"/>
        </w:rPr>
        <w:t>。</w:t>
      </w:r>
    </w:p>
    <w:p w14:paraId="12F1CBD6">
      <w:pPr>
        <w:spacing w:line="276" w:lineRule="auto"/>
        <w:ind w:firstLine="420"/>
        <w:rPr>
          <w:rFonts w:hint="eastAsia" w:ascii="仿宋" w:hAnsi="仿宋" w:eastAsia="仿宋" w:cs="仿宋"/>
          <w:szCs w:val="21"/>
          <w:u w:val="single"/>
        </w:rPr>
      </w:pPr>
      <w:r>
        <w:rPr>
          <w:rFonts w:hint="eastAsia" w:ascii="仿宋" w:hAnsi="仿宋" w:eastAsia="仿宋" w:cs="仿宋"/>
          <w:szCs w:val="21"/>
        </w:rPr>
        <w:t>监理人申明的保密事项和期限：</w:t>
      </w:r>
      <w:r>
        <w:rPr>
          <w:rFonts w:hint="eastAsia" w:ascii="仿宋" w:hAnsi="仿宋" w:eastAsia="仿宋" w:cs="仿宋"/>
          <w:szCs w:val="21"/>
          <w:u w:val="single"/>
        </w:rPr>
        <w:t>/</w:t>
      </w:r>
      <w:r>
        <w:rPr>
          <w:rFonts w:hint="eastAsia" w:ascii="仿宋" w:hAnsi="仿宋" w:eastAsia="仿宋" w:cs="仿宋"/>
          <w:szCs w:val="21"/>
        </w:rPr>
        <w:t>。</w:t>
      </w:r>
    </w:p>
    <w:p w14:paraId="39629D71">
      <w:pPr>
        <w:spacing w:line="276" w:lineRule="auto"/>
        <w:ind w:firstLine="420"/>
        <w:rPr>
          <w:rFonts w:hint="eastAsia" w:ascii="仿宋" w:hAnsi="仿宋" w:eastAsia="仿宋" w:cs="仿宋"/>
          <w:szCs w:val="21"/>
          <w:u w:val="single"/>
        </w:rPr>
      </w:pPr>
      <w:r>
        <w:rPr>
          <w:rFonts w:hint="eastAsia" w:ascii="仿宋" w:hAnsi="仿宋" w:eastAsia="仿宋" w:cs="仿宋"/>
          <w:szCs w:val="21"/>
        </w:rPr>
        <w:t>第三方申明的保密事项和期限：</w:t>
      </w:r>
      <w:r>
        <w:rPr>
          <w:rFonts w:hint="eastAsia" w:ascii="仿宋" w:hAnsi="仿宋" w:eastAsia="仿宋" w:cs="仿宋"/>
          <w:szCs w:val="21"/>
          <w:u w:val="single"/>
        </w:rPr>
        <w:t>/</w:t>
      </w:r>
      <w:r>
        <w:rPr>
          <w:rFonts w:hint="eastAsia" w:ascii="仿宋" w:hAnsi="仿宋" w:eastAsia="仿宋" w:cs="仿宋"/>
          <w:szCs w:val="21"/>
        </w:rPr>
        <w:t>。</w:t>
      </w:r>
    </w:p>
    <w:p w14:paraId="2A81AD25">
      <w:pPr>
        <w:spacing w:line="276" w:lineRule="auto"/>
        <w:ind w:firstLine="205"/>
        <w:rPr>
          <w:rFonts w:hint="eastAsia" w:ascii="仿宋" w:hAnsi="仿宋" w:eastAsia="仿宋" w:cs="仿宋"/>
          <w:bCs/>
          <w:szCs w:val="21"/>
        </w:rPr>
      </w:pPr>
      <w:r>
        <w:rPr>
          <w:rFonts w:hint="eastAsia" w:ascii="仿宋" w:hAnsi="仿宋" w:eastAsia="仿宋" w:cs="仿宋"/>
          <w:szCs w:val="21"/>
        </w:rPr>
        <w:t>8.8</w:t>
      </w:r>
      <w:r>
        <w:rPr>
          <w:rFonts w:hint="eastAsia" w:ascii="仿宋" w:hAnsi="仿宋" w:eastAsia="仿宋" w:cs="仿宋"/>
          <w:bCs/>
          <w:szCs w:val="21"/>
        </w:rPr>
        <w:t>著作权</w:t>
      </w:r>
    </w:p>
    <w:p w14:paraId="77D7E0CB">
      <w:pPr>
        <w:spacing w:before="156" w:after="156" w:line="276" w:lineRule="auto"/>
        <w:rPr>
          <w:rFonts w:hint="eastAsia" w:ascii="仿宋" w:hAnsi="仿宋" w:eastAsia="仿宋" w:cs="仿宋"/>
          <w:szCs w:val="21"/>
        </w:rPr>
      </w:pPr>
      <w:r>
        <w:rPr>
          <w:rFonts w:hint="eastAsia" w:ascii="仿宋" w:hAnsi="仿宋" w:eastAsia="仿宋" w:cs="仿宋"/>
          <w:szCs w:val="21"/>
        </w:rPr>
        <w:t>监理人在本合同履行期间及本合同终止后两年内出版涉及本工程的有关监理与相关服务的资料的限制条件：</w:t>
      </w:r>
      <w:r>
        <w:rPr>
          <w:rFonts w:hint="eastAsia" w:ascii="仿宋" w:hAnsi="仿宋" w:eastAsia="仿宋" w:cs="仿宋"/>
          <w:color w:val="FF0000"/>
          <w:szCs w:val="21"/>
          <w:u w:val="single"/>
        </w:rPr>
        <w:t>需经委托人书面同意</w:t>
      </w:r>
      <w:r>
        <w:rPr>
          <w:rFonts w:hint="eastAsia" w:ascii="仿宋" w:hAnsi="仿宋" w:eastAsia="仿宋" w:cs="仿宋"/>
          <w:szCs w:val="21"/>
        </w:rPr>
        <w:t>。</w:t>
      </w:r>
    </w:p>
    <w:p w14:paraId="4CBE1501">
      <w:pPr>
        <w:spacing w:before="156" w:after="156" w:line="276" w:lineRule="auto"/>
        <w:rPr>
          <w:rFonts w:hint="eastAsia" w:ascii="仿宋" w:hAnsi="仿宋" w:eastAsia="仿宋" w:cs="仿宋"/>
          <w:u w:val="single"/>
        </w:rPr>
      </w:pPr>
      <w:bookmarkStart w:id="46" w:name="_Toc398107918"/>
      <w:r>
        <w:rPr>
          <w:rStyle w:val="209"/>
          <w:rFonts w:hint="eastAsia" w:ascii="仿宋" w:hAnsi="仿宋" w:eastAsia="仿宋" w:cs="仿宋"/>
          <w:sz w:val="21"/>
          <w:szCs w:val="21"/>
        </w:rPr>
        <w:t>9</w:t>
      </w:r>
      <w:r>
        <w:rPr>
          <w:rFonts w:hint="eastAsia" w:ascii="仿宋" w:hAnsi="仿宋" w:eastAsia="仿宋" w:cs="仿宋"/>
          <w:b/>
          <w:bCs/>
          <w:szCs w:val="21"/>
        </w:rPr>
        <w:t>.</w:t>
      </w:r>
      <w:r>
        <w:rPr>
          <w:rStyle w:val="209"/>
          <w:rFonts w:hint="eastAsia" w:ascii="仿宋" w:hAnsi="仿宋" w:eastAsia="仿宋" w:cs="仿宋"/>
          <w:sz w:val="21"/>
          <w:szCs w:val="21"/>
        </w:rPr>
        <w:t>补充条款</w:t>
      </w:r>
      <w:bookmarkEnd w:id="46"/>
      <w:r>
        <w:rPr>
          <w:rFonts w:hint="eastAsia" w:ascii="仿宋" w:hAnsi="仿宋" w:eastAsia="仿宋" w:cs="仿宋"/>
          <w:b/>
          <w:szCs w:val="21"/>
        </w:rPr>
        <w:t>：</w:t>
      </w:r>
    </w:p>
    <w:p w14:paraId="1777D10B">
      <w:pPr>
        <w:spacing w:line="0" w:lineRule="atLeast"/>
        <w:ind w:firstLine="420"/>
        <w:rPr>
          <w:rFonts w:hint="eastAsia" w:ascii="仿宋" w:hAnsi="仿宋" w:eastAsia="仿宋" w:cs="仿宋"/>
          <w:color w:val="FF0000"/>
          <w:szCs w:val="21"/>
        </w:rPr>
      </w:pPr>
      <w:r>
        <w:rPr>
          <w:rFonts w:hint="eastAsia" w:ascii="仿宋" w:hAnsi="仿宋" w:eastAsia="仿宋" w:cs="仿宋"/>
          <w:color w:val="FF0000"/>
          <w:szCs w:val="21"/>
        </w:rPr>
        <w:t>9.1监理人开工前提供监理规划、监理实施细则给委托人。</w:t>
      </w:r>
    </w:p>
    <w:p w14:paraId="507B7E93">
      <w:pPr>
        <w:spacing w:line="0" w:lineRule="atLeast"/>
        <w:ind w:firstLine="420"/>
        <w:rPr>
          <w:rFonts w:hint="eastAsia" w:ascii="仿宋" w:hAnsi="仿宋" w:eastAsia="仿宋" w:cs="仿宋"/>
          <w:color w:val="FF0000"/>
          <w:szCs w:val="21"/>
        </w:rPr>
      </w:pPr>
      <w:r>
        <w:rPr>
          <w:rFonts w:hint="eastAsia" w:ascii="仿宋" w:hAnsi="仿宋" w:eastAsia="仿宋" w:cs="仿宋"/>
          <w:color w:val="FF0000"/>
          <w:szCs w:val="21"/>
        </w:rPr>
        <w:t>9.2监理人每月向委托人提供监理月报等资料。</w:t>
      </w:r>
    </w:p>
    <w:p w14:paraId="7CFA103A">
      <w:pPr>
        <w:spacing w:line="0" w:lineRule="atLeast"/>
        <w:ind w:firstLine="420"/>
        <w:rPr>
          <w:rFonts w:hint="eastAsia" w:ascii="仿宋" w:hAnsi="仿宋" w:eastAsia="仿宋" w:cs="仿宋"/>
          <w:color w:val="FF0000"/>
          <w:szCs w:val="21"/>
        </w:rPr>
      </w:pPr>
      <w:r>
        <w:rPr>
          <w:rFonts w:hint="eastAsia" w:ascii="仿宋" w:hAnsi="仿宋" w:eastAsia="仿宋" w:cs="仿宋"/>
          <w:color w:val="FF0000"/>
          <w:szCs w:val="21"/>
        </w:rPr>
        <w:t>9.3监理人员必须持证上岗，如发现不称职，委托人有权要求监理人在规定的时间内调换相匹配的人员到位，监理人应无条件立即更换，当更换人次超过2个（含2个）时，该工程的监理费下浮5%，以后每更换1个，监理费下浮5%。但如果监理人未经委托人同意，擅自更换本项目监理组成员，应予立即纠正，且每发生一次，监理人应向委托人支付违约金5000元。监理人员要坚守岗位，不得出现脱岗、离岗现象，如有脱岗、离岗现象每发现一次监理人向委托人支付违约金1000元。对工程进行跟踪检查、监督，验收能随叫随到。发现监理人员三次缺岗，按监理服务收费用总额的15％扣减，直至委托人单方解除合同。</w:t>
      </w:r>
    </w:p>
    <w:p w14:paraId="6213037A">
      <w:pPr>
        <w:spacing w:line="0" w:lineRule="atLeast"/>
        <w:ind w:firstLine="420"/>
        <w:rPr>
          <w:rFonts w:hint="eastAsia" w:ascii="仿宋" w:hAnsi="仿宋" w:eastAsia="仿宋" w:cs="仿宋"/>
          <w:color w:val="FF0000"/>
          <w:szCs w:val="21"/>
        </w:rPr>
      </w:pPr>
      <w:r>
        <w:rPr>
          <w:rFonts w:hint="eastAsia" w:ascii="仿宋" w:hAnsi="仿宋" w:eastAsia="仿宋" w:cs="仿宋"/>
          <w:color w:val="FF0000"/>
          <w:szCs w:val="21"/>
        </w:rPr>
        <w:t>9.4如发现监理人员对存在的质量问题不闻不问，有意躲避，不进行处理的支付委托人违约金</w:t>
      </w:r>
      <w:r>
        <w:rPr>
          <w:rFonts w:hint="eastAsia" w:ascii="仿宋" w:hAnsi="仿宋" w:eastAsia="仿宋" w:cs="仿宋"/>
          <w:color w:val="000000"/>
          <w:szCs w:val="21"/>
          <w:highlight w:val="red"/>
        </w:rPr>
        <w:t>5000元以上/</w:t>
      </w:r>
      <w:r>
        <w:rPr>
          <w:rFonts w:hint="eastAsia" w:ascii="仿宋" w:hAnsi="仿宋" w:eastAsia="仿宋" w:cs="仿宋"/>
          <w:color w:val="FF0000"/>
          <w:szCs w:val="21"/>
        </w:rPr>
        <w:t>次，并承担由此造成的一切后果。</w:t>
      </w:r>
    </w:p>
    <w:p w14:paraId="520CA2B0">
      <w:pPr>
        <w:spacing w:line="0" w:lineRule="atLeast"/>
        <w:ind w:firstLine="420"/>
        <w:rPr>
          <w:rFonts w:hint="eastAsia" w:ascii="仿宋" w:hAnsi="仿宋" w:eastAsia="仿宋" w:cs="仿宋"/>
          <w:color w:val="FF0000"/>
          <w:szCs w:val="21"/>
        </w:rPr>
      </w:pPr>
      <w:r>
        <w:rPr>
          <w:rFonts w:hint="eastAsia" w:ascii="仿宋" w:hAnsi="仿宋" w:eastAsia="仿宋" w:cs="仿宋"/>
          <w:color w:val="FF0000"/>
          <w:szCs w:val="21"/>
        </w:rPr>
        <w:t>9.5监理人员要有良好的思想道德素质，不得接收施工单位、材料设备供应商等的宴请，不得接受施工单位、材料设备供应商等的任何财物、礼金，如发现一次，除没收财物、勒令该人员退场，并可追究其经济、法律责任；不得向施工单位介绍亲、友等进行材料、设备、劳务等的供应，如发生委托人有权要求该监理人员退场；如发生以上情况委托人可根据需要向有关单位进行通报、追究相应责任及经济损失。</w:t>
      </w:r>
    </w:p>
    <w:p w14:paraId="0855A9AC">
      <w:pPr>
        <w:spacing w:line="0" w:lineRule="atLeast"/>
        <w:ind w:firstLine="420"/>
        <w:rPr>
          <w:rFonts w:hint="eastAsia" w:ascii="仿宋" w:hAnsi="仿宋" w:eastAsia="仿宋" w:cs="仿宋"/>
          <w:color w:val="FF0000"/>
          <w:szCs w:val="21"/>
        </w:rPr>
      </w:pPr>
      <w:r>
        <w:rPr>
          <w:rFonts w:hint="eastAsia" w:ascii="仿宋" w:hAnsi="仿宋" w:eastAsia="仿宋" w:cs="仿宋"/>
          <w:color w:val="FF0000"/>
          <w:szCs w:val="21"/>
        </w:rPr>
        <w:t>9.6监理人应按投标文件的约定自行配备常用办公设施，做好夜间值班的各种准备工作。应严格按委托人有关监理规章制度要求执行，违反规定的自愿按委托人规定支付2000-10000元/次的违约金。</w:t>
      </w:r>
    </w:p>
    <w:p w14:paraId="0B167403">
      <w:pPr>
        <w:spacing w:line="0" w:lineRule="atLeast"/>
        <w:ind w:firstLine="420"/>
        <w:rPr>
          <w:rFonts w:hint="eastAsia" w:ascii="仿宋" w:hAnsi="仿宋" w:eastAsia="仿宋" w:cs="仿宋"/>
          <w:color w:val="FF0000"/>
          <w:szCs w:val="21"/>
        </w:rPr>
      </w:pPr>
      <w:r>
        <w:rPr>
          <w:rFonts w:hint="eastAsia" w:ascii="仿宋" w:hAnsi="仿宋" w:eastAsia="仿宋" w:cs="仿宋"/>
          <w:color w:val="FF0000"/>
          <w:szCs w:val="21"/>
        </w:rPr>
        <w:t>9.7监理人员应严格对原材料的质量把关，如有监理人员对原材料进场把关不严或不负责任，造成不合格材料进场的，且未能及时制止而用于工程的，监理人向委托人支付违约金2000元/次，并赔偿因此而给委托人造成的全部经济损失。</w:t>
      </w:r>
    </w:p>
    <w:p w14:paraId="78CDDF75">
      <w:pPr>
        <w:spacing w:line="0" w:lineRule="atLeast"/>
        <w:ind w:firstLine="420"/>
        <w:rPr>
          <w:rFonts w:hint="eastAsia" w:ascii="仿宋" w:hAnsi="仿宋" w:eastAsia="仿宋" w:cs="仿宋"/>
          <w:color w:val="FF0000"/>
          <w:szCs w:val="21"/>
        </w:rPr>
      </w:pPr>
      <w:r>
        <w:rPr>
          <w:rFonts w:hint="eastAsia" w:ascii="仿宋" w:hAnsi="仿宋" w:eastAsia="仿宋" w:cs="仿宋"/>
          <w:color w:val="FF0000"/>
          <w:szCs w:val="21"/>
        </w:rPr>
        <w:t>9.8监理人员应积极主动的按标准、规范、图纸等要求对施工单位现场的工程质量、进度、投资、安全、文明标化等方面进行检查验收。做好关键部位的旁站工作，加强对检验批及隐蔽工程的检查力度，减少质量缺陷，杜绝质量事故，监督施工单位严格按图纸、规范合同及设计变更施工，如图纸存在疑问或不妥之处应及时通知委托人，由委托人牵头负责进行设计变更。如发现关键部位施工无人旁站或对隐蔽工程缺乏监理的，每发现一次监理人向委托人支付违约金5000元，并赔偿因此而给委托人造成的全部经济损失。如施工单位未按图施工导致返工，造成损失，且监理人员未采用有效控制措施的，监理人支付委托人返工损失10%的违约金；如关键部位未旁站，支付委托人违约金5000元/次，上道工序不合格而同意下道工序施工，支付委托人违约金2000元/次，如监理人员工作不力，造成质量缺陷，支付委托人2000元以上的违约金，如监理人监督不力造成节点目标未完成，支付委托人违约金1000元/天，如工程造成质量事故的，支付委托人违约金1万元，委托人有权勒令监理人退场，未付监理费不予支付。</w:t>
      </w:r>
    </w:p>
    <w:p w14:paraId="70E9A216">
      <w:pPr>
        <w:spacing w:line="0" w:lineRule="atLeast"/>
        <w:ind w:firstLine="420"/>
        <w:rPr>
          <w:rFonts w:hint="eastAsia" w:ascii="仿宋" w:hAnsi="仿宋" w:eastAsia="仿宋" w:cs="仿宋"/>
          <w:color w:val="FF0000"/>
          <w:szCs w:val="21"/>
        </w:rPr>
      </w:pPr>
      <w:r>
        <w:rPr>
          <w:rFonts w:hint="eastAsia" w:ascii="仿宋" w:hAnsi="仿宋" w:eastAsia="仿宋" w:cs="仿宋"/>
          <w:color w:val="FF0000"/>
          <w:szCs w:val="21"/>
        </w:rPr>
        <w:t>9.9施工单位工程进度付款监理单位须提前与委托人商定后签付，然后报委托人审批后支付；监理不得借付款有意刁难施工单位。否则每发现一次支付委托人违约金2000元以上，并追究相关人员责任。</w:t>
      </w:r>
    </w:p>
    <w:p w14:paraId="641750A3">
      <w:pPr>
        <w:spacing w:line="0" w:lineRule="atLeast"/>
        <w:ind w:firstLine="420"/>
        <w:rPr>
          <w:rFonts w:hint="eastAsia" w:ascii="仿宋" w:hAnsi="仿宋" w:eastAsia="仿宋" w:cs="仿宋"/>
          <w:color w:val="FF0000"/>
          <w:szCs w:val="21"/>
        </w:rPr>
      </w:pPr>
      <w:r>
        <w:rPr>
          <w:rFonts w:hint="eastAsia" w:ascii="仿宋" w:hAnsi="仿宋" w:eastAsia="仿宋" w:cs="仿宋"/>
          <w:color w:val="FF0000"/>
          <w:szCs w:val="21"/>
        </w:rPr>
        <w:t>9.10施工单位提出需解决的问题、报告应及时回复，涉及到重大质量问题向委托人书面通知，涉及工程造价变更的须立即向委托人汇报。正常情况下施工单位的报告应在48小时内回复且不得影响正常施工，不得无故拖延回复时间。否则发现一次向委托人支付1000元以上的违约金。</w:t>
      </w:r>
    </w:p>
    <w:p w14:paraId="56581C53">
      <w:pPr>
        <w:spacing w:line="0" w:lineRule="atLeast"/>
        <w:ind w:firstLine="420"/>
        <w:rPr>
          <w:rFonts w:hint="eastAsia" w:ascii="仿宋" w:hAnsi="仿宋" w:eastAsia="仿宋" w:cs="仿宋"/>
          <w:color w:val="FF0000"/>
          <w:szCs w:val="21"/>
        </w:rPr>
      </w:pPr>
      <w:r>
        <w:rPr>
          <w:rFonts w:hint="eastAsia" w:ascii="仿宋" w:hAnsi="仿宋" w:eastAsia="仿宋" w:cs="仿宋"/>
          <w:color w:val="FF0000"/>
          <w:szCs w:val="21"/>
        </w:rPr>
        <w:t>9.11原材料检验试验必须通知委托人现场管理人员一同现场见证取样、送检，能当场试验的当场试验，见证取样、送检或当场试验均须填写检验委托单并有相关人员签字。</w:t>
      </w:r>
    </w:p>
    <w:p w14:paraId="4A60BD1D">
      <w:pPr>
        <w:spacing w:line="0" w:lineRule="atLeast"/>
        <w:ind w:firstLine="420"/>
        <w:rPr>
          <w:rFonts w:hint="eastAsia" w:ascii="仿宋" w:hAnsi="仿宋" w:eastAsia="仿宋" w:cs="仿宋"/>
          <w:color w:val="FF0000"/>
          <w:szCs w:val="21"/>
        </w:rPr>
      </w:pPr>
      <w:r>
        <w:rPr>
          <w:rFonts w:hint="eastAsia" w:ascii="仿宋" w:hAnsi="仿宋" w:eastAsia="仿宋" w:cs="仿宋"/>
          <w:color w:val="FF0000"/>
          <w:szCs w:val="21"/>
        </w:rPr>
        <w:t>9.12监理人必须将投标文件中确定的总监、专业监理工程师及其他监理人员派驻到现场。监理人将专业监理工程师派驻到现场前5天，必须将专业监理工程师的有关资料报委托人审核同意后方可进场，若委托人对派驻的监理工程师经审核后不同意的，委托人有权要求监理人调换该专业监理工程师，直至委托人审核同意。若监理人不按委托人的要求进行调换，则委托人有权将该专业的监理任务重新委托有资质的单位进行监理，监理费用从监理人的监理报酬中扣除。监理人未经委托人同意不得擅自调换总监及专业监理工程师，否则委托人有权根据实际情况解除合同。监理人擅自调换总监的监理人向委托人支付合同总价30%的违约金，监理人擅自调换专业监理工程师的监理人向委托人支付合同总价10%/人的违约金。</w:t>
      </w:r>
    </w:p>
    <w:p w14:paraId="1BF73250">
      <w:pPr>
        <w:spacing w:line="0" w:lineRule="atLeast"/>
        <w:ind w:firstLine="420"/>
        <w:rPr>
          <w:rFonts w:hint="eastAsia" w:ascii="仿宋" w:hAnsi="仿宋" w:eastAsia="仿宋" w:cs="仿宋"/>
          <w:color w:val="FF0000"/>
          <w:szCs w:val="21"/>
          <w:highlight w:val="yellow"/>
        </w:rPr>
      </w:pPr>
      <w:r>
        <w:rPr>
          <w:rFonts w:hint="eastAsia" w:ascii="仿宋" w:hAnsi="仿宋" w:eastAsia="仿宋" w:cs="仿宋"/>
          <w:color w:val="FF0000"/>
          <w:szCs w:val="21"/>
          <w:highlight w:val="yellow"/>
        </w:rPr>
        <w:t>9.13委托人将对监理人派驻现场的所有监理人员实施考勤制度。监理人派驻现场的总监理工程师每周在工地实施监理工作的时间不少于3个工作日、其他监理人员每个月在工地实施监理工作的时间不得少于28天，每日不少于8小时在工地现场、否则根据实际缺勤时间，监理人按1000元/小时向委托人提交违约金，缺勤时间累计超过240小时，委托人有权随时单方解除合同，要求监理人无条件退场，并且对已完工程的监理费用不予支付。总监每少一天监理人向委托人支付5000元违约金，专业监理工程师每少一天监理人向委托人支付1000元违约金，监理员每少一天监理人向委托人支付500元违约金。所有现场监理人员（总监除外）只能为本项目服务，不得同时从事非委托人项目的监理工作，否则委托人有权要求调换人员，由此造成的经济损失由监理人承担。如委托人认为总监、总监代表、现场各监理人员不能胜任监理工作并提出更换，监理人必须予以组织更换能胜任的人员，如监理人未能执行，委托人有权单方解除合同，并且对已完工程的监理费用不予支付。</w:t>
      </w:r>
    </w:p>
    <w:p w14:paraId="008CE968">
      <w:pPr>
        <w:spacing w:line="0" w:lineRule="atLeast"/>
        <w:ind w:firstLine="420"/>
        <w:rPr>
          <w:rFonts w:hint="eastAsia" w:ascii="仿宋" w:hAnsi="仿宋" w:eastAsia="仿宋" w:cs="仿宋"/>
          <w:color w:val="FF0000"/>
          <w:szCs w:val="21"/>
        </w:rPr>
      </w:pPr>
      <w:r>
        <w:rPr>
          <w:rFonts w:hint="eastAsia" w:ascii="仿宋" w:hAnsi="仿宋" w:eastAsia="仿宋" w:cs="仿宋"/>
          <w:color w:val="FF0000"/>
          <w:szCs w:val="21"/>
        </w:rPr>
        <w:t>9.14现场所有变更、签证必须由委托人代表签字认可后方为有效，无委托人认可的一律无效。</w:t>
      </w:r>
    </w:p>
    <w:p w14:paraId="3ECA2D61">
      <w:pPr>
        <w:spacing w:line="0" w:lineRule="atLeast"/>
        <w:ind w:firstLine="420"/>
        <w:rPr>
          <w:rFonts w:hint="eastAsia" w:ascii="仿宋" w:hAnsi="仿宋" w:eastAsia="仿宋" w:cs="仿宋"/>
          <w:color w:val="FF0000"/>
          <w:szCs w:val="21"/>
        </w:rPr>
      </w:pPr>
      <w:r>
        <w:rPr>
          <w:rFonts w:hint="eastAsia" w:ascii="仿宋" w:hAnsi="仿宋" w:eastAsia="仿宋" w:cs="仿宋"/>
          <w:color w:val="FF0000"/>
          <w:szCs w:val="21"/>
        </w:rPr>
        <w:t>9.15监理人负责检查督促施工单位的工程资料按城建档案馆、委托人的要求进行完善、装订等工作，直至跟踪将竣工资料移交给城建档案馆。</w:t>
      </w:r>
    </w:p>
    <w:p w14:paraId="2C8B2C22">
      <w:pPr>
        <w:spacing w:line="0" w:lineRule="atLeast"/>
        <w:ind w:firstLine="420"/>
        <w:rPr>
          <w:rFonts w:hint="eastAsia" w:ascii="仿宋" w:hAnsi="仿宋" w:eastAsia="仿宋" w:cs="仿宋"/>
          <w:color w:val="FF0000"/>
          <w:szCs w:val="21"/>
        </w:rPr>
      </w:pPr>
      <w:r>
        <w:rPr>
          <w:rFonts w:hint="eastAsia" w:ascii="仿宋" w:hAnsi="仿宋" w:eastAsia="仿宋" w:cs="仿宋"/>
          <w:color w:val="FF0000"/>
          <w:szCs w:val="21"/>
        </w:rPr>
        <w:t>9.16竣工后监理应提供资料有：监理大纲、监理规划、实施细则、总结、监理日报、备忘录、联系单、整改通知单等有关监理表格、会议纪要、会议签到表、工序报验单、监理月报、有关处罚通知、整改通知、质量处理报告等；并且须装订整齐、有序，符合有关规定的要求。</w:t>
      </w:r>
    </w:p>
    <w:p w14:paraId="048CD663">
      <w:pPr>
        <w:spacing w:line="0" w:lineRule="atLeast"/>
        <w:ind w:firstLine="420"/>
        <w:rPr>
          <w:rFonts w:hint="eastAsia" w:ascii="仿宋" w:hAnsi="仿宋" w:eastAsia="仿宋" w:cs="仿宋"/>
          <w:color w:val="FF0000"/>
          <w:szCs w:val="21"/>
        </w:rPr>
      </w:pPr>
      <w:r>
        <w:rPr>
          <w:rFonts w:hint="eastAsia" w:ascii="仿宋" w:hAnsi="仿宋" w:eastAsia="仿宋" w:cs="仿宋"/>
          <w:color w:val="FF0000"/>
          <w:szCs w:val="21"/>
        </w:rPr>
        <w:t>9.17监理工程师必须仔细阅读设计图纸，既要督促施工单位按图施工，又要仔细发现图纸中不足，及时向委托人反映并提出建议。</w:t>
      </w:r>
    </w:p>
    <w:p w14:paraId="543C3E07">
      <w:pPr>
        <w:spacing w:line="0" w:lineRule="atLeast"/>
        <w:ind w:firstLine="420"/>
        <w:rPr>
          <w:rFonts w:hint="eastAsia" w:ascii="仿宋" w:hAnsi="仿宋" w:eastAsia="仿宋" w:cs="仿宋"/>
          <w:color w:val="FF0000"/>
          <w:szCs w:val="21"/>
        </w:rPr>
      </w:pPr>
      <w:r>
        <w:rPr>
          <w:rFonts w:hint="eastAsia" w:ascii="仿宋" w:hAnsi="仿宋" w:eastAsia="仿宋" w:cs="仿宋"/>
          <w:color w:val="FF0000"/>
          <w:szCs w:val="21"/>
        </w:rPr>
        <w:t>9.18若委托人认为监理人现场投入的人员及设备不能满足工程需要，委托人有权要求监理人在委托人规定的时间内按要求增加人员、设备满足现场需要，监理人对此不得拒绝，否则委托人有权单方解除合同，并且对已完工程的监理费用不予支付。</w:t>
      </w:r>
    </w:p>
    <w:p w14:paraId="66F58240">
      <w:pPr>
        <w:spacing w:line="0" w:lineRule="atLeast"/>
        <w:ind w:firstLine="420"/>
        <w:rPr>
          <w:rFonts w:hint="eastAsia" w:ascii="仿宋" w:hAnsi="仿宋" w:eastAsia="仿宋" w:cs="仿宋"/>
          <w:color w:val="FF0000"/>
          <w:szCs w:val="21"/>
        </w:rPr>
      </w:pPr>
      <w:r>
        <w:rPr>
          <w:rFonts w:hint="eastAsia" w:ascii="仿宋" w:hAnsi="仿宋" w:eastAsia="仿宋" w:cs="仿宋"/>
          <w:color w:val="FF0000"/>
          <w:szCs w:val="21"/>
        </w:rPr>
        <w:t>9.19监理人必须严格按委托人招标文件、合同等有关规定要求进行严格管理。如因未履行或未完全履行，给委托人造成较大损失、影响的，支付委托人违约金2万元以上/次，如因监理人员脱岗、离岗、失职等原因造成重大质量、安全事故的，除支付委托人违约金4万元及所造成损失总额的20%以外，可追究相关责任人及监理人的法律责任。委托人有权勒令监理人退场，未付监理款不予支付，且工程监理资料须全部移交委托人。</w:t>
      </w:r>
    </w:p>
    <w:p w14:paraId="5B7A6C1B">
      <w:pPr>
        <w:spacing w:line="0" w:lineRule="atLeast"/>
        <w:ind w:firstLine="420"/>
        <w:rPr>
          <w:rFonts w:hint="eastAsia" w:ascii="仿宋" w:hAnsi="仿宋" w:eastAsia="仿宋" w:cs="仿宋"/>
          <w:color w:val="FF0000"/>
          <w:szCs w:val="21"/>
        </w:rPr>
      </w:pPr>
      <w:r>
        <w:rPr>
          <w:rFonts w:hint="eastAsia" w:ascii="仿宋" w:hAnsi="仿宋" w:eastAsia="仿宋" w:cs="仿宋"/>
          <w:color w:val="FF0000"/>
          <w:szCs w:val="21"/>
        </w:rPr>
        <w:t>9.20监理人须对施工单位提交的工程变更、工程签证、商务付款以及工程决算等进行书面审核并签署意见，工程计量须谨慎、认真、公平、公正进行，如出现计量严重失误或与施工单位勾结的情况，支付委托人10000元/次的违约金，并报相关部门处理。</w:t>
      </w:r>
    </w:p>
    <w:p w14:paraId="5475FD9F">
      <w:pPr>
        <w:spacing w:line="0" w:lineRule="atLeast"/>
        <w:ind w:firstLine="420"/>
        <w:rPr>
          <w:rFonts w:hint="eastAsia" w:ascii="仿宋" w:hAnsi="仿宋" w:eastAsia="仿宋" w:cs="仿宋"/>
          <w:color w:val="FF0000"/>
          <w:szCs w:val="21"/>
        </w:rPr>
      </w:pPr>
      <w:r>
        <w:rPr>
          <w:rFonts w:hint="eastAsia" w:ascii="仿宋" w:hAnsi="仿宋" w:eastAsia="仿宋" w:cs="仿宋"/>
          <w:color w:val="FF0000"/>
          <w:szCs w:val="21"/>
        </w:rPr>
        <w:t>9.21施工结算（决算）必须经监理单位初审并盖章确认后方可进入复审环节。经监理审核后的工程造价由委托人安排复审，复审审减率累计超过8％时，监理单位应向委托人支付核减金额5％的违约金。</w:t>
      </w:r>
    </w:p>
    <w:p w14:paraId="2E8F7B44">
      <w:pPr>
        <w:spacing w:line="0" w:lineRule="atLeast"/>
        <w:ind w:firstLine="420"/>
        <w:rPr>
          <w:rFonts w:hint="eastAsia" w:ascii="仿宋" w:hAnsi="仿宋" w:eastAsia="仿宋" w:cs="仿宋"/>
          <w:color w:val="FF0000"/>
          <w:szCs w:val="21"/>
        </w:rPr>
      </w:pPr>
      <w:r>
        <w:rPr>
          <w:rFonts w:hint="eastAsia" w:ascii="仿宋" w:hAnsi="仿宋" w:eastAsia="仿宋" w:cs="仿宋"/>
          <w:color w:val="FF0000"/>
          <w:szCs w:val="21"/>
        </w:rPr>
        <w:t>9.22监理人应对工程所需的重大设备、材料、特殊施工工艺等提出调研报告，供委托人参考。</w:t>
      </w:r>
    </w:p>
    <w:p w14:paraId="7D563952">
      <w:pPr>
        <w:spacing w:line="0" w:lineRule="atLeast"/>
        <w:ind w:firstLine="420"/>
        <w:rPr>
          <w:rFonts w:hint="eastAsia" w:ascii="仿宋" w:hAnsi="仿宋" w:eastAsia="仿宋" w:cs="仿宋"/>
          <w:color w:val="FF0000"/>
          <w:szCs w:val="21"/>
        </w:rPr>
      </w:pPr>
      <w:r>
        <w:rPr>
          <w:rFonts w:hint="eastAsia" w:ascii="仿宋" w:hAnsi="仿宋" w:eastAsia="仿宋" w:cs="仿宋"/>
          <w:color w:val="FF0000"/>
          <w:szCs w:val="21"/>
        </w:rPr>
        <w:t>9.23如本工程实施中有特殊要求，监理人认为需聘请专家评审、论证的，应经委托人书面同意，由监理人负责组织，相关费用由委托方承担。</w:t>
      </w:r>
    </w:p>
    <w:p w14:paraId="45613557">
      <w:pPr>
        <w:spacing w:line="0" w:lineRule="atLeast"/>
        <w:ind w:firstLine="420"/>
        <w:rPr>
          <w:rFonts w:hint="eastAsia" w:ascii="仿宋" w:hAnsi="仿宋" w:eastAsia="仿宋" w:cs="仿宋"/>
          <w:color w:val="FF0000"/>
          <w:szCs w:val="21"/>
        </w:rPr>
      </w:pPr>
      <w:r>
        <w:rPr>
          <w:rFonts w:hint="eastAsia" w:ascii="仿宋" w:hAnsi="仿宋" w:eastAsia="仿宋" w:cs="仿宋"/>
          <w:color w:val="FF0000"/>
          <w:szCs w:val="21"/>
        </w:rPr>
        <w:t>9.24委托人在工程施工期间，不定期地组织有关专家对工程质量进行抽查，如发现已施工完成的工程中，材料、质量未达到质量标准且未被监理人员发现并纠正，视为监理失误，委托人按合同价款的5％扣减监理服务收费。项目实施过程中，对被发现的监理渎职现象，监理人按1万元/次向委托人支付违约金，并报相关部门处理。</w:t>
      </w:r>
    </w:p>
    <w:p w14:paraId="5B46785B">
      <w:pPr>
        <w:spacing w:line="0" w:lineRule="atLeast"/>
        <w:ind w:firstLine="420"/>
        <w:rPr>
          <w:rFonts w:hint="eastAsia" w:ascii="仿宋" w:hAnsi="仿宋" w:eastAsia="仿宋" w:cs="仿宋"/>
          <w:color w:val="FF0000"/>
          <w:szCs w:val="21"/>
        </w:rPr>
      </w:pPr>
      <w:r>
        <w:rPr>
          <w:rFonts w:hint="eastAsia" w:ascii="仿宋" w:hAnsi="仿宋" w:eastAsia="仿宋" w:cs="仿宋"/>
          <w:color w:val="FF0000"/>
          <w:szCs w:val="21"/>
        </w:rPr>
        <w:t>9.25监理人应严格按本合同约定，履行监理职责，完成合同约定的各项义务，不足之处，委托人有权要求整改，经整改仍不能达到委托人要求的，委托人有权单方解除合同，要求监理人立即退场，尚未支付监理费不再支付，监理人还需向委托人支付违约金5万元，并赔偿因此而给委托人造成的全部经济损失。</w:t>
      </w:r>
    </w:p>
    <w:p w14:paraId="073CCAE3">
      <w:pPr>
        <w:spacing w:line="0" w:lineRule="atLeast"/>
        <w:ind w:firstLine="422"/>
        <w:rPr>
          <w:rFonts w:hint="eastAsia" w:ascii="仿宋" w:hAnsi="仿宋" w:eastAsia="仿宋" w:cs="仿宋"/>
          <w:b/>
          <w:bCs/>
          <w:color w:val="FF0000"/>
          <w:szCs w:val="21"/>
        </w:rPr>
      </w:pPr>
      <w:r>
        <w:rPr>
          <w:rFonts w:hint="eastAsia" w:ascii="仿宋" w:hAnsi="仿宋" w:eastAsia="仿宋" w:cs="仿宋"/>
          <w:b/>
          <w:bCs/>
          <w:color w:val="FF0000"/>
          <w:szCs w:val="21"/>
        </w:rPr>
        <w:t>9.27</w:t>
      </w:r>
      <w:bookmarkStart w:id="47" w:name="OLE_LINK20"/>
      <w:r>
        <w:rPr>
          <w:rFonts w:hint="eastAsia" w:ascii="仿宋" w:hAnsi="仿宋" w:eastAsia="仿宋" w:cs="仿宋"/>
          <w:b/>
          <w:bCs/>
          <w:color w:val="FF0000"/>
          <w:szCs w:val="21"/>
        </w:rPr>
        <w:t>本工程为总价包干，监理服务期延长不增加监理费用</w:t>
      </w:r>
      <w:bookmarkEnd w:id="47"/>
    </w:p>
    <w:p w14:paraId="7DB4DC58">
      <w:pPr>
        <w:ind w:firstLine="420"/>
        <w:rPr>
          <w:rFonts w:hint="eastAsia" w:ascii="仿宋" w:hAnsi="仿宋" w:eastAsia="仿宋" w:cs="仿宋"/>
          <w:color w:val="FF0000"/>
          <w:szCs w:val="21"/>
        </w:rPr>
      </w:pPr>
      <w:r>
        <w:rPr>
          <w:rFonts w:hint="eastAsia" w:ascii="仿宋" w:hAnsi="仿宋" w:eastAsia="仿宋" w:cs="仿宋"/>
          <w:color w:val="FF0000"/>
          <w:szCs w:val="21"/>
        </w:rPr>
        <w:t>9.28所有现场专业监理人员必须按规定在现场上班，如有事情离开现场必须事先征得委托人同意，否则每发现一次支付委托人违约金1000元。工程分部、分项验收时随叫随到，并且跟踪检查；不得平时不检查、验收时马虎或提出大量问题而造成返工，影响施工进度，如发现有此类现象每发现一次支付委托人违约金1000元以上。</w:t>
      </w:r>
    </w:p>
    <w:p w14:paraId="46E872B7">
      <w:pPr>
        <w:ind w:firstLine="420"/>
        <w:rPr>
          <w:rFonts w:hint="eastAsia" w:ascii="仿宋" w:hAnsi="仿宋" w:eastAsia="仿宋" w:cs="仿宋"/>
          <w:color w:val="FF0000"/>
          <w:szCs w:val="21"/>
        </w:rPr>
      </w:pPr>
    </w:p>
    <w:p w14:paraId="66CF3CD7">
      <w:pPr>
        <w:spacing w:before="156" w:after="156"/>
        <w:ind w:firstLine="840"/>
        <w:rPr>
          <w:rFonts w:hint="eastAsia" w:ascii="仿宋" w:hAnsi="仿宋" w:eastAsia="仿宋" w:cs="仿宋"/>
          <w:szCs w:val="21"/>
        </w:rPr>
      </w:pPr>
      <w:r>
        <w:rPr>
          <w:rFonts w:hint="eastAsia" w:ascii="仿宋" w:hAnsi="仿宋" w:eastAsia="仿宋" w:cs="仿宋"/>
        </w:rPr>
        <w:br w:type="page" w:clear="all"/>
      </w:r>
      <w:bookmarkStart w:id="48" w:name="OLE_LINK7"/>
    </w:p>
    <w:bookmarkEnd w:id="48"/>
    <w:p w14:paraId="01E9442D">
      <w:pPr>
        <w:pStyle w:val="3"/>
        <w:spacing w:line="360" w:lineRule="auto"/>
        <w:ind w:firstLine="640"/>
        <w:rPr>
          <w:rFonts w:hint="eastAsia" w:ascii="仿宋" w:hAnsi="仿宋" w:eastAsia="仿宋" w:cs="仿宋"/>
        </w:rPr>
      </w:pPr>
      <w:r>
        <w:rPr>
          <w:rStyle w:val="212"/>
          <w:rFonts w:hint="eastAsia" w:ascii="仿宋" w:hAnsi="仿宋" w:eastAsia="仿宋" w:cs="仿宋"/>
          <w:b w:val="0"/>
          <w:bCs/>
        </w:rPr>
        <w:t>附录B委托人派遣的人员和提供的房屋、资料、设备</w:t>
      </w:r>
    </w:p>
    <w:p w14:paraId="285D05A3">
      <w:pPr>
        <w:pStyle w:val="4"/>
        <w:spacing w:line="360" w:lineRule="auto"/>
        <w:ind w:firstLine="480"/>
        <w:rPr>
          <w:rFonts w:hint="eastAsia" w:ascii="仿宋" w:hAnsi="仿宋" w:eastAsia="仿宋" w:cs="仿宋"/>
        </w:rPr>
      </w:pPr>
      <w:r>
        <w:rPr>
          <w:rFonts w:hint="eastAsia" w:ascii="仿宋" w:hAnsi="仿宋" w:eastAsia="仿宋" w:cs="仿宋"/>
        </w:rPr>
        <w:t>B-1委托人派遣的人员</w:t>
      </w:r>
    </w:p>
    <w:tbl>
      <w:tblPr>
        <w:tblStyle w:val="3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7243A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45D4B9D8">
            <w:pPr>
              <w:ind w:firstLine="420"/>
              <w:jc w:val="center"/>
              <w:rPr>
                <w:rFonts w:hint="eastAsia" w:ascii="仿宋" w:hAnsi="仿宋" w:eastAsia="仿宋" w:cs="仿宋"/>
                <w:szCs w:val="21"/>
              </w:rPr>
            </w:pPr>
            <w:r>
              <w:rPr>
                <w:rFonts w:hint="eastAsia" w:ascii="仿宋" w:hAnsi="仿宋" w:eastAsia="仿宋" w:cs="仿宋"/>
                <w:szCs w:val="21"/>
              </w:rPr>
              <w:t>名称</w:t>
            </w:r>
          </w:p>
        </w:tc>
        <w:tc>
          <w:tcPr>
            <w:tcW w:w="1770" w:type="dxa"/>
            <w:noWrap w:val="0"/>
            <w:vAlign w:val="top"/>
          </w:tcPr>
          <w:p w14:paraId="5BD93A2A">
            <w:pPr>
              <w:ind w:firstLine="420"/>
              <w:jc w:val="center"/>
              <w:rPr>
                <w:rFonts w:hint="eastAsia" w:ascii="仿宋" w:hAnsi="仿宋" w:eastAsia="仿宋" w:cs="仿宋"/>
                <w:szCs w:val="21"/>
              </w:rPr>
            </w:pPr>
            <w:r>
              <w:rPr>
                <w:rFonts w:hint="eastAsia" w:ascii="仿宋" w:hAnsi="仿宋" w:eastAsia="仿宋" w:cs="仿宋"/>
                <w:szCs w:val="21"/>
              </w:rPr>
              <w:t>数量</w:t>
            </w:r>
          </w:p>
        </w:tc>
        <w:tc>
          <w:tcPr>
            <w:tcW w:w="2130" w:type="dxa"/>
            <w:noWrap w:val="0"/>
            <w:vAlign w:val="top"/>
          </w:tcPr>
          <w:p w14:paraId="62BA2643">
            <w:pPr>
              <w:ind w:firstLine="420"/>
              <w:jc w:val="center"/>
              <w:rPr>
                <w:rFonts w:hint="eastAsia" w:ascii="仿宋" w:hAnsi="仿宋" w:eastAsia="仿宋" w:cs="仿宋"/>
                <w:szCs w:val="21"/>
              </w:rPr>
            </w:pPr>
            <w:r>
              <w:rPr>
                <w:rFonts w:hint="eastAsia" w:ascii="仿宋" w:hAnsi="仿宋" w:eastAsia="仿宋" w:cs="仿宋"/>
                <w:szCs w:val="21"/>
              </w:rPr>
              <w:t>工作要求</w:t>
            </w:r>
          </w:p>
        </w:tc>
        <w:tc>
          <w:tcPr>
            <w:tcW w:w="1860" w:type="dxa"/>
            <w:noWrap w:val="0"/>
            <w:vAlign w:val="top"/>
          </w:tcPr>
          <w:p w14:paraId="52DB326B">
            <w:pPr>
              <w:ind w:firstLine="420"/>
              <w:jc w:val="center"/>
              <w:rPr>
                <w:rFonts w:hint="eastAsia" w:ascii="仿宋" w:hAnsi="仿宋" w:eastAsia="仿宋" w:cs="仿宋"/>
                <w:szCs w:val="21"/>
              </w:rPr>
            </w:pPr>
            <w:r>
              <w:rPr>
                <w:rFonts w:hint="eastAsia" w:ascii="仿宋" w:hAnsi="仿宋" w:eastAsia="仿宋" w:cs="仿宋"/>
                <w:szCs w:val="21"/>
              </w:rPr>
              <w:t>提供时间</w:t>
            </w:r>
          </w:p>
        </w:tc>
      </w:tr>
      <w:tr w14:paraId="2CC1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2F922460">
            <w:pPr>
              <w:ind w:firstLine="420"/>
              <w:rPr>
                <w:rFonts w:hint="eastAsia" w:ascii="仿宋" w:hAnsi="仿宋" w:eastAsia="仿宋" w:cs="仿宋"/>
                <w:szCs w:val="21"/>
              </w:rPr>
            </w:pPr>
            <w:r>
              <w:rPr>
                <w:rFonts w:hint="eastAsia" w:ascii="仿宋" w:hAnsi="仿宋" w:eastAsia="仿宋" w:cs="仿宋"/>
                <w:szCs w:val="21"/>
              </w:rPr>
              <w:t>1.工程技术人员</w:t>
            </w:r>
          </w:p>
        </w:tc>
        <w:tc>
          <w:tcPr>
            <w:tcW w:w="1770" w:type="dxa"/>
            <w:noWrap w:val="0"/>
            <w:vAlign w:val="top"/>
          </w:tcPr>
          <w:p w14:paraId="5D37A611">
            <w:pPr>
              <w:ind w:firstLine="420"/>
              <w:rPr>
                <w:rFonts w:hint="eastAsia" w:ascii="仿宋" w:hAnsi="仿宋" w:eastAsia="仿宋" w:cs="仿宋"/>
                <w:szCs w:val="21"/>
              </w:rPr>
            </w:pPr>
          </w:p>
        </w:tc>
        <w:tc>
          <w:tcPr>
            <w:tcW w:w="2130" w:type="dxa"/>
            <w:noWrap w:val="0"/>
            <w:vAlign w:val="top"/>
          </w:tcPr>
          <w:p w14:paraId="47AAA26B">
            <w:pPr>
              <w:ind w:firstLine="420"/>
              <w:rPr>
                <w:rFonts w:hint="eastAsia" w:ascii="仿宋" w:hAnsi="仿宋" w:eastAsia="仿宋" w:cs="仿宋"/>
                <w:szCs w:val="21"/>
              </w:rPr>
            </w:pPr>
          </w:p>
        </w:tc>
        <w:tc>
          <w:tcPr>
            <w:tcW w:w="1860" w:type="dxa"/>
            <w:noWrap w:val="0"/>
            <w:vAlign w:val="top"/>
          </w:tcPr>
          <w:p w14:paraId="7F1D4CFE">
            <w:pPr>
              <w:ind w:firstLine="420"/>
              <w:rPr>
                <w:rFonts w:hint="eastAsia" w:ascii="仿宋" w:hAnsi="仿宋" w:eastAsia="仿宋" w:cs="仿宋"/>
                <w:szCs w:val="21"/>
              </w:rPr>
            </w:pPr>
          </w:p>
        </w:tc>
      </w:tr>
      <w:tr w14:paraId="387B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7EE6C024">
            <w:pPr>
              <w:ind w:firstLine="420"/>
              <w:rPr>
                <w:rFonts w:hint="eastAsia" w:ascii="仿宋" w:hAnsi="仿宋" w:eastAsia="仿宋" w:cs="仿宋"/>
                <w:szCs w:val="21"/>
              </w:rPr>
            </w:pPr>
            <w:r>
              <w:rPr>
                <w:rFonts w:hint="eastAsia" w:ascii="仿宋" w:hAnsi="仿宋" w:eastAsia="仿宋" w:cs="仿宋"/>
                <w:szCs w:val="21"/>
              </w:rPr>
              <w:t>2.辅助工作人员</w:t>
            </w:r>
          </w:p>
        </w:tc>
        <w:tc>
          <w:tcPr>
            <w:tcW w:w="1770" w:type="dxa"/>
            <w:noWrap w:val="0"/>
            <w:vAlign w:val="top"/>
          </w:tcPr>
          <w:p w14:paraId="75479425">
            <w:pPr>
              <w:ind w:firstLine="420"/>
              <w:rPr>
                <w:rFonts w:hint="eastAsia" w:ascii="仿宋" w:hAnsi="仿宋" w:eastAsia="仿宋" w:cs="仿宋"/>
                <w:szCs w:val="21"/>
              </w:rPr>
            </w:pPr>
          </w:p>
        </w:tc>
        <w:tc>
          <w:tcPr>
            <w:tcW w:w="2130" w:type="dxa"/>
            <w:noWrap w:val="0"/>
            <w:vAlign w:val="top"/>
          </w:tcPr>
          <w:p w14:paraId="3F8FAECB">
            <w:pPr>
              <w:ind w:firstLine="420"/>
              <w:rPr>
                <w:rFonts w:hint="eastAsia" w:ascii="仿宋" w:hAnsi="仿宋" w:eastAsia="仿宋" w:cs="仿宋"/>
                <w:szCs w:val="21"/>
              </w:rPr>
            </w:pPr>
          </w:p>
        </w:tc>
        <w:tc>
          <w:tcPr>
            <w:tcW w:w="1860" w:type="dxa"/>
            <w:noWrap w:val="0"/>
            <w:vAlign w:val="top"/>
          </w:tcPr>
          <w:p w14:paraId="69B579C0">
            <w:pPr>
              <w:ind w:firstLine="420"/>
              <w:rPr>
                <w:rFonts w:hint="eastAsia" w:ascii="仿宋" w:hAnsi="仿宋" w:eastAsia="仿宋" w:cs="仿宋"/>
                <w:szCs w:val="21"/>
              </w:rPr>
            </w:pPr>
          </w:p>
        </w:tc>
      </w:tr>
      <w:tr w14:paraId="6E80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63FB9E43">
            <w:pPr>
              <w:ind w:firstLine="420"/>
              <w:rPr>
                <w:rFonts w:hint="eastAsia" w:ascii="仿宋" w:hAnsi="仿宋" w:eastAsia="仿宋" w:cs="仿宋"/>
                <w:szCs w:val="21"/>
              </w:rPr>
            </w:pPr>
            <w:r>
              <w:rPr>
                <w:rFonts w:hint="eastAsia" w:ascii="仿宋" w:hAnsi="仿宋" w:eastAsia="仿宋" w:cs="仿宋"/>
                <w:szCs w:val="21"/>
              </w:rPr>
              <w:t>3.其他人员</w:t>
            </w:r>
          </w:p>
        </w:tc>
        <w:tc>
          <w:tcPr>
            <w:tcW w:w="1770" w:type="dxa"/>
            <w:noWrap w:val="0"/>
            <w:vAlign w:val="top"/>
          </w:tcPr>
          <w:p w14:paraId="3074C99E">
            <w:pPr>
              <w:ind w:firstLine="420"/>
              <w:rPr>
                <w:rFonts w:hint="eastAsia" w:ascii="仿宋" w:hAnsi="仿宋" w:eastAsia="仿宋" w:cs="仿宋"/>
                <w:szCs w:val="21"/>
              </w:rPr>
            </w:pPr>
          </w:p>
        </w:tc>
        <w:tc>
          <w:tcPr>
            <w:tcW w:w="2130" w:type="dxa"/>
            <w:noWrap w:val="0"/>
            <w:vAlign w:val="top"/>
          </w:tcPr>
          <w:p w14:paraId="69D12413">
            <w:pPr>
              <w:ind w:firstLine="420"/>
              <w:rPr>
                <w:rFonts w:hint="eastAsia" w:ascii="仿宋" w:hAnsi="仿宋" w:eastAsia="仿宋" w:cs="仿宋"/>
                <w:szCs w:val="21"/>
              </w:rPr>
            </w:pPr>
          </w:p>
        </w:tc>
        <w:tc>
          <w:tcPr>
            <w:tcW w:w="1860" w:type="dxa"/>
            <w:noWrap w:val="0"/>
            <w:vAlign w:val="top"/>
          </w:tcPr>
          <w:p w14:paraId="651D26A5">
            <w:pPr>
              <w:ind w:firstLine="420"/>
              <w:rPr>
                <w:rFonts w:hint="eastAsia" w:ascii="仿宋" w:hAnsi="仿宋" w:eastAsia="仿宋" w:cs="仿宋"/>
                <w:szCs w:val="21"/>
              </w:rPr>
            </w:pPr>
          </w:p>
        </w:tc>
      </w:tr>
      <w:tr w14:paraId="16E2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2BA66688">
            <w:pPr>
              <w:ind w:firstLine="420"/>
              <w:rPr>
                <w:rFonts w:hint="eastAsia" w:ascii="仿宋" w:hAnsi="仿宋" w:eastAsia="仿宋" w:cs="仿宋"/>
                <w:szCs w:val="21"/>
              </w:rPr>
            </w:pPr>
          </w:p>
        </w:tc>
        <w:tc>
          <w:tcPr>
            <w:tcW w:w="1770" w:type="dxa"/>
            <w:noWrap w:val="0"/>
            <w:vAlign w:val="top"/>
          </w:tcPr>
          <w:p w14:paraId="0AC476D8">
            <w:pPr>
              <w:ind w:firstLine="420"/>
              <w:rPr>
                <w:rFonts w:hint="eastAsia" w:ascii="仿宋" w:hAnsi="仿宋" w:eastAsia="仿宋" w:cs="仿宋"/>
                <w:szCs w:val="21"/>
              </w:rPr>
            </w:pPr>
          </w:p>
        </w:tc>
        <w:tc>
          <w:tcPr>
            <w:tcW w:w="2130" w:type="dxa"/>
            <w:noWrap w:val="0"/>
            <w:vAlign w:val="top"/>
          </w:tcPr>
          <w:p w14:paraId="257E0D87">
            <w:pPr>
              <w:ind w:firstLine="420"/>
              <w:rPr>
                <w:rFonts w:hint="eastAsia" w:ascii="仿宋" w:hAnsi="仿宋" w:eastAsia="仿宋" w:cs="仿宋"/>
                <w:szCs w:val="21"/>
              </w:rPr>
            </w:pPr>
          </w:p>
        </w:tc>
        <w:tc>
          <w:tcPr>
            <w:tcW w:w="1860" w:type="dxa"/>
            <w:noWrap w:val="0"/>
            <w:vAlign w:val="top"/>
          </w:tcPr>
          <w:p w14:paraId="03D30186">
            <w:pPr>
              <w:ind w:firstLine="420"/>
              <w:rPr>
                <w:rFonts w:hint="eastAsia" w:ascii="仿宋" w:hAnsi="仿宋" w:eastAsia="仿宋" w:cs="仿宋"/>
                <w:szCs w:val="21"/>
              </w:rPr>
            </w:pPr>
          </w:p>
        </w:tc>
      </w:tr>
    </w:tbl>
    <w:p w14:paraId="6A29542D">
      <w:pPr>
        <w:pStyle w:val="4"/>
        <w:spacing w:line="360" w:lineRule="auto"/>
        <w:ind w:firstLine="480"/>
        <w:rPr>
          <w:rFonts w:hint="eastAsia" w:ascii="仿宋" w:hAnsi="仿宋" w:eastAsia="仿宋" w:cs="仿宋"/>
        </w:rPr>
      </w:pPr>
      <w:r>
        <w:rPr>
          <w:rFonts w:hint="eastAsia" w:ascii="仿宋" w:hAnsi="仿宋" w:eastAsia="仿宋" w:cs="仿宋"/>
        </w:rPr>
        <w:t>B-2委托人提供的房屋</w:t>
      </w:r>
    </w:p>
    <w:tbl>
      <w:tblPr>
        <w:tblStyle w:val="3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1313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16859C1B">
            <w:pPr>
              <w:ind w:firstLine="420"/>
              <w:jc w:val="center"/>
              <w:rPr>
                <w:rFonts w:hint="eastAsia" w:ascii="仿宋" w:hAnsi="仿宋" w:eastAsia="仿宋" w:cs="仿宋"/>
                <w:szCs w:val="21"/>
              </w:rPr>
            </w:pPr>
            <w:r>
              <w:rPr>
                <w:rFonts w:hint="eastAsia" w:ascii="仿宋" w:hAnsi="仿宋" w:eastAsia="仿宋" w:cs="仿宋"/>
                <w:szCs w:val="21"/>
              </w:rPr>
              <w:t>名称</w:t>
            </w:r>
          </w:p>
        </w:tc>
        <w:tc>
          <w:tcPr>
            <w:tcW w:w="2130" w:type="dxa"/>
            <w:noWrap w:val="0"/>
            <w:vAlign w:val="top"/>
          </w:tcPr>
          <w:p w14:paraId="090E6E8A">
            <w:pPr>
              <w:ind w:firstLine="420"/>
              <w:jc w:val="center"/>
              <w:rPr>
                <w:rFonts w:hint="eastAsia" w:ascii="仿宋" w:hAnsi="仿宋" w:eastAsia="仿宋" w:cs="仿宋"/>
                <w:szCs w:val="21"/>
              </w:rPr>
            </w:pPr>
            <w:r>
              <w:rPr>
                <w:rFonts w:hint="eastAsia" w:ascii="仿宋" w:hAnsi="仿宋" w:eastAsia="仿宋" w:cs="仿宋"/>
                <w:szCs w:val="21"/>
              </w:rPr>
              <w:t>数量</w:t>
            </w:r>
          </w:p>
        </w:tc>
        <w:tc>
          <w:tcPr>
            <w:tcW w:w="2130" w:type="dxa"/>
            <w:noWrap w:val="0"/>
            <w:vAlign w:val="top"/>
          </w:tcPr>
          <w:p w14:paraId="70C4730C">
            <w:pPr>
              <w:ind w:firstLine="420"/>
              <w:jc w:val="center"/>
              <w:rPr>
                <w:rFonts w:hint="eastAsia" w:ascii="仿宋" w:hAnsi="仿宋" w:eastAsia="仿宋" w:cs="仿宋"/>
                <w:szCs w:val="21"/>
              </w:rPr>
            </w:pPr>
            <w:r>
              <w:rPr>
                <w:rFonts w:hint="eastAsia" w:ascii="仿宋" w:hAnsi="仿宋" w:eastAsia="仿宋" w:cs="仿宋"/>
                <w:szCs w:val="21"/>
              </w:rPr>
              <w:t>面积</w:t>
            </w:r>
          </w:p>
        </w:tc>
        <w:tc>
          <w:tcPr>
            <w:tcW w:w="1860" w:type="dxa"/>
            <w:noWrap w:val="0"/>
            <w:vAlign w:val="top"/>
          </w:tcPr>
          <w:p w14:paraId="75E99506">
            <w:pPr>
              <w:ind w:firstLine="420"/>
              <w:jc w:val="center"/>
              <w:rPr>
                <w:rFonts w:hint="eastAsia" w:ascii="仿宋" w:hAnsi="仿宋" w:eastAsia="仿宋" w:cs="仿宋"/>
                <w:szCs w:val="21"/>
              </w:rPr>
            </w:pPr>
            <w:r>
              <w:rPr>
                <w:rFonts w:hint="eastAsia" w:ascii="仿宋" w:hAnsi="仿宋" w:eastAsia="仿宋" w:cs="仿宋"/>
                <w:szCs w:val="21"/>
              </w:rPr>
              <w:t>提供时间</w:t>
            </w:r>
          </w:p>
        </w:tc>
      </w:tr>
      <w:tr w14:paraId="58C57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7FFB8478">
            <w:pPr>
              <w:ind w:firstLine="420"/>
              <w:rPr>
                <w:rFonts w:hint="eastAsia" w:ascii="仿宋" w:hAnsi="仿宋" w:eastAsia="仿宋" w:cs="仿宋"/>
                <w:szCs w:val="21"/>
              </w:rPr>
            </w:pPr>
            <w:r>
              <w:rPr>
                <w:rFonts w:hint="eastAsia" w:ascii="仿宋" w:hAnsi="仿宋" w:eastAsia="仿宋" w:cs="仿宋"/>
                <w:szCs w:val="21"/>
              </w:rPr>
              <w:t>1.办公用房</w:t>
            </w:r>
          </w:p>
        </w:tc>
        <w:tc>
          <w:tcPr>
            <w:tcW w:w="2130" w:type="dxa"/>
            <w:noWrap w:val="0"/>
            <w:vAlign w:val="top"/>
          </w:tcPr>
          <w:p w14:paraId="17CFA714">
            <w:pPr>
              <w:jc w:val="center"/>
              <w:rPr>
                <w:rFonts w:hint="eastAsia" w:ascii="仿宋" w:hAnsi="仿宋" w:eastAsia="仿宋" w:cs="仿宋"/>
                <w:szCs w:val="21"/>
              </w:rPr>
            </w:pPr>
          </w:p>
        </w:tc>
        <w:tc>
          <w:tcPr>
            <w:tcW w:w="2130" w:type="dxa"/>
            <w:noWrap w:val="0"/>
            <w:vAlign w:val="top"/>
          </w:tcPr>
          <w:p w14:paraId="096A342C">
            <w:pPr>
              <w:ind w:firstLine="210"/>
              <w:rPr>
                <w:rFonts w:hint="eastAsia" w:ascii="仿宋" w:hAnsi="仿宋" w:eastAsia="仿宋" w:cs="仿宋"/>
                <w:szCs w:val="21"/>
              </w:rPr>
            </w:pPr>
          </w:p>
        </w:tc>
        <w:tc>
          <w:tcPr>
            <w:tcW w:w="1860" w:type="dxa"/>
            <w:noWrap w:val="0"/>
            <w:vAlign w:val="top"/>
          </w:tcPr>
          <w:p w14:paraId="5000AB51">
            <w:pPr>
              <w:ind w:firstLine="420"/>
              <w:rPr>
                <w:rFonts w:hint="eastAsia" w:ascii="仿宋" w:hAnsi="仿宋" w:eastAsia="仿宋" w:cs="仿宋"/>
                <w:szCs w:val="21"/>
              </w:rPr>
            </w:pPr>
          </w:p>
        </w:tc>
      </w:tr>
      <w:tr w14:paraId="65176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4AF7E699">
            <w:pPr>
              <w:ind w:firstLine="420"/>
              <w:rPr>
                <w:rFonts w:hint="eastAsia" w:ascii="仿宋" w:hAnsi="仿宋" w:eastAsia="仿宋" w:cs="仿宋"/>
                <w:szCs w:val="21"/>
              </w:rPr>
            </w:pPr>
            <w:r>
              <w:rPr>
                <w:rFonts w:hint="eastAsia" w:ascii="仿宋" w:hAnsi="仿宋" w:eastAsia="仿宋" w:cs="仿宋"/>
                <w:szCs w:val="21"/>
              </w:rPr>
              <w:t>2.生活用房</w:t>
            </w:r>
          </w:p>
        </w:tc>
        <w:tc>
          <w:tcPr>
            <w:tcW w:w="2130" w:type="dxa"/>
            <w:noWrap w:val="0"/>
            <w:vAlign w:val="top"/>
          </w:tcPr>
          <w:p w14:paraId="34C52C9E">
            <w:pPr>
              <w:jc w:val="center"/>
              <w:rPr>
                <w:rFonts w:hint="eastAsia" w:ascii="仿宋" w:hAnsi="仿宋" w:eastAsia="仿宋" w:cs="仿宋"/>
                <w:szCs w:val="21"/>
              </w:rPr>
            </w:pPr>
          </w:p>
        </w:tc>
        <w:tc>
          <w:tcPr>
            <w:tcW w:w="2130" w:type="dxa"/>
            <w:noWrap w:val="0"/>
            <w:vAlign w:val="top"/>
          </w:tcPr>
          <w:p w14:paraId="5B4CE8C3">
            <w:pPr>
              <w:ind w:firstLine="420"/>
              <w:rPr>
                <w:rFonts w:hint="eastAsia" w:ascii="仿宋" w:hAnsi="仿宋" w:eastAsia="仿宋" w:cs="仿宋"/>
                <w:szCs w:val="21"/>
              </w:rPr>
            </w:pPr>
          </w:p>
        </w:tc>
        <w:tc>
          <w:tcPr>
            <w:tcW w:w="1860" w:type="dxa"/>
            <w:noWrap w:val="0"/>
            <w:vAlign w:val="top"/>
          </w:tcPr>
          <w:p w14:paraId="76BFFBF0">
            <w:pPr>
              <w:ind w:firstLine="420"/>
              <w:rPr>
                <w:rFonts w:hint="eastAsia" w:ascii="仿宋" w:hAnsi="仿宋" w:eastAsia="仿宋" w:cs="仿宋"/>
                <w:szCs w:val="21"/>
              </w:rPr>
            </w:pPr>
          </w:p>
        </w:tc>
      </w:tr>
      <w:tr w14:paraId="096A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6B081250">
            <w:pPr>
              <w:ind w:firstLine="420"/>
              <w:rPr>
                <w:rFonts w:hint="eastAsia" w:ascii="仿宋" w:hAnsi="仿宋" w:eastAsia="仿宋" w:cs="仿宋"/>
                <w:dstrike/>
                <w:szCs w:val="21"/>
              </w:rPr>
            </w:pPr>
            <w:r>
              <w:rPr>
                <w:rFonts w:hint="eastAsia" w:ascii="仿宋" w:hAnsi="仿宋" w:eastAsia="仿宋" w:cs="仿宋"/>
                <w:szCs w:val="21"/>
              </w:rPr>
              <w:t>3.试验用房</w:t>
            </w:r>
          </w:p>
        </w:tc>
        <w:tc>
          <w:tcPr>
            <w:tcW w:w="2130" w:type="dxa"/>
            <w:noWrap w:val="0"/>
            <w:vAlign w:val="top"/>
          </w:tcPr>
          <w:p w14:paraId="34D9614B">
            <w:pPr>
              <w:jc w:val="center"/>
              <w:rPr>
                <w:rFonts w:hint="eastAsia" w:ascii="仿宋" w:hAnsi="仿宋" w:eastAsia="仿宋" w:cs="仿宋"/>
                <w:szCs w:val="21"/>
              </w:rPr>
            </w:pPr>
          </w:p>
        </w:tc>
        <w:tc>
          <w:tcPr>
            <w:tcW w:w="2130" w:type="dxa"/>
            <w:noWrap w:val="0"/>
            <w:vAlign w:val="top"/>
          </w:tcPr>
          <w:p w14:paraId="3E3D9476">
            <w:pPr>
              <w:ind w:firstLine="420"/>
              <w:rPr>
                <w:rFonts w:hint="eastAsia" w:ascii="仿宋" w:hAnsi="仿宋" w:eastAsia="仿宋" w:cs="仿宋"/>
                <w:szCs w:val="21"/>
              </w:rPr>
            </w:pPr>
          </w:p>
        </w:tc>
        <w:tc>
          <w:tcPr>
            <w:tcW w:w="1860" w:type="dxa"/>
            <w:noWrap w:val="0"/>
            <w:vAlign w:val="top"/>
          </w:tcPr>
          <w:p w14:paraId="77E0B20B">
            <w:pPr>
              <w:ind w:firstLine="420"/>
              <w:rPr>
                <w:rFonts w:hint="eastAsia" w:ascii="仿宋" w:hAnsi="仿宋" w:eastAsia="仿宋" w:cs="仿宋"/>
                <w:szCs w:val="21"/>
              </w:rPr>
            </w:pPr>
          </w:p>
        </w:tc>
      </w:tr>
      <w:tr w14:paraId="0661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40ACAC67">
            <w:pPr>
              <w:ind w:firstLine="420"/>
              <w:rPr>
                <w:rFonts w:hint="eastAsia" w:ascii="仿宋" w:hAnsi="仿宋" w:eastAsia="仿宋" w:cs="仿宋"/>
                <w:szCs w:val="21"/>
              </w:rPr>
            </w:pPr>
            <w:r>
              <w:rPr>
                <w:rFonts w:hint="eastAsia" w:ascii="仿宋" w:hAnsi="仿宋" w:eastAsia="仿宋" w:cs="仿宋"/>
                <w:szCs w:val="21"/>
              </w:rPr>
              <w:t>4.样品用房</w:t>
            </w:r>
          </w:p>
        </w:tc>
        <w:tc>
          <w:tcPr>
            <w:tcW w:w="2130" w:type="dxa"/>
            <w:noWrap w:val="0"/>
            <w:vAlign w:val="top"/>
          </w:tcPr>
          <w:p w14:paraId="7E46FA34">
            <w:pPr>
              <w:jc w:val="center"/>
              <w:rPr>
                <w:rFonts w:hint="eastAsia" w:ascii="仿宋" w:hAnsi="仿宋" w:eastAsia="仿宋" w:cs="仿宋"/>
                <w:szCs w:val="21"/>
              </w:rPr>
            </w:pPr>
          </w:p>
        </w:tc>
        <w:tc>
          <w:tcPr>
            <w:tcW w:w="2130" w:type="dxa"/>
            <w:noWrap w:val="0"/>
            <w:vAlign w:val="top"/>
          </w:tcPr>
          <w:p w14:paraId="117F413D">
            <w:pPr>
              <w:ind w:firstLine="420"/>
              <w:rPr>
                <w:rFonts w:hint="eastAsia" w:ascii="仿宋" w:hAnsi="仿宋" w:eastAsia="仿宋" w:cs="仿宋"/>
                <w:szCs w:val="21"/>
              </w:rPr>
            </w:pPr>
          </w:p>
        </w:tc>
        <w:tc>
          <w:tcPr>
            <w:tcW w:w="1860" w:type="dxa"/>
            <w:noWrap w:val="0"/>
            <w:vAlign w:val="top"/>
          </w:tcPr>
          <w:p w14:paraId="0F89D26C">
            <w:pPr>
              <w:ind w:firstLine="420"/>
              <w:rPr>
                <w:rFonts w:hint="eastAsia" w:ascii="仿宋" w:hAnsi="仿宋" w:eastAsia="仿宋" w:cs="仿宋"/>
                <w:szCs w:val="21"/>
              </w:rPr>
            </w:pPr>
          </w:p>
        </w:tc>
      </w:tr>
      <w:tr w14:paraId="3032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42F1C276">
            <w:pPr>
              <w:ind w:firstLine="420"/>
              <w:rPr>
                <w:rFonts w:hint="eastAsia" w:ascii="仿宋" w:hAnsi="仿宋" w:eastAsia="仿宋" w:cs="仿宋"/>
                <w:szCs w:val="21"/>
              </w:rPr>
            </w:pPr>
          </w:p>
        </w:tc>
        <w:tc>
          <w:tcPr>
            <w:tcW w:w="2130" w:type="dxa"/>
            <w:noWrap w:val="0"/>
            <w:vAlign w:val="top"/>
          </w:tcPr>
          <w:p w14:paraId="11A9C600">
            <w:pPr>
              <w:ind w:firstLine="420"/>
              <w:rPr>
                <w:rFonts w:hint="eastAsia" w:ascii="仿宋" w:hAnsi="仿宋" w:eastAsia="仿宋" w:cs="仿宋"/>
                <w:szCs w:val="21"/>
              </w:rPr>
            </w:pPr>
          </w:p>
        </w:tc>
        <w:tc>
          <w:tcPr>
            <w:tcW w:w="2130" w:type="dxa"/>
            <w:noWrap w:val="0"/>
            <w:vAlign w:val="top"/>
          </w:tcPr>
          <w:p w14:paraId="674B5809">
            <w:pPr>
              <w:ind w:firstLine="420"/>
              <w:rPr>
                <w:rFonts w:hint="eastAsia" w:ascii="仿宋" w:hAnsi="仿宋" w:eastAsia="仿宋" w:cs="仿宋"/>
                <w:szCs w:val="21"/>
              </w:rPr>
            </w:pPr>
          </w:p>
        </w:tc>
        <w:tc>
          <w:tcPr>
            <w:tcW w:w="1860" w:type="dxa"/>
            <w:noWrap w:val="0"/>
            <w:vAlign w:val="top"/>
          </w:tcPr>
          <w:p w14:paraId="0ED03801">
            <w:pPr>
              <w:ind w:firstLine="420"/>
              <w:rPr>
                <w:rFonts w:hint="eastAsia" w:ascii="仿宋" w:hAnsi="仿宋" w:eastAsia="仿宋" w:cs="仿宋"/>
                <w:szCs w:val="21"/>
              </w:rPr>
            </w:pPr>
          </w:p>
        </w:tc>
      </w:tr>
      <w:tr w14:paraId="5682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778840A">
            <w:pPr>
              <w:ind w:firstLine="420"/>
              <w:rPr>
                <w:rFonts w:hint="eastAsia" w:ascii="仿宋" w:hAnsi="仿宋" w:eastAsia="仿宋" w:cs="仿宋"/>
                <w:szCs w:val="21"/>
              </w:rPr>
            </w:pPr>
            <w:r>
              <w:rPr>
                <w:rFonts w:hint="eastAsia" w:ascii="仿宋" w:hAnsi="仿宋" w:eastAsia="仿宋" w:cs="仿宋"/>
                <w:szCs w:val="21"/>
              </w:rPr>
              <w:t>用餐及其他生活条件</w:t>
            </w:r>
          </w:p>
        </w:tc>
        <w:tc>
          <w:tcPr>
            <w:tcW w:w="6120" w:type="dxa"/>
            <w:gridSpan w:val="3"/>
            <w:noWrap w:val="0"/>
            <w:vAlign w:val="top"/>
          </w:tcPr>
          <w:p w14:paraId="243F5863">
            <w:pPr>
              <w:ind w:firstLine="420"/>
              <w:rPr>
                <w:rFonts w:hint="eastAsia" w:ascii="仿宋" w:hAnsi="仿宋" w:eastAsia="仿宋" w:cs="仿宋"/>
                <w:szCs w:val="21"/>
              </w:rPr>
            </w:pPr>
          </w:p>
        </w:tc>
      </w:tr>
    </w:tbl>
    <w:p w14:paraId="716131C4">
      <w:pPr>
        <w:pStyle w:val="4"/>
        <w:spacing w:line="360" w:lineRule="auto"/>
        <w:ind w:firstLine="480"/>
        <w:rPr>
          <w:rFonts w:hint="eastAsia" w:ascii="仿宋" w:hAnsi="仿宋" w:eastAsia="仿宋" w:cs="仿宋"/>
        </w:rPr>
      </w:pPr>
      <w:r>
        <w:rPr>
          <w:rFonts w:hint="eastAsia" w:ascii="仿宋" w:hAnsi="仿宋" w:eastAsia="仿宋" w:cs="仿宋"/>
        </w:rPr>
        <w:t>B-3委托人提供的资料</w:t>
      </w:r>
    </w:p>
    <w:tbl>
      <w:tblPr>
        <w:tblStyle w:val="3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5DAB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802" w:type="dxa"/>
            <w:noWrap w:val="0"/>
            <w:vAlign w:val="top"/>
          </w:tcPr>
          <w:p w14:paraId="08EFDE51">
            <w:pPr>
              <w:ind w:firstLine="420"/>
              <w:jc w:val="center"/>
              <w:rPr>
                <w:rFonts w:hint="eastAsia" w:ascii="仿宋" w:hAnsi="仿宋" w:eastAsia="仿宋" w:cs="仿宋"/>
                <w:szCs w:val="21"/>
              </w:rPr>
            </w:pPr>
            <w:r>
              <w:rPr>
                <w:rFonts w:hint="eastAsia" w:ascii="仿宋" w:hAnsi="仿宋" w:eastAsia="仿宋" w:cs="仿宋"/>
                <w:szCs w:val="21"/>
              </w:rPr>
              <w:t>名称</w:t>
            </w:r>
          </w:p>
        </w:tc>
        <w:tc>
          <w:tcPr>
            <w:tcW w:w="1491" w:type="dxa"/>
            <w:noWrap w:val="0"/>
            <w:vAlign w:val="top"/>
          </w:tcPr>
          <w:p w14:paraId="5B9FD16A">
            <w:pPr>
              <w:ind w:firstLine="420"/>
              <w:jc w:val="center"/>
              <w:rPr>
                <w:rFonts w:hint="eastAsia" w:ascii="仿宋" w:hAnsi="仿宋" w:eastAsia="仿宋" w:cs="仿宋"/>
                <w:szCs w:val="21"/>
              </w:rPr>
            </w:pPr>
            <w:r>
              <w:rPr>
                <w:rFonts w:hint="eastAsia" w:ascii="仿宋" w:hAnsi="仿宋" w:eastAsia="仿宋" w:cs="仿宋"/>
                <w:szCs w:val="21"/>
              </w:rPr>
              <w:t>份数</w:t>
            </w:r>
          </w:p>
        </w:tc>
        <w:tc>
          <w:tcPr>
            <w:tcW w:w="2147" w:type="dxa"/>
            <w:noWrap w:val="0"/>
            <w:vAlign w:val="top"/>
          </w:tcPr>
          <w:p w14:paraId="75163DF3">
            <w:pPr>
              <w:ind w:firstLine="420"/>
              <w:jc w:val="center"/>
              <w:rPr>
                <w:rFonts w:hint="eastAsia" w:ascii="仿宋" w:hAnsi="仿宋" w:eastAsia="仿宋" w:cs="仿宋"/>
                <w:szCs w:val="21"/>
              </w:rPr>
            </w:pPr>
            <w:r>
              <w:rPr>
                <w:rFonts w:hint="eastAsia" w:ascii="仿宋" w:hAnsi="仿宋" w:eastAsia="仿宋" w:cs="仿宋"/>
                <w:szCs w:val="21"/>
              </w:rPr>
              <w:t>提供时间</w:t>
            </w:r>
          </w:p>
        </w:tc>
        <w:tc>
          <w:tcPr>
            <w:tcW w:w="2082" w:type="dxa"/>
            <w:noWrap w:val="0"/>
            <w:vAlign w:val="top"/>
          </w:tcPr>
          <w:p w14:paraId="07359948">
            <w:pPr>
              <w:ind w:firstLine="420"/>
              <w:jc w:val="center"/>
              <w:rPr>
                <w:rFonts w:hint="eastAsia" w:ascii="仿宋" w:hAnsi="仿宋" w:eastAsia="仿宋" w:cs="仿宋"/>
                <w:szCs w:val="21"/>
              </w:rPr>
            </w:pPr>
            <w:r>
              <w:rPr>
                <w:rFonts w:hint="eastAsia" w:ascii="仿宋" w:hAnsi="仿宋" w:eastAsia="仿宋" w:cs="仿宋"/>
                <w:szCs w:val="21"/>
              </w:rPr>
              <w:t>备注</w:t>
            </w:r>
          </w:p>
        </w:tc>
      </w:tr>
      <w:tr w14:paraId="1FA2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6A15B14C">
            <w:pPr>
              <w:ind w:firstLine="420"/>
              <w:rPr>
                <w:rFonts w:hint="eastAsia" w:ascii="仿宋" w:hAnsi="仿宋" w:eastAsia="仿宋" w:cs="仿宋"/>
                <w:szCs w:val="21"/>
              </w:rPr>
            </w:pPr>
            <w:r>
              <w:rPr>
                <w:rFonts w:hint="eastAsia" w:ascii="仿宋" w:hAnsi="仿宋" w:eastAsia="仿宋" w:cs="仿宋"/>
                <w:szCs w:val="21"/>
              </w:rPr>
              <w:t>1.工程立项文件</w:t>
            </w:r>
          </w:p>
        </w:tc>
        <w:tc>
          <w:tcPr>
            <w:tcW w:w="1491" w:type="dxa"/>
            <w:noWrap w:val="0"/>
            <w:vAlign w:val="top"/>
          </w:tcPr>
          <w:p w14:paraId="04D28200">
            <w:pPr>
              <w:ind w:firstLine="420"/>
              <w:rPr>
                <w:rFonts w:hint="eastAsia" w:ascii="仿宋" w:hAnsi="仿宋" w:eastAsia="仿宋" w:cs="仿宋"/>
                <w:szCs w:val="21"/>
              </w:rPr>
            </w:pPr>
          </w:p>
        </w:tc>
        <w:tc>
          <w:tcPr>
            <w:tcW w:w="2147" w:type="dxa"/>
            <w:noWrap w:val="0"/>
            <w:vAlign w:val="top"/>
          </w:tcPr>
          <w:p w14:paraId="1DC6AC86">
            <w:pPr>
              <w:ind w:firstLine="420"/>
              <w:rPr>
                <w:rFonts w:hint="eastAsia" w:ascii="仿宋" w:hAnsi="仿宋" w:eastAsia="仿宋" w:cs="仿宋"/>
                <w:szCs w:val="21"/>
              </w:rPr>
            </w:pPr>
          </w:p>
        </w:tc>
        <w:tc>
          <w:tcPr>
            <w:tcW w:w="2082" w:type="dxa"/>
            <w:noWrap w:val="0"/>
            <w:vAlign w:val="top"/>
          </w:tcPr>
          <w:p w14:paraId="3DCF7DF4">
            <w:pPr>
              <w:ind w:firstLine="420"/>
              <w:rPr>
                <w:rFonts w:hint="eastAsia" w:ascii="仿宋" w:hAnsi="仿宋" w:eastAsia="仿宋" w:cs="仿宋"/>
                <w:szCs w:val="21"/>
              </w:rPr>
            </w:pPr>
          </w:p>
        </w:tc>
      </w:tr>
      <w:tr w14:paraId="3315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6179FE36">
            <w:pPr>
              <w:ind w:firstLine="420"/>
              <w:rPr>
                <w:rFonts w:hint="eastAsia" w:ascii="仿宋" w:hAnsi="仿宋" w:eastAsia="仿宋" w:cs="仿宋"/>
                <w:szCs w:val="21"/>
              </w:rPr>
            </w:pPr>
            <w:r>
              <w:rPr>
                <w:rFonts w:hint="eastAsia" w:ascii="仿宋" w:hAnsi="仿宋" w:eastAsia="仿宋" w:cs="仿宋"/>
                <w:szCs w:val="21"/>
              </w:rPr>
              <w:t>2.工程勘察文件</w:t>
            </w:r>
          </w:p>
        </w:tc>
        <w:tc>
          <w:tcPr>
            <w:tcW w:w="1491" w:type="dxa"/>
            <w:noWrap w:val="0"/>
            <w:vAlign w:val="top"/>
          </w:tcPr>
          <w:p w14:paraId="1CFB479C">
            <w:pPr>
              <w:ind w:firstLine="420"/>
              <w:rPr>
                <w:rFonts w:hint="eastAsia" w:ascii="仿宋" w:hAnsi="仿宋" w:eastAsia="仿宋" w:cs="仿宋"/>
                <w:szCs w:val="21"/>
              </w:rPr>
            </w:pPr>
          </w:p>
        </w:tc>
        <w:tc>
          <w:tcPr>
            <w:tcW w:w="2147" w:type="dxa"/>
            <w:noWrap w:val="0"/>
            <w:vAlign w:val="top"/>
          </w:tcPr>
          <w:p w14:paraId="5B2305F6">
            <w:pPr>
              <w:ind w:firstLine="420"/>
              <w:rPr>
                <w:rFonts w:hint="eastAsia" w:ascii="仿宋" w:hAnsi="仿宋" w:eastAsia="仿宋" w:cs="仿宋"/>
                <w:szCs w:val="21"/>
              </w:rPr>
            </w:pPr>
          </w:p>
        </w:tc>
        <w:tc>
          <w:tcPr>
            <w:tcW w:w="2082" w:type="dxa"/>
            <w:noWrap w:val="0"/>
            <w:vAlign w:val="top"/>
          </w:tcPr>
          <w:p w14:paraId="1B1155C0">
            <w:pPr>
              <w:ind w:firstLine="420"/>
              <w:rPr>
                <w:rFonts w:hint="eastAsia" w:ascii="仿宋" w:hAnsi="仿宋" w:eastAsia="仿宋" w:cs="仿宋"/>
                <w:szCs w:val="21"/>
              </w:rPr>
            </w:pPr>
          </w:p>
        </w:tc>
      </w:tr>
      <w:tr w14:paraId="3BCA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67AB92D">
            <w:pPr>
              <w:ind w:firstLine="420"/>
              <w:rPr>
                <w:rFonts w:hint="eastAsia" w:ascii="仿宋" w:hAnsi="仿宋" w:eastAsia="仿宋" w:cs="仿宋"/>
                <w:szCs w:val="21"/>
              </w:rPr>
            </w:pPr>
            <w:r>
              <w:rPr>
                <w:rFonts w:hint="eastAsia" w:ascii="仿宋" w:hAnsi="仿宋" w:eastAsia="仿宋" w:cs="仿宋"/>
                <w:szCs w:val="21"/>
              </w:rPr>
              <w:t>3.工程设计及施工图纸</w:t>
            </w:r>
          </w:p>
        </w:tc>
        <w:tc>
          <w:tcPr>
            <w:tcW w:w="1491" w:type="dxa"/>
            <w:noWrap w:val="0"/>
            <w:vAlign w:val="top"/>
          </w:tcPr>
          <w:p w14:paraId="73EA97B3">
            <w:pPr>
              <w:ind w:firstLine="420"/>
              <w:rPr>
                <w:rFonts w:hint="eastAsia" w:ascii="仿宋" w:hAnsi="仿宋" w:eastAsia="仿宋" w:cs="仿宋"/>
                <w:szCs w:val="21"/>
              </w:rPr>
            </w:pPr>
          </w:p>
        </w:tc>
        <w:tc>
          <w:tcPr>
            <w:tcW w:w="2147" w:type="dxa"/>
            <w:noWrap w:val="0"/>
            <w:vAlign w:val="top"/>
          </w:tcPr>
          <w:p w14:paraId="6CA3D1A7">
            <w:pPr>
              <w:ind w:firstLine="420"/>
              <w:rPr>
                <w:rFonts w:hint="eastAsia" w:ascii="仿宋" w:hAnsi="仿宋" w:eastAsia="仿宋" w:cs="仿宋"/>
                <w:szCs w:val="21"/>
              </w:rPr>
            </w:pPr>
          </w:p>
        </w:tc>
        <w:tc>
          <w:tcPr>
            <w:tcW w:w="2082" w:type="dxa"/>
            <w:noWrap w:val="0"/>
            <w:vAlign w:val="top"/>
          </w:tcPr>
          <w:p w14:paraId="2BEAC595">
            <w:pPr>
              <w:ind w:firstLine="420"/>
              <w:rPr>
                <w:rFonts w:hint="eastAsia" w:ascii="仿宋" w:hAnsi="仿宋" w:eastAsia="仿宋" w:cs="仿宋"/>
                <w:szCs w:val="21"/>
              </w:rPr>
            </w:pPr>
          </w:p>
        </w:tc>
      </w:tr>
      <w:tr w14:paraId="0A8A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49C02C2">
            <w:pPr>
              <w:ind w:firstLine="420"/>
              <w:rPr>
                <w:rFonts w:hint="eastAsia" w:ascii="仿宋" w:hAnsi="仿宋" w:eastAsia="仿宋" w:cs="仿宋"/>
                <w:szCs w:val="21"/>
              </w:rPr>
            </w:pPr>
            <w:r>
              <w:rPr>
                <w:rFonts w:hint="eastAsia" w:ascii="仿宋" w:hAnsi="仿宋" w:eastAsia="仿宋" w:cs="仿宋"/>
                <w:szCs w:val="21"/>
              </w:rPr>
              <w:t>4.工程承包合同及其他相关合同</w:t>
            </w:r>
          </w:p>
        </w:tc>
        <w:tc>
          <w:tcPr>
            <w:tcW w:w="1491" w:type="dxa"/>
            <w:noWrap w:val="0"/>
            <w:vAlign w:val="top"/>
          </w:tcPr>
          <w:p w14:paraId="714ED7FD">
            <w:pPr>
              <w:ind w:firstLine="420"/>
              <w:rPr>
                <w:rFonts w:hint="eastAsia" w:ascii="仿宋" w:hAnsi="仿宋" w:eastAsia="仿宋" w:cs="仿宋"/>
                <w:szCs w:val="21"/>
              </w:rPr>
            </w:pPr>
          </w:p>
        </w:tc>
        <w:tc>
          <w:tcPr>
            <w:tcW w:w="2147" w:type="dxa"/>
            <w:noWrap w:val="0"/>
            <w:vAlign w:val="top"/>
          </w:tcPr>
          <w:p w14:paraId="28CC2AF9">
            <w:pPr>
              <w:ind w:firstLine="420"/>
              <w:rPr>
                <w:rFonts w:hint="eastAsia" w:ascii="仿宋" w:hAnsi="仿宋" w:eastAsia="仿宋" w:cs="仿宋"/>
                <w:szCs w:val="21"/>
              </w:rPr>
            </w:pPr>
          </w:p>
        </w:tc>
        <w:tc>
          <w:tcPr>
            <w:tcW w:w="2082" w:type="dxa"/>
            <w:noWrap w:val="0"/>
            <w:vAlign w:val="top"/>
          </w:tcPr>
          <w:p w14:paraId="138446EB">
            <w:pPr>
              <w:ind w:firstLine="420"/>
              <w:rPr>
                <w:rFonts w:hint="eastAsia" w:ascii="仿宋" w:hAnsi="仿宋" w:eastAsia="仿宋" w:cs="仿宋"/>
                <w:szCs w:val="21"/>
              </w:rPr>
            </w:pPr>
          </w:p>
        </w:tc>
      </w:tr>
      <w:tr w14:paraId="2BF3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06A1C11E">
            <w:pPr>
              <w:ind w:firstLine="420"/>
              <w:rPr>
                <w:rFonts w:hint="eastAsia" w:ascii="仿宋" w:hAnsi="仿宋" w:eastAsia="仿宋" w:cs="仿宋"/>
                <w:szCs w:val="21"/>
              </w:rPr>
            </w:pPr>
            <w:r>
              <w:rPr>
                <w:rFonts w:hint="eastAsia" w:ascii="仿宋" w:hAnsi="仿宋" w:eastAsia="仿宋" w:cs="仿宋"/>
                <w:szCs w:val="21"/>
              </w:rPr>
              <w:t>5.施工许可文件</w:t>
            </w:r>
          </w:p>
        </w:tc>
        <w:tc>
          <w:tcPr>
            <w:tcW w:w="1491" w:type="dxa"/>
            <w:noWrap w:val="0"/>
            <w:vAlign w:val="top"/>
          </w:tcPr>
          <w:p w14:paraId="5F29FBDF">
            <w:pPr>
              <w:ind w:firstLine="420"/>
              <w:rPr>
                <w:rFonts w:hint="eastAsia" w:ascii="仿宋" w:hAnsi="仿宋" w:eastAsia="仿宋" w:cs="仿宋"/>
                <w:szCs w:val="21"/>
              </w:rPr>
            </w:pPr>
          </w:p>
        </w:tc>
        <w:tc>
          <w:tcPr>
            <w:tcW w:w="2147" w:type="dxa"/>
            <w:noWrap w:val="0"/>
            <w:vAlign w:val="top"/>
          </w:tcPr>
          <w:p w14:paraId="5413EB9E">
            <w:pPr>
              <w:ind w:firstLine="420"/>
              <w:rPr>
                <w:rFonts w:hint="eastAsia" w:ascii="仿宋" w:hAnsi="仿宋" w:eastAsia="仿宋" w:cs="仿宋"/>
                <w:szCs w:val="21"/>
              </w:rPr>
            </w:pPr>
          </w:p>
        </w:tc>
        <w:tc>
          <w:tcPr>
            <w:tcW w:w="2082" w:type="dxa"/>
            <w:noWrap w:val="0"/>
            <w:vAlign w:val="top"/>
          </w:tcPr>
          <w:p w14:paraId="23380150">
            <w:pPr>
              <w:ind w:firstLine="420"/>
              <w:rPr>
                <w:rFonts w:hint="eastAsia" w:ascii="仿宋" w:hAnsi="仿宋" w:eastAsia="仿宋" w:cs="仿宋"/>
                <w:szCs w:val="21"/>
              </w:rPr>
            </w:pPr>
          </w:p>
        </w:tc>
      </w:tr>
      <w:tr w14:paraId="4137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52D15615">
            <w:pPr>
              <w:ind w:firstLine="420"/>
              <w:rPr>
                <w:rFonts w:hint="eastAsia" w:ascii="仿宋" w:hAnsi="仿宋" w:eastAsia="仿宋" w:cs="仿宋"/>
                <w:szCs w:val="21"/>
              </w:rPr>
            </w:pPr>
            <w:r>
              <w:rPr>
                <w:rFonts w:hint="eastAsia" w:ascii="仿宋" w:hAnsi="仿宋" w:eastAsia="仿宋" w:cs="仿宋"/>
                <w:szCs w:val="21"/>
              </w:rPr>
              <w:t>6.其他文件</w:t>
            </w:r>
          </w:p>
        </w:tc>
        <w:tc>
          <w:tcPr>
            <w:tcW w:w="1491" w:type="dxa"/>
            <w:noWrap w:val="0"/>
            <w:vAlign w:val="top"/>
          </w:tcPr>
          <w:p w14:paraId="19DADE3C">
            <w:pPr>
              <w:ind w:firstLine="420"/>
              <w:rPr>
                <w:rFonts w:hint="eastAsia" w:ascii="仿宋" w:hAnsi="仿宋" w:eastAsia="仿宋" w:cs="仿宋"/>
                <w:szCs w:val="21"/>
              </w:rPr>
            </w:pPr>
          </w:p>
        </w:tc>
        <w:tc>
          <w:tcPr>
            <w:tcW w:w="2147" w:type="dxa"/>
            <w:noWrap w:val="0"/>
            <w:vAlign w:val="top"/>
          </w:tcPr>
          <w:p w14:paraId="17081BE4">
            <w:pPr>
              <w:ind w:firstLine="420"/>
              <w:rPr>
                <w:rFonts w:hint="eastAsia" w:ascii="仿宋" w:hAnsi="仿宋" w:eastAsia="仿宋" w:cs="仿宋"/>
                <w:szCs w:val="21"/>
              </w:rPr>
            </w:pPr>
          </w:p>
        </w:tc>
        <w:tc>
          <w:tcPr>
            <w:tcW w:w="2082" w:type="dxa"/>
            <w:noWrap w:val="0"/>
            <w:vAlign w:val="top"/>
          </w:tcPr>
          <w:p w14:paraId="5C18D5A7">
            <w:pPr>
              <w:ind w:firstLine="420"/>
              <w:rPr>
                <w:rFonts w:hint="eastAsia" w:ascii="仿宋" w:hAnsi="仿宋" w:eastAsia="仿宋" w:cs="仿宋"/>
                <w:szCs w:val="21"/>
              </w:rPr>
            </w:pPr>
          </w:p>
        </w:tc>
      </w:tr>
      <w:tr w14:paraId="3611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top"/>
          </w:tcPr>
          <w:p w14:paraId="7F2CA8BE">
            <w:pPr>
              <w:ind w:firstLine="420"/>
              <w:rPr>
                <w:rFonts w:hint="eastAsia" w:ascii="仿宋" w:hAnsi="仿宋" w:eastAsia="仿宋" w:cs="仿宋"/>
                <w:szCs w:val="21"/>
              </w:rPr>
            </w:pPr>
          </w:p>
        </w:tc>
        <w:tc>
          <w:tcPr>
            <w:tcW w:w="1491" w:type="dxa"/>
            <w:noWrap w:val="0"/>
            <w:vAlign w:val="top"/>
          </w:tcPr>
          <w:p w14:paraId="71C9B454">
            <w:pPr>
              <w:ind w:firstLine="420"/>
              <w:rPr>
                <w:rFonts w:hint="eastAsia" w:ascii="仿宋" w:hAnsi="仿宋" w:eastAsia="仿宋" w:cs="仿宋"/>
                <w:szCs w:val="21"/>
              </w:rPr>
            </w:pPr>
          </w:p>
        </w:tc>
        <w:tc>
          <w:tcPr>
            <w:tcW w:w="2147" w:type="dxa"/>
            <w:noWrap w:val="0"/>
            <w:vAlign w:val="top"/>
          </w:tcPr>
          <w:p w14:paraId="079F689A">
            <w:pPr>
              <w:ind w:firstLine="420"/>
              <w:rPr>
                <w:rFonts w:hint="eastAsia" w:ascii="仿宋" w:hAnsi="仿宋" w:eastAsia="仿宋" w:cs="仿宋"/>
                <w:szCs w:val="21"/>
              </w:rPr>
            </w:pPr>
          </w:p>
        </w:tc>
        <w:tc>
          <w:tcPr>
            <w:tcW w:w="2082" w:type="dxa"/>
            <w:noWrap w:val="0"/>
            <w:vAlign w:val="top"/>
          </w:tcPr>
          <w:p w14:paraId="5487CF75">
            <w:pPr>
              <w:ind w:firstLine="420"/>
              <w:rPr>
                <w:rFonts w:hint="eastAsia" w:ascii="仿宋" w:hAnsi="仿宋" w:eastAsia="仿宋" w:cs="仿宋"/>
                <w:szCs w:val="21"/>
              </w:rPr>
            </w:pPr>
          </w:p>
        </w:tc>
      </w:tr>
    </w:tbl>
    <w:p w14:paraId="6D9BEEC1">
      <w:pPr>
        <w:pStyle w:val="4"/>
        <w:spacing w:line="360" w:lineRule="auto"/>
        <w:ind w:firstLine="480"/>
        <w:rPr>
          <w:rFonts w:hint="eastAsia" w:ascii="仿宋" w:hAnsi="仿宋" w:eastAsia="仿宋" w:cs="仿宋"/>
        </w:rPr>
      </w:pPr>
      <w:r>
        <w:rPr>
          <w:rFonts w:hint="eastAsia" w:ascii="仿宋" w:hAnsi="仿宋" w:eastAsia="仿宋" w:cs="仿宋"/>
        </w:rPr>
        <w:t>B-4委托人提供的设备</w:t>
      </w:r>
    </w:p>
    <w:tbl>
      <w:tblPr>
        <w:tblStyle w:val="3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1A46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0EB597C4">
            <w:pPr>
              <w:ind w:firstLine="420"/>
              <w:jc w:val="center"/>
              <w:rPr>
                <w:rFonts w:hint="eastAsia" w:ascii="仿宋" w:hAnsi="仿宋" w:eastAsia="仿宋" w:cs="仿宋"/>
                <w:szCs w:val="21"/>
              </w:rPr>
            </w:pPr>
            <w:r>
              <w:rPr>
                <w:rFonts w:hint="eastAsia" w:ascii="仿宋" w:hAnsi="仿宋" w:eastAsia="仿宋" w:cs="仿宋"/>
                <w:szCs w:val="21"/>
              </w:rPr>
              <w:t>名称</w:t>
            </w:r>
          </w:p>
        </w:tc>
        <w:tc>
          <w:tcPr>
            <w:tcW w:w="1590" w:type="dxa"/>
            <w:noWrap w:val="0"/>
            <w:vAlign w:val="top"/>
          </w:tcPr>
          <w:p w14:paraId="25B29691">
            <w:pPr>
              <w:ind w:firstLine="420"/>
              <w:jc w:val="center"/>
              <w:rPr>
                <w:rFonts w:hint="eastAsia" w:ascii="仿宋" w:hAnsi="仿宋" w:eastAsia="仿宋" w:cs="仿宋"/>
                <w:szCs w:val="21"/>
              </w:rPr>
            </w:pPr>
            <w:r>
              <w:rPr>
                <w:rFonts w:hint="eastAsia" w:ascii="仿宋" w:hAnsi="仿宋" w:eastAsia="仿宋" w:cs="仿宋"/>
                <w:szCs w:val="21"/>
              </w:rPr>
              <w:t>数量</w:t>
            </w:r>
          </w:p>
        </w:tc>
        <w:tc>
          <w:tcPr>
            <w:tcW w:w="2130" w:type="dxa"/>
            <w:noWrap w:val="0"/>
            <w:vAlign w:val="top"/>
          </w:tcPr>
          <w:p w14:paraId="42489512">
            <w:pPr>
              <w:ind w:firstLine="420"/>
              <w:jc w:val="center"/>
              <w:rPr>
                <w:rFonts w:hint="eastAsia" w:ascii="仿宋" w:hAnsi="仿宋" w:eastAsia="仿宋" w:cs="仿宋"/>
                <w:szCs w:val="21"/>
              </w:rPr>
            </w:pPr>
            <w:r>
              <w:rPr>
                <w:rFonts w:hint="eastAsia" w:ascii="仿宋" w:hAnsi="仿宋" w:eastAsia="仿宋" w:cs="仿宋"/>
                <w:szCs w:val="21"/>
              </w:rPr>
              <w:t>型号与规格</w:t>
            </w:r>
          </w:p>
        </w:tc>
        <w:tc>
          <w:tcPr>
            <w:tcW w:w="1860" w:type="dxa"/>
            <w:noWrap w:val="0"/>
            <w:vAlign w:val="top"/>
          </w:tcPr>
          <w:p w14:paraId="55CCD76C">
            <w:pPr>
              <w:ind w:firstLine="420"/>
              <w:jc w:val="center"/>
              <w:rPr>
                <w:rFonts w:hint="eastAsia" w:ascii="仿宋" w:hAnsi="仿宋" w:eastAsia="仿宋" w:cs="仿宋"/>
                <w:szCs w:val="21"/>
              </w:rPr>
            </w:pPr>
            <w:r>
              <w:rPr>
                <w:rFonts w:hint="eastAsia" w:ascii="仿宋" w:hAnsi="仿宋" w:eastAsia="仿宋" w:cs="仿宋"/>
                <w:szCs w:val="21"/>
              </w:rPr>
              <w:t>提供时间</w:t>
            </w:r>
          </w:p>
        </w:tc>
      </w:tr>
      <w:tr w14:paraId="77D54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42C33A0A">
            <w:pPr>
              <w:ind w:firstLine="420"/>
              <w:rPr>
                <w:rFonts w:hint="eastAsia" w:ascii="仿宋" w:hAnsi="仿宋" w:eastAsia="仿宋" w:cs="仿宋"/>
                <w:szCs w:val="21"/>
              </w:rPr>
            </w:pPr>
            <w:r>
              <w:rPr>
                <w:rFonts w:hint="eastAsia" w:ascii="仿宋" w:hAnsi="仿宋" w:eastAsia="仿宋" w:cs="仿宋"/>
                <w:szCs w:val="21"/>
              </w:rPr>
              <w:t>1.通讯设备</w:t>
            </w:r>
          </w:p>
        </w:tc>
        <w:tc>
          <w:tcPr>
            <w:tcW w:w="1590" w:type="dxa"/>
            <w:noWrap w:val="0"/>
            <w:vAlign w:val="top"/>
          </w:tcPr>
          <w:p w14:paraId="281D0AF5">
            <w:pPr>
              <w:ind w:firstLine="420"/>
              <w:rPr>
                <w:rFonts w:hint="eastAsia" w:ascii="仿宋" w:hAnsi="仿宋" w:eastAsia="仿宋" w:cs="仿宋"/>
                <w:szCs w:val="21"/>
              </w:rPr>
            </w:pPr>
          </w:p>
        </w:tc>
        <w:tc>
          <w:tcPr>
            <w:tcW w:w="2130" w:type="dxa"/>
            <w:noWrap w:val="0"/>
            <w:vAlign w:val="top"/>
          </w:tcPr>
          <w:p w14:paraId="7408B91D">
            <w:pPr>
              <w:ind w:firstLine="420"/>
              <w:rPr>
                <w:rFonts w:hint="eastAsia" w:ascii="仿宋" w:hAnsi="仿宋" w:eastAsia="仿宋" w:cs="仿宋"/>
                <w:szCs w:val="21"/>
              </w:rPr>
            </w:pPr>
          </w:p>
        </w:tc>
        <w:tc>
          <w:tcPr>
            <w:tcW w:w="1860" w:type="dxa"/>
            <w:noWrap w:val="0"/>
            <w:vAlign w:val="top"/>
          </w:tcPr>
          <w:p w14:paraId="54A45D2D">
            <w:pPr>
              <w:ind w:firstLine="420"/>
              <w:rPr>
                <w:rFonts w:hint="eastAsia" w:ascii="仿宋" w:hAnsi="仿宋" w:eastAsia="仿宋" w:cs="仿宋"/>
                <w:szCs w:val="21"/>
              </w:rPr>
            </w:pPr>
          </w:p>
        </w:tc>
      </w:tr>
      <w:tr w14:paraId="3D4E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016CF313">
            <w:pPr>
              <w:ind w:firstLine="420"/>
              <w:rPr>
                <w:rFonts w:hint="eastAsia" w:ascii="仿宋" w:hAnsi="仿宋" w:eastAsia="仿宋" w:cs="仿宋"/>
                <w:szCs w:val="21"/>
              </w:rPr>
            </w:pPr>
            <w:r>
              <w:rPr>
                <w:rFonts w:hint="eastAsia" w:ascii="仿宋" w:hAnsi="仿宋" w:eastAsia="仿宋" w:cs="仿宋"/>
                <w:szCs w:val="21"/>
              </w:rPr>
              <w:t>2.办公设备</w:t>
            </w:r>
          </w:p>
        </w:tc>
        <w:tc>
          <w:tcPr>
            <w:tcW w:w="1590" w:type="dxa"/>
            <w:noWrap w:val="0"/>
            <w:vAlign w:val="top"/>
          </w:tcPr>
          <w:p w14:paraId="07B0C8C2">
            <w:pPr>
              <w:ind w:firstLine="420"/>
              <w:rPr>
                <w:rFonts w:hint="eastAsia" w:ascii="仿宋" w:hAnsi="仿宋" w:eastAsia="仿宋" w:cs="仿宋"/>
                <w:szCs w:val="21"/>
              </w:rPr>
            </w:pPr>
          </w:p>
        </w:tc>
        <w:tc>
          <w:tcPr>
            <w:tcW w:w="2130" w:type="dxa"/>
            <w:noWrap w:val="0"/>
            <w:vAlign w:val="top"/>
          </w:tcPr>
          <w:p w14:paraId="73C929D4">
            <w:pPr>
              <w:ind w:firstLine="420"/>
              <w:rPr>
                <w:rFonts w:hint="eastAsia" w:ascii="仿宋" w:hAnsi="仿宋" w:eastAsia="仿宋" w:cs="仿宋"/>
                <w:szCs w:val="21"/>
              </w:rPr>
            </w:pPr>
          </w:p>
        </w:tc>
        <w:tc>
          <w:tcPr>
            <w:tcW w:w="1860" w:type="dxa"/>
            <w:noWrap w:val="0"/>
            <w:vAlign w:val="top"/>
          </w:tcPr>
          <w:p w14:paraId="175C48DC">
            <w:pPr>
              <w:ind w:firstLine="420"/>
              <w:rPr>
                <w:rFonts w:hint="eastAsia" w:ascii="仿宋" w:hAnsi="仿宋" w:eastAsia="仿宋" w:cs="仿宋"/>
                <w:szCs w:val="21"/>
              </w:rPr>
            </w:pPr>
          </w:p>
        </w:tc>
      </w:tr>
      <w:tr w14:paraId="493E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50578E83">
            <w:pPr>
              <w:ind w:firstLine="420"/>
              <w:rPr>
                <w:rFonts w:hint="eastAsia" w:ascii="仿宋" w:hAnsi="仿宋" w:eastAsia="仿宋" w:cs="仿宋"/>
                <w:szCs w:val="21"/>
              </w:rPr>
            </w:pPr>
            <w:r>
              <w:rPr>
                <w:rFonts w:hint="eastAsia" w:ascii="仿宋" w:hAnsi="仿宋" w:eastAsia="仿宋" w:cs="仿宋"/>
                <w:szCs w:val="21"/>
              </w:rPr>
              <w:t>3.交通工具</w:t>
            </w:r>
          </w:p>
        </w:tc>
        <w:tc>
          <w:tcPr>
            <w:tcW w:w="1590" w:type="dxa"/>
            <w:noWrap w:val="0"/>
            <w:vAlign w:val="top"/>
          </w:tcPr>
          <w:p w14:paraId="566E0D45">
            <w:pPr>
              <w:ind w:firstLine="420"/>
              <w:rPr>
                <w:rFonts w:hint="eastAsia" w:ascii="仿宋" w:hAnsi="仿宋" w:eastAsia="仿宋" w:cs="仿宋"/>
                <w:szCs w:val="21"/>
              </w:rPr>
            </w:pPr>
          </w:p>
        </w:tc>
        <w:tc>
          <w:tcPr>
            <w:tcW w:w="2130" w:type="dxa"/>
            <w:noWrap w:val="0"/>
            <w:vAlign w:val="top"/>
          </w:tcPr>
          <w:p w14:paraId="185B70B7">
            <w:pPr>
              <w:ind w:firstLine="420"/>
              <w:rPr>
                <w:rFonts w:hint="eastAsia" w:ascii="仿宋" w:hAnsi="仿宋" w:eastAsia="仿宋" w:cs="仿宋"/>
                <w:szCs w:val="21"/>
              </w:rPr>
            </w:pPr>
          </w:p>
        </w:tc>
        <w:tc>
          <w:tcPr>
            <w:tcW w:w="1860" w:type="dxa"/>
            <w:noWrap w:val="0"/>
            <w:vAlign w:val="top"/>
          </w:tcPr>
          <w:p w14:paraId="1D79858B">
            <w:pPr>
              <w:ind w:firstLine="420"/>
              <w:rPr>
                <w:rFonts w:hint="eastAsia" w:ascii="仿宋" w:hAnsi="仿宋" w:eastAsia="仿宋" w:cs="仿宋"/>
                <w:szCs w:val="21"/>
              </w:rPr>
            </w:pPr>
          </w:p>
        </w:tc>
      </w:tr>
      <w:tr w14:paraId="684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1F787482">
            <w:pPr>
              <w:ind w:firstLine="420"/>
              <w:rPr>
                <w:rFonts w:hint="eastAsia" w:ascii="仿宋" w:hAnsi="仿宋" w:eastAsia="仿宋" w:cs="仿宋"/>
                <w:szCs w:val="21"/>
              </w:rPr>
            </w:pPr>
            <w:r>
              <w:rPr>
                <w:rFonts w:hint="eastAsia" w:ascii="仿宋" w:hAnsi="仿宋" w:eastAsia="仿宋" w:cs="仿宋"/>
                <w:szCs w:val="21"/>
              </w:rPr>
              <w:t>4.检测和试验设备</w:t>
            </w:r>
          </w:p>
        </w:tc>
        <w:tc>
          <w:tcPr>
            <w:tcW w:w="1590" w:type="dxa"/>
            <w:noWrap w:val="0"/>
            <w:vAlign w:val="top"/>
          </w:tcPr>
          <w:p w14:paraId="621DF01A">
            <w:pPr>
              <w:ind w:firstLine="420"/>
              <w:rPr>
                <w:rFonts w:hint="eastAsia" w:ascii="仿宋" w:hAnsi="仿宋" w:eastAsia="仿宋" w:cs="仿宋"/>
                <w:szCs w:val="21"/>
              </w:rPr>
            </w:pPr>
          </w:p>
        </w:tc>
        <w:tc>
          <w:tcPr>
            <w:tcW w:w="2130" w:type="dxa"/>
            <w:noWrap w:val="0"/>
            <w:vAlign w:val="top"/>
          </w:tcPr>
          <w:p w14:paraId="178F0743">
            <w:pPr>
              <w:ind w:firstLine="420"/>
              <w:rPr>
                <w:rFonts w:hint="eastAsia" w:ascii="仿宋" w:hAnsi="仿宋" w:eastAsia="仿宋" w:cs="仿宋"/>
                <w:szCs w:val="21"/>
              </w:rPr>
            </w:pPr>
          </w:p>
        </w:tc>
        <w:tc>
          <w:tcPr>
            <w:tcW w:w="1860" w:type="dxa"/>
            <w:noWrap w:val="0"/>
            <w:vAlign w:val="top"/>
          </w:tcPr>
          <w:p w14:paraId="4A09CC51">
            <w:pPr>
              <w:ind w:firstLine="420"/>
              <w:rPr>
                <w:rFonts w:hint="eastAsia" w:ascii="仿宋" w:hAnsi="仿宋" w:eastAsia="仿宋" w:cs="仿宋"/>
                <w:szCs w:val="21"/>
              </w:rPr>
            </w:pPr>
          </w:p>
        </w:tc>
      </w:tr>
      <w:tr w14:paraId="24EF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top"/>
          </w:tcPr>
          <w:p w14:paraId="1DC0246A">
            <w:pPr>
              <w:ind w:firstLine="420"/>
              <w:rPr>
                <w:rFonts w:hint="eastAsia" w:ascii="仿宋" w:hAnsi="仿宋" w:eastAsia="仿宋" w:cs="仿宋"/>
                <w:szCs w:val="21"/>
              </w:rPr>
            </w:pPr>
          </w:p>
        </w:tc>
        <w:tc>
          <w:tcPr>
            <w:tcW w:w="1590" w:type="dxa"/>
            <w:noWrap w:val="0"/>
            <w:vAlign w:val="top"/>
          </w:tcPr>
          <w:p w14:paraId="448BF048">
            <w:pPr>
              <w:ind w:firstLine="420"/>
              <w:rPr>
                <w:rFonts w:hint="eastAsia" w:ascii="仿宋" w:hAnsi="仿宋" w:eastAsia="仿宋" w:cs="仿宋"/>
                <w:szCs w:val="21"/>
              </w:rPr>
            </w:pPr>
          </w:p>
        </w:tc>
        <w:tc>
          <w:tcPr>
            <w:tcW w:w="2130" w:type="dxa"/>
            <w:noWrap w:val="0"/>
            <w:vAlign w:val="top"/>
          </w:tcPr>
          <w:p w14:paraId="6D0CF589">
            <w:pPr>
              <w:ind w:firstLine="420"/>
              <w:rPr>
                <w:rFonts w:hint="eastAsia" w:ascii="仿宋" w:hAnsi="仿宋" w:eastAsia="仿宋" w:cs="仿宋"/>
                <w:szCs w:val="21"/>
              </w:rPr>
            </w:pPr>
          </w:p>
        </w:tc>
        <w:tc>
          <w:tcPr>
            <w:tcW w:w="1860" w:type="dxa"/>
            <w:noWrap w:val="0"/>
            <w:vAlign w:val="top"/>
          </w:tcPr>
          <w:p w14:paraId="1C739DA9">
            <w:pPr>
              <w:ind w:firstLine="420"/>
              <w:rPr>
                <w:rFonts w:hint="eastAsia" w:ascii="仿宋" w:hAnsi="仿宋" w:eastAsia="仿宋" w:cs="仿宋"/>
                <w:szCs w:val="21"/>
              </w:rPr>
            </w:pPr>
          </w:p>
        </w:tc>
      </w:tr>
    </w:tbl>
    <w:p w14:paraId="6E578765">
      <w:pPr>
        <w:ind w:firstLine="420"/>
        <w:jc w:val="center"/>
        <w:rPr>
          <w:rFonts w:hint="eastAsia" w:ascii="仿宋" w:hAnsi="仿宋" w:eastAsia="仿宋" w:cs="仿宋"/>
          <w:szCs w:val="21"/>
        </w:rPr>
      </w:pPr>
    </w:p>
    <w:p w14:paraId="7CC4ACE9">
      <w:pPr>
        <w:ind w:firstLine="420"/>
        <w:jc w:val="center"/>
        <w:rPr>
          <w:rFonts w:hint="eastAsia" w:ascii="仿宋" w:hAnsi="仿宋" w:eastAsia="仿宋" w:cs="仿宋"/>
          <w:szCs w:val="21"/>
        </w:rPr>
      </w:pPr>
    </w:p>
    <w:bookmarkEnd w:id="23"/>
    <w:p w14:paraId="3237CDA4">
      <w:pPr>
        <w:ind w:firstLine="420"/>
        <w:jc w:val="center"/>
        <w:rPr>
          <w:rFonts w:hint="eastAsia" w:ascii="仿宋" w:hAnsi="仿宋" w:eastAsia="仿宋" w:cs="仿宋"/>
          <w:szCs w:val="21"/>
        </w:rPr>
      </w:pPr>
    </w:p>
    <w:p w14:paraId="50B75F83">
      <w:pPr>
        <w:ind w:firstLine="420"/>
        <w:jc w:val="center"/>
        <w:rPr>
          <w:rFonts w:hint="eastAsia" w:ascii="仿宋" w:hAnsi="仿宋" w:eastAsia="仿宋" w:cs="仿宋"/>
          <w:szCs w:val="21"/>
        </w:rPr>
      </w:pPr>
    </w:p>
    <w:p w14:paraId="04099F84">
      <w:pPr>
        <w:ind w:firstLine="420"/>
        <w:jc w:val="center"/>
        <w:rPr>
          <w:rFonts w:hint="eastAsia" w:ascii="仿宋" w:hAnsi="仿宋" w:eastAsia="仿宋" w:cs="仿宋"/>
          <w:szCs w:val="21"/>
        </w:rPr>
      </w:pPr>
    </w:p>
    <w:p w14:paraId="2BA15B87">
      <w:pPr>
        <w:rPr>
          <w:rFonts w:hint="eastAsia" w:ascii="仿宋" w:hAnsi="仿宋" w:eastAsia="仿宋" w:cs="仿宋"/>
          <w:color w:val="000000"/>
        </w:rPr>
      </w:pPr>
    </w:p>
    <w:p w14:paraId="6EE471EA">
      <w:pPr>
        <w:jc w:val="center"/>
        <w:rPr>
          <w:rFonts w:hint="eastAsia" w:ascii="仿宋" w:hAnsi="仿宋" w:eastAsia="仿宋" w:cs="仿宋"/>
          <w:b/>
          <w:color w:val="000000"/>
          <w:sz w:val="28"/>
          <w:szCs w:val="28"/>
        </w:rPr>
      </w:pPr>
      <w:bookmarkStart w:id="49" w:name="_Toc407120835"/>
      <w:r>
        <w:rPr>
          <w:rFonts w:hint="eastAsia" w:ascii="仿宋" w:hAnsi="仿宋" w:eastAsia="仿宋" w:cs="仿宋"/>
          <w:b/>
          <w:color w:val="000000"/>
          <w:sz w:val="28"/>
          <w:szCs w:val="28"/>
        </w:rPr>
        <w:t>拟选派项目监理机构人员一览表</w:t>
      </w:r>
      <w:bookmarkEnd w:id="49"/>
    </w:p>
    <w:tbl>
      <w:tblPr>
        <w:tblStyle w:val="36"/>
        <w:tblW w:w="9363"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873"/>
        <w:gridCol w:w="695"/>
        <w:gridCol w:w="900"/>
        <w:gridCol w:w="723"/>
        <w:gridCol w:w="1064"/>
        <w:gridCol w:w="722"/>
        <w:gridCol w:w="1888"/>
        <w:gridCol w:w="851"/>
        <w:gridCol w:w="992"/>
      </w:tblGrid>
      <w:tr w14:paraId="6723E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0" w:hRule="atLeast"/>
        </w:trPr>
        <w:tc>
          <w:tcPr>
            <w:tcW w:w="655" w:type="dxa"/>
            <w:vMerge w:val="restart"/>
            <w:tcBorders>
              <w:top w:val="single" w:color="000000" w:sz="4" w:space="0"/>
              <w:left w:val="single" w:color="000000" w:sz="4" w:space="0"/>
              <w:bottom w:val="single" w:color="000000" w:sz="4" w:space="0"/>
              <w:right w:val="single" w:color="000000" w:sz="4" w:space="0"/>
            </w:tcBorders>
            <w:noWrap w:val="0"/>
            <w:vAlign w:val="center"/>
          </w:tcPr>
          <w:p w14:paraId="312B5474">
            <w:pPr>
              <w:spacing w:line="300" w:lineRule="exact"/>
              <w:jc w:val="center"/>
              <w:rPr>
                <w:rFonts w:hint="eastAsia" w:ascii="仿宋" w:hAnsi="仿宋" w:eastAsia="仿宋" w:cs="仿宋"/>
                <w:b/>
                <w:color w:val="000000"/>
                <w:szCs w:val="21"/>
              </w:rPr>
            </w:pPr>
            <w:r>
              <w:rPr>
                <w:rFonts w:hint="eastAsia" w:ascii="仿宋" w:hAnsi="仿宋" w:eastAsia="仿宋" w:cs="仿宋"/>
                <w:b/>
                <w:color w:val="000000"/>
                <w:szCs w:val="21"/>
              </w:rPr>
              <w:t>拟任</w:t>
            </w:r>
          </w:p>
          <w:p w14:paraId="7F10E290">
            <w:pPr>
              <w:spacing w:line="300" w:lineRule="exact"/>
              <w:jc w:val="center"/>
              <w:rPr>
                <w:rFonts w:hint="eastAsia" w:ascii="仿宋" w:hAnsi="仿宋" w:eastAsia="仿宋" w:cs="仿宋"/>
                <w:b/>
                <w:color w:val="000000"/>
                <w:szCs w:val="21"/>
              </w:rPr>
            </w:pPr>
            <w:r>
              <w:rPr>
                <w:rFonts w:hint="eastAsia" w:ascii="仿宋" w:hAnsi="仿宋" w:eastAsia="仿宋" w:cs="仿宋"/>
                <w:b/>
                <w:color w:val="000000"/>
                <w:szCs w:val="21"/>
              </w:rPr>
              <w:t>岗位</w:t>
            </w:r>
          </w:p>
        </w:tc>
        <w:tc>
          <w:tcPr>
            <w:tcW w:w="873" w:type="dxa"/>
            <w:vMerge w:val="restart"/>
            <w:tcBorders>
              <w:top w:val="single" w:color="000000" w:sz="4" w:space="0"/>
              <w:left w:val="single" w:color="000000" w:sz="4" w:space="0"/>
              <w:bottom w:val="single" w:color="000000" w:sz="4" w:space="0"/>
              <w:right w:val="single" w:color="000000" w:sz="4" w:space="0"/>
            </w:tcBorders>
            <w:noWrap w:val="0"/>
            <w:vAlign w:val="center"/>
          </w:tcPr>
          <w:p w14:paraId="7F23CEF6">
            <w:pPr>
              <w:spacing w:line="300" w:lineRule="exact"/>
              <w:jc w:val="center"/>
              <w:rPr>
                <w:rFonts w:hint="eastAsia" w:ascii="仿宋" w:hAnsi="仿宋" w:eastAsia="仿宋" w:cs="仿宋"/>
                <w:b/>
                <w:color w:val="000000"/>
                <w:szCs w:val="21"/>
              </w:rPr>
            </w:pPr>
            <w:r>
              <w:rPr>
                <w:rFonts w:hint="eastAsia" w:ascii="仿宋" w:hAnsi="仿宋" w:eastAsia="仿宋" w:cs="仿宋"/>
                <w:b/>
                <w:color w:val="000000"/>
                <w:szCs w:val="21"/>
              </w:rPr>
              <w:t>姓名</w:t>
            </w:r>
          </w:p>
        </w:tc>
        <w:tc>
          <w:tcPr>
            <w:tcW w:w="695" w:type="dxa"/>
            <w:vMerge w:val="restart"/>
            <w:tcBorders>
              <w:top w:val="single" w:color="000000" w:sz="4" w:space="0"/>
              <w:left w:val="single" w:color="000000" w:sz="4" w:space="0"/>
              <w:bottom w:val="single" w:color="000000" w:sz="4" w:space="0"/>
              <w:right w:val="single" w:color="000000" w:sz="4" w:space="0"/>
            </w:tcBorders>
            <w:noWrap w:val="0"/>
            <w:vAlign w:val="center"/>
          </w:tcPr>
          <w:p w14:paraId="725FFF54">
            <w:pPr>
              <w:spacing w:line="300" w:lineRule="exact"/>
              <w:jc w:val="center"/>
              <w:rPr>
                <w:rFonts w:hint="eastAsia" w:ascii="仿宋" w:hAnsi="仿宋" w:eastAsia="仿宋" w:cs="仿宋"/>
                <w:b/>
                <w:color w:val="000000"/>
                <w:szCs w:val="21"/>
              </w:rPr>
            </w:pPr>
            <w:r>
              <w:rPr>
                <w:rFonts w:hint="eastAsia" w:ascii="仿宋" w:hAnsi="仿宋" w:eastAsia="仿宋" w:cs="仿宋"/>
                <w:b/>
                <w:color w:val="000000"/>
                <w:szCs w:val="21"/>
              </w:rPr>
              <w:t>年龄</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EB137BE">
            <w:pPr>
              <w:spacing w:line="300" w:lineRule="exact"/>
              <w:jc w:val="center"/>
              <w:rPr>
                <w:rFonts w:hint="eastAsia" w:ascii="仿宋" w:hAnsi="仿宋" w:eastAsia="仿宋" w:cs="仿宋"/>
                <w:b/>
                <w:color w:val="000000"/>
                <w:szCs w:val="21"/>
              </w:rPr>
            </w:pPr>
            <w:r>
              <w:rPr>
                <w:rFonts w:hint="eastAsia" w:ascii="仿宋" w:hAnsi="仿宋" w:eastAsia="仿宋" w:cs="仿宋"/>
                <w:b/>
                <w:color w:val="000000"/>
                <w:szCs w:val="21"/>
              </w:rPr>
              <w:t>职称</w:t>
            </w:r>
          </w:p>
        </w:tc>
        <w:tc>
          <w:tcPr>
            <w:tcW w:w="723" w:type="dxa"/>
            <w:vMerge w:val="restart"/>
            <w:tcBorders>
              <w:top w:val="single" w:color="000000" w:sz="4" w:space="0"/>
              <w:left w:val="single" w:color="000000" w:sz="4" w:space="0"/>
              <w:bottom w:val="single" w:color="000000" w:sz="4" w:space="0"/>
              <w:right w:val="single" w:color="000000" w:sz="4" w:space="0"/>
            </w:tcBorders>
            <w:noWrap w:val="0"/>
            <w:vAlign w:val="center"/>
          </w:tcPr>
          <w:p w14:paraId="48B0AE25">
            <w:pPr>
              <w:spacing w:line="260" w:lineRule="exact"/>
              <w:jc w:val="center"/>
              <w:rPr>
                <w:rFonts w:hint="eastAsia" w:ascii="仿宋" w:hAnsi="仿宋" w:eastAsia="仿宋" w:cs="仿宋"/>
                <w:b/>
                <w:color w:val="000000"/>
                <w:spacing w:val="-20"/>
                <w:szCs w:val="21"/>
              </w:rPr>
            </w:pPr>
            <w:r>
              <w:rPr>
                <w:rFonts w:hint="eastAsia" w:ascii="仿宋" w:hAnsi="仿宋" w:eastAsia="仿宋" w:cs="仿宋"/>
                <w:b/>
                <w:color w:val="000000"/>
                <w:spacing w:val="-20"/>
                <w:szCs w:val="21"/>
              </w:rPr>
              <w:t>从事</w:t>
            </w:r>
          </w:p>
          <w:p w14:paraId="35B9A3C9">
            <w:pPr>
              <w:spacing w:line="260" w:lineRule="exact"/>
              <w:jc w:val="center"/>
              <w:rPr>
                <w:rFonts w:hint="eastAsia" w:ascii="仿宋" w:hAnsi="仿宋" w:eastAsia="仿宋" w:cs="仿宋"/>
                <w:b/>
                <w:color w:val="000000"/>
                <w:spacing w:val="-20"/>
                <w:szCs w:val="21"/>
              </w:rPr>
            </w:pPr>
            <w:r>
              <w:rPr>
                <w:rFonts w:hint="eastAsia" w:ascii="仿宋" w:hAnsi="仿宋" w:eastAsia="仿宋" w:cs="仿宋"/>
                <w:b/>
                <w:color w:val="000000"/>
                <w:spacing w:val="-20"/>
                <w:szCs w:val="21"/>
              </w:rPr>
              <w:t>监理</w:t>
            </w:r>
          </w:p>
          <w:p w14:paraId="0BBF80EB">
            <w:pPr>
              <w:spacing w:line="260" w:lineRule="exact"/>
              <w:jc w:val="center"/>
              <w:rPr>
                <w:rFonts w:hint="eastAsia" w:ascii="仿宋" w:hAnsi="仿宋" w:eastAsia="仿宋" w:cs="仿宋"/>
                <w:b/>
                <w:color w:val="000000"/>
                <w:spacing w:val="-20"/>
                <w:szCs w:val="21"/>
              </w:rPr>
            </w:pPr>
            <w:r>
              <w:rPr>
                <w:rFonts w:hint="eastAsia" w:ascii="仿宋" w:hAnsi="仿宋" w:eastAsia="仿宋" w:cs="仿宋"/>
                <w:b/>
                <w:color w:val="000000"/>
                <w:spacing w:val="-20"/>
                <w:szCs w:val="21"/>
              </w:rPr>
              <w:t>工作</w:t>
            </w:r>
          </w:p>
          <w:p w14:paraId="213298B2">
            <w:pPr>
              <w:spacing w:line="260" w:lineRule="exact"/>
              <w:jc w:val="center"/>
              <w:rPr>
                <w:rFonts w:hint="eastAsia" w:ascii="仿宋" w:hAnsi="仿宋" w:eastAsia="仿宋" w:cs="仿宋"/>
                <w:b/>
                <w:color w:val="000000"/>
                <w:spacing w:val="-20"/>
                <w:szCs w:val="21"/>
              </w:rPr>
            </w:pPr>
            <w:r>
              <w:rPr>
                <w:rFonts w:hint="eastAsia" w:ascii="仿宋" w:hAnsi="仿宋" w:eastAsia="仿宋" w:cs="仿宋"/>
                <w:b/>
                <w:color w:val="000000"/>
                <w:spacing w:val="-20"/>
                <w:szCs w:val="21"/>
              </w:rPr>
              <w:t>年限</w:t>
            </w:r>
          </w:p>
        </w:tc>
        <w:tc>
          <w:tcPr>
            <w:tcW w:w="4525" w:type="dxa"/>
            <w:gridSpan w:val="4"/>
            <w:tcBorders>
              <w:top w:val="single" w:color="000000" w:sz="4" w:space="0"/>
              <w:left w:val="single" w:color="000000" w:sz="4" w:space="0"/>
              <w:bottom w:val="single" w:color="000000" w:sz="4" w:space="0"/>
              <w:right w:val="single" w:color="auto" w:sz="4" w:space="0"/>
            </w:tcBorders>
            <w:noWrap w:val="0"/>
            <w:vAlign w:val="center"/>
          </w:tcPr>
          <w:p w14:paraId="01EA7363">
            <w:pPr>
              <w:spacing w:line="300" w:lineRule="exact"/>
              <w:jc w:val="center"/>
              <w:rPr>
                <w:rFonts w:hint="eastAsia" w:ascii="仿宋" w:hAnsi="仿宋" w:eastAsia="仿宋" w:cs="仿宋"/>
                <w:b/>
                <w:color w:val="000000"/>
                <w:szCs w:val="21"/>
              </w:rPr>
            </w:pPr>
            <w:r>
              <w:rPr>
                <w:rFonts w:hint="eastAsia" w:ascii="仿宋" w:hAnsi="仿宋" w:eastAsia="仿宋" w:cs="仿宋"/>
                <w:b/>
                <w:color w:val="000000"/>
                <w:szCs w:val="21"/>
              </w:rPr>
              <w:t>执业或职业资格证书</w:t>
            </w:r>
          </w:p>
        </w:tc>
        <w:tc>
          <w:tcPr>
            <w:tcW w:w="992" w:type="dxa"/>
            <w:vMerge w:val="restart"/>
            <w:tcBorders>
              <w:top w:val="single" w:color="000000" w:sz="4" w:space="0"/>
              <w:left w:val="single" w:color="auto" w:sz="4" w:space="0"/>
              <w:right w:val="single" w:color="000000" w:sz="4" w:space="0"/>
            </w:tcBorders>
            <w:noWrap w:val="0"/>
            <w:vAlign w:val="center"/>
          </w:tcPr>
          <w:p w14:paraId="2211F4F0">
            <w:pPr>
              <w:spacing w:line="300" w:lineRule="exact"/>
              <w:jc w:val="center"/>
              <w:rPr>
                <w:rFonts w:hint="eastAsia" w:ascii="仿宋" w:hAnsi="仿宋" w:eastAsia="仿宋" w:cs="仿宋"/>
                <w:b/>
                <w:color w:val="000000"/>
                <w:szCs w:val="21"/>
              </w:rPr>
            </w:pPr>
            <w:r>
              <w:rPr>
                <w:rFonts w:hint="eastAsia" w:ascii="仿宋" w:hAnsi="仿宋" w:eastAsia="仿宋" w:cs="仿宋"/>
                <w:b/>
                <w:color w:val="000000"/>
                <w:szCs w:val="21"/>
              </w:rPr>
              <w:t>在本项目中拟任职务</w:t>
            </w:r>
          </w:p>
        </w:tc>
      </w:tr>
      <w:tr w14:paraId="79D7E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9" w:hRule="atLeast"/>
        </w:trPr>
        <w:tc>
          <w:tcPr>
            <w:tcW w:w="6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F8C53C">
            <w:pPr>
              <w:widowControl/>
              <w:spacing w:line="300" w:lineRule="exact"/>
              <w:jc w:val="center"/>
              <w:rPr>
                <w:rFonts w:hint="eastAsia" w:ascii="仿宋" w:hAnsi="仿宋" w:eastAsia="仿宋" w:cs="仿宋"/>
                <w:b/>
                <w:color w:val="000000"/>
                <w:szCs w:val="21"/>
              </w:rPr>
            </w:pPr>
          </w:p>
        </w:tc>
        <w:tc>
          <w:tcPr>
            <w:tcW w:w="87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9D7E26">
            <w:pPr>
              <w:widowControl/>
              <w:spacing w:line="300" w:lineRule="exact"/>
              <w:jc w:val="center"/>
              <w:rPr>
                <w:rFonts w:hint="eastAsia" w:ascii="仿宋" w:hAnsi="仿宋" w:eastAsia="仿宋" w:cs="仿宋"/>
                <w:b/>
                <w:color w:val="000000"/>
                <w:szCs w:val="21"/>
              </w:rPr>
            </w:pPr>
          </w:p>
        </w:tc>
        <w:tc>
          <w:tcPr>
            <w:tcW w:w="6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68E0D9">
            <w:pPr>
              <w:widowControl/>
              <w:spacing w:line="300" w:lineRule="exact"/>
              <w:jc w:val="center"/>
              <w:rPr>
                <w:rFonts w:hint="eastAsia" w:ascii="仿宋" w:hAnsi="仿宋" w:eastAsia="仿宋" w:cs="仿宋"/>
                <w:b/>
                <w:color w:val="000000"/>
                <w:szCs w:val="21"/>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B47057">
            <w:pPr>
              <w:widowControl/>
              <w:spacing w:line="300" w:lineRule="exact"/>
              <w:jc w:val="center"/>
              <w:rPr>
                <w:rFonts w:hint="eastAsia" w:ascii="仿宋" w:hAnsi="仿宋" w:eastAsia="仿宋" w:cs="仿宋"/>
                <w:b/>
                <w:color w:val="000000"/>
                <w:szCs w:val="21"/>
              </w:rPr>
            </w:pPr>
          </w:p>
        </w:tc>
        <w:tc>
          <w:tcPr>
            <w:tcW w:w="72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92FAA7">
            <w:pPr>
              <w:widowControl/>
              <w:spacing w:line="300" w:lineRule="exact"/>
              <w:jc w:val="center"/>
              <w:rPr>
                <w:rFonts w:hint="eastAsia" w:ascii="仿宋" w:hAnsi="仿宋" w:eastAsia="仿宋" w:cs="仿宋"/>
                <w:b/>
                <w:color w:val="000000"/>
                <w:szCs w:val="21"/>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58BF8D05">
            <w:pPr>
              <w:spacing w:line="300" w:lineRule="exact"/>
              <w:jc w:val="center"/>
              <w:rPr>
                <w:rFonts w:hint="eastAsia" w:ascii="仿宋" w:hAnsi="仿宋" w:eastAsia="仿宋" w:cs="仿宋"/>
                <w:b/>
                <w:color w:val="000000"/>
                <w:szCs w:val="21"/>
              </w:rPr>
            </w:pPr>
            <w:r>
              <w:rPr>
                <w:rFonts w:hint="eastAsia" w:ascii="仿宋" w:hAnsi="仿宋" w:eastAsia="仿宋" w:cs="仿宋"/>
                <w:b/>
                <w:color w:val="000000"/>
                <w:szCs w:val="21"/>
              </w:rPr>
              <w:t>证书名称</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6DA9D12A">
            <w:pPr>
              <w:spacing w:line="300" w:lineRule="exact"/>
              <w:jc w:val="center"/>
              <w:rPr>
                <w:rFonts w:hint="eastAsia" w:ascii="仿宋" w:hAnsi="仿宋" w:eastAsia="仿宋" w:cs="仿宋"/>
                <w:b/>
                <w:color w:val="000000"/>
                <w:szCs w:val="21"/>
              </w:rPr>
            </w:pPr>
            <w:r>
              <w:rPr>
                <w:rFonts w:hint="eastAsia" w:ascii="仿宋" w:hAnsi="仿宋" w:eastAsia="仿宋" w:cs="仿宋"/>
                <w:b/>
                <w:color w:val="000000"/>
                <w:szCs w:val="21"/>
              </w:rPr>
              <w:t>级别</w:t>
            </w: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4D9406C9">
            <w:pPr>
              <w:spacing w:line="300" w:lineRule="exact"/>
              <w:jc w:val="center"/>
              <w:rPr>
                <w:rFonts w:hint="eastAsia" w:ascii="仿宋" w:hAnsi="仿宋" w:eastAsia="仿宋" w:cs="仿宋"/>
                <w:b/>
                <w:color w:val="000000"/>
                <w:szCs w:val="21"/>
              </w:rPr>
            </w:pPr>
            <w:r>
              <w:rPr>
                <w:rFonts w:hint="eastAsia" w:ascii="仿宋" w:hAnsi="仿宋" w:eastAsia="仿宋" w:cs="仿宋"/>
                <w:b/>
                <w:color w:val="000000"/>
                <w:szCs w:val="21"/>
              </w:rPr>
              <w:t>证号</w:t>
            </w:r>
          </w:p>
        </w:tc>
        <w:tc>
          <w:tcPr>
            <w:tcW w:w="851" w:type="dxa"/>
            <w:tcBorders>
              <w:top w:val="single" w:color="000000" w:sz="4" w:space="0"/>
              <w:left w:val="single" w:color="000000" w:sz="4" w:space="0"/>
              <w:bottom w:val="single" w:color="000000" w:sz="4" w:space="0"/>
              <w:right w:val="single" w:color="auto" w:sz="4" w:space="0"/>
            </w:tcBorders>
            <w:noWrap w:val="0"/>
            <w:vAlign w:val="center"/>
          </w:tcPr>
          <w:p w14:paraId="297348BC">
            <w:pPr>
              <w:spacing w:line="300" w:lineRule="exact"/>
              <w:jc w:val="center"/>
              <w:rPr>
                <w:rFonts w:hint="eastAsia" w:ascii="仿宋" w:hAnsi="仿宋" w:eastAsia="仿宋" w:cs="仿宋"/>
                <w:b/>
                <w:color w:val="000000"/>
                <w:szCs w:val="21"/>
              </w:rPr>
            </w:pPr>
            <w:r>
              <w:rPr>
                <w:rFonts w:hint="eastAsia" w:ascii="仿宋" w:hAnsi="仿宋" w:eastAsia="仿宋" w:cs="仿宋"/>
                <w:b/>
                <w:color w:val="000000"/>
                <w:szCs w:val="21"/>
              </w:rPr>
              <w:t>专业</w:t>
            </w:r>
          </w:p>
        </w:tc>
        <w:tc>
          <w:tcPr>
            <w:tcW w:w="992" w:type="dxa"/>
            <w:vMerge w:val="continue"/>
            <w:tcBorders>
              <w:left w:val="single" w:color="auto" w:sz="4" w:space="0"/>
              <w:bottom w:val="single" w:color="000000" w:sz="4" w:space="0"/>
              <w:right w:val="single" w:color="000000" w:sz="4" w:space="0"/>
            </w:tcBorders>
            <w:noWrap w:val="0"/>
            <w:vAlign w:val="center"/>
          </w:tcPr>
          <w:p w14:paraId="478921F8">
            <w:pPr>
              <w:spacing w:line="300" w:lineRule="exact"/>
              <w:jc w:val="center"/>
              <w:rPr>
                <w:rFonts w:hint="eastAsia" w:ascii="仿宋" w:hAnsi="仿宋" w:eastAsia="仿宋" w:cs="仿宋"/>
                <w:b/>
                <w:color w:val="000000"/>
                <w:szCs w:val="21"/>
              </w:rPr>
            </w:pPr>
          </w:p>
        </w:tc>
      </w:tr>
      <w:tr w14:paraId="54720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655" w:type="dxa"/>
            <w:tcBorders>
              <w:left w:val="single" w:color="auto" w:sz="4" w:space="0"/>
              <w:right w:val="single" w:color="auto" w:sz="4" w:space="0"/>
            </w:tcBorders>
            <w:noWrap w:val="0"/>
            <w:vAlign w:val="center"/>
          </w:tcPr>
          <w:p w14:paraId="65657863">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总</w:t>
            </w:r>
          </w:p>
          <w:p w14:paraId="4D686613">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监</w:t>
            </w:r>
          </w:p>
        </w:tc>
        <w:tc>
          <w:tcPr>
            <w:tcW w:w="873" w:type="dxa"/>
            <w:tcBorders>
              <w:top w:val="single" w:color="000000" w:sz="4" w:space="0"/>
              <w:left w:val="single" w:color="auto" w:sz="4" w:space="0"/>
              <w:bottom w:val="single" w:color="000000" w:sz="4" w:space="0"/>
              <w:right w:val="single" w:color="000000" w:sz="4" w:space="0"/>
            </w:tcBorders>
            <w:noWrap w:val="0"/>
            <w:vAlign w:val="center"/>
          </w:tcPr>
          <w:p w14:paraId="240A5EE1">
            <w:pPr>
              <w:spacing w:line="320" w:lineRule="exact"/>
              <w:jc w:val="center"/>
              <w:rPr>
                <w:rFonts w:hint="eastAsia" w:ascii="仿宋" w:hAnsi="仿宋" w:eastAsia="仿宋" w:cs="仿宋"/>
                <w:color w:val="000000"/>
                <w:szCs w:val="21"/>
              </w:rPr>
            </w:pP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5E7FE8C">
            <w:pPr>
              <w:spacing w:line="320" w:lineRule="exact"/>
              <w:jc w:val="center"/>
              <w:rPr>
                <w:rFonts w:hint="eastAsia" w:ascii="仿宋" w:hAnsi="仿宋" w:eastAsia="仿宋" w:cs="仿宋"/>
                <w:color w:val="000000"/>
                <w:szCs w:val="21"/>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4EF024F8">
            <w:pPr>
              <w:spacing w:line="320" w:lineRule="exact"/>
              <w:jc w:val="center"/>
              <w:rPr>
                <w:rFonts w:hint="eastAsia" w:ascii="仿宋" w:hAnsi="仿宋" w:eastAsia="仿宋" w:cs="仿宋"/>
                <w:color w:val="000000"/>
                <w:szCs w:val="21"/>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178F64DB">
            <w:pPr>
              <w:spacing w:line="320" w:lineRule="exact"/>
              <w:jc w:val="center"/>
              <w:rPr>
                <w:rFonts w:hint="eastAsia" w:ascii="仿宋" w:hAnsi="仿宋" w:eastAsia="仿宋" w:cs="仿宋"/>
                <w:color w:val="000000"/>
                <w:szCs w:val="21"/>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CD3FBA0">
            <w:pPr>
              <w:spacing w:line="320" w:lineRule="exact"/>
              <w:jc w:val="center"/>
              <w:rPr>
                <w:rFonts w:hint="eastAsia" w:ascii="仿宋" w:hAnsi="仿宋" w:eastAsia="仿宋" w:cs="仿宋"/>
                <w:color w:val="000000"/>
                <w:szCs w:val="21"/>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219C49FA">
            <w:pPr>
              <w:spacing w:line="320" w:lineRule="exact"/>
              <w:jc w:val="center"/>
              <w:rPr>
                <w:rFonts w:hint="eastAsia" w:ascii="仿宋" w:hAnsi="仿宋" w:eastAsia="仿宋" w:cs="仿宋"/>
                <w:color w:val="000000"/>
                <w:szCs w:val="21"/>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2F259C66">
            <w:pPr>
              <w:spacing w:line="320" w:lineRule="exact"/>
              <w:jc w:val="center"/>
              <w:rPr>
                <w:rFonts w:hint="eastAsia" w:ascii="仿宋" w:hAnsi="仿宋" w:eastAsia="仿宋" w:cs="仿宋"/>
                <w:color w:val="000000"/>
                <w:szCs w:val="21"/>
              </w:rPr>
            </w:pPr>
          </w:p>
        </w:tc>
        <w:tc>
          <w:tcPr>
            <w:tcW w:w="851" w:type="dxa"/>
            <w:tcBorders>
              <w:top w:val="single" w:color="000000" w:sz="4" w:space="0"/>
              <w:left w:val="single" w:color="000000" w:sz="4" w:space="0"/>
              <w:bottom w:val="single" w:color="000000" w:sz="4" w:space="0"/>
              <w:right w:val="single" w:color="auto" w:sz="4" w:space="0"/>
            </w:tcBorders>
            <w:noWrap w:val="0"/>
            <w:vAlign w:val="center"/>
          </w:tcPr>
          <w:p w14:paraId="6E8ADD8C">
            <w:pPr>
              <w:spacing w:line="320" w:lineRule="exact"/>
              <w:jc w:val="center"/>
              <w:rPr>
                <w:rFonts w:hint="eastAsia" w:ascii="仿宋" w:hAnsi="仿宋" w:eastAsia="仿宋" w:cs="仿宋"/>
                <w:color w:val="000000"/>
                <w:szCs w:val="21"/>
              </w:rPr>
            </w:pPr>
          </w:p>
        </w:tc>
        <w:tc>
          <w:tcPr>
            <w:tcW w:w="992" w:type="dxa"/>
            <w:tcBorders>
              <w:top w:val="single" w:color="000000" w:sz="4" w:space="0"/>
              <w:left w:val="single" w:color="auto" w:sz="4" w:space="0"/>
              <w:bottom w:val="single" w:color="000000" w:sz="4" w:space="0"/>
              <w:right w:val="single" w:color="000000" w:sz="4" w:space="0"/>
            </w:tcBorders>
            <w:noWrap w:val="0"/>
            <w:vAlign w:val="center"/>
          </w:tcPr>
          <w:p w14:paraId="4FE92CC3">
            <w:pPr>
              <w:spacing w:line="320" w:lineRule="exact"/>
              <w:jc w:val="center"/>
              <w:rPr>
                <w:rFonts w:hint="eastAsia" w:ascii="仿宋" w:hAnsi="仿宋" w:eastAsia="仿宋" w:cs="仿宋"/>
                <w:color w:val="000000"/>
                <w:szCs w:val="21"/>
              </w:rPr>
            </w:pPr>
          </w:p>
        </w:tc>
      </w:tr>
      <w:tr w14:paraId="7F1D8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655" w:type="dxa"/>
            <w:vMerge w:val="restart"/>
            <w:tcBorders>
              <w:left w:val="single" w:color="auto" w:sz="4" w:space="0"/>
              <w:right w:val="single" w:color="auto" w:sz="4" w:space="0"/>
            </w:tcBorders>
            <w:noWrap w:val="0"/>
            <w:vAlign w:val="center"/>
          </w:tcPr>
          <w:p w14:paraId="20D87A05">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专业监理工程师</w:t>
            </w:r>
          </w:p>
        </w:tc>
        <w:tc>
          <w:tcPr>
            <w:tcW w:w="873" w:type="dxa"/>
            <w:tcBorders>
              <w:top w:val="single" w:color="000000" w:sz="4" w:space="0"/>
              <w:left w:val="single" w:color="auto" w:sz="4" w:space="0"/>
              <w:bottom w:val="single" w:color="000000" w:sz="4" w:space="0"/>
              <w:right w:val="single" w:color="000000" w:sz="4" w:space="0"/>
            </w:tcBorders>
            <w:noWrap w:val="0"/>
            <w:vAlign w:val="center"/>
          </w:tcPr>
          <w:p w14:paraId="405A1DBD">
            <w:pPr>
              <w:spacing w:line="320" w:lineRule="exact"/>
              <w:jc w:val="center"/>
              <w:rPr>
                <w:rFonts w:hint="eastAsia" w:ascii="仿宋" w:hAnsi="仿宋" w:eastAsia="仿宋" w:cs="仿宋"/>
                <w:color w:val="000000"/>
                <w:szCs w:val="21"/>
              </w:rPr>
            </w:pP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4B0D5169">
            <w:pPr>
              <w:spacing w:line="320" w:lineRule="exact"/>
              <w:jc w:val="center"/>
              <w:rPr>
                <w:rFonts w:hint="eastAsia" w:ascii="仿宋" w:hAnsi="仿宋" w:eastAsia="仿宋" w:cs="仿宋"/>
                <w:color w:val="000000"/>
                <w:szCs w:val="21"/>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6B2B7F2E">
            <w:pPr>
              <w:spacing w:line="320" w:lineRule="exact"/>
              <w:jc w:val="center"/>
              <w:rPr>
                <w:rFonts w:hint="eastAsia" w:ascii="仿宋" w:hAnsi="仿宋" w:eastAsia="仿宋" w:cs="仿宋"/>
                <w:color w:val="000000"/>
                <w:szCs w:val="21"/>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3E9111BD">
            <w:pPr>
              <w:spacing w:line="320" w:lineRule="exact"/>
              <w:jc w:val="center"/>
              <w:rPr>
                <w:rFonts w:hint="eastAsia" w:ascii="仿宋" w:hAnsi="仿宋" w:eastAsia="仿宋" w:cs="仿宋"/>
                <w:color w:val="000000"/>
                <w:szCs w:val="21"/>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1B7E300B">
            <w:pPr>
              <w:spacing w:line="320" w:lineRule="exact"/>
              <w:jc w:val="center"/>
              <w:rPr>
                <w:rFonts w:hint="eastAsia" w:ascii="仿宋" w:hAnsi="仿宋" w:eastAsia="仿宋" w:cs="仿宋"/>
                <w:color w:val="000000"/>
                <w:szCs w:val="21"/>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6C752DDA">
            <w:pPr>
              <w:spacing w:line="320" w:lineRule="exact"/>
              <w:jc w:val="center"/>
              <w:rPr>
                <w:rFonts w:hint="eastAsia" w:ascii="仿宋" w:hAnsi="仿宋" w:eastAsia="仿宋" w:cs="仿宋"/>
                <w:color w:val="000000"/>
                <w:szCs w:val="21"/>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0E8CEE32">
            <w:pPr>
              <w:spacing w:line="320" w:lineRule="exact"/>
              <w:jc w:val="center"/>
              <w:rPr>
                <w:rFonts w:hint="eastAsia" w:ascii="仿宋" w:hAnsi="仿宋" w:eastAsia="仿宋" w:cs="仿宋"/>
                <w:color w:val="000000"/>
                <w:szCs w:val="21"/>
              </w:rPr>
            </w:pPr>
          </w:p>
        </w:tc>
        <w:tc>
          <w:tcPr>
            <w:tcW w:w="851" w:type="dxa"/>
            <w:tcBorders>
              <w:top w:val="single" w:color="000000" w:sz="4" w:space="0"/>
              <w:left w:val="single" w:color="000000" w:sz="4" w:space="0"/>
              <w:bottom w:val="single" w:color="000000" w:sz="4" w:space="0"/>
              <w:right w:val="single" w:color="auto" w:sz="4" w:space="0"/>
            </w:tcBorders>
            <w:noWrap w:val="0"/>
            <w:vAlign w:val="center"/>
          </w:tcPr>
          <w:p w14:paraId="15CF25F7">
            <w:pPr>
              <w:spacing w:line="320" w:lineRule="exact"/>
              <w:jc w:val="center"/>
              <w:rPr>
                <w:rFonts w:hint="eastAsia" w:ascii="仿宋" w:hAnsi="仿宋" w:eastAsia="仿宋" w:cs="仿宋"/>
                <w:color w:val="000000"/>
                <w:szCs w:val="21"/>
              </w:rPr>
            </w:pPr>
          </w:p>
        </w:tc>
        <w:tc>
          <w:tcPr>
            <w:tcW w:w="992" w:type="dxa"/>
            <w:tcBorders>
              <w:top w:val="single" w:color="000000" w:sz="4" w:space="0"/>
              <w:left w:val="single" w:color="auto" w:sz="4" w:space="0"/>
              <w:bottom w:val="single" w:color="000000" w:sz="4" w:space="0"/>
              <w:right w:val="single" w:color="000000" w:sz="4" w:space="0"/>
            </w:tcBorders>
            <w:noWrap w:val="0"/>
            <w:vAlign w:val="center"/>
          </w:tcPr>
          <w:p w14:paraId="19DEF653">
            <w:pPr>
              <w:spacing w:line="320" w:lineRule="exact"/>
              <w:jc w:val="center"/>
              <w:rPr>
                <w:rFonts w:hint="eastAsia" w:ascii="仿宋" w:hAnsi="仿宋" w:eastAsia="仿宋" w:cs="仿宋"/>
                <w:color w:val="000000"/>
                <w:szCs w:val="21"/>
              </w:rPr>
            </w:pPr>
          </w:p>
        </w:tc>
      </w:tr>
      <w:tr w14:paraId="18AB5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655" w:type="dxa"/>
            <w:vMerge w:val="continue"/>
            <w:tcBorders>
              <w:left w:val="single" w:color="auto" w:sz="4" w:space="0"/>
              <w:right w:val="single" w:color="auto" w:sz="4" w:space="0"/>
            </w:tcBorders>
            <w:noWrap w:val="0"/>
            <w:vAlign w:val="center"/>
          </w:tcPr>
          <w:p w14:paraId="40333FF7">
            <w:pPr>
              <w:spacing w:line="360" w:lineRule="exact"/>
              <w:jc w:val="center"/>
              <w:rPr>
                <w:rFonts w:hint="eastAsia" w:ascii="仿宋" w:hAnsi="仿宋" w:eastAsia="仿宋" w:cs="仿宋"/>
                <w:color w:val="000000"/>
                <w:szCs w:val="21"/>
              </w:rPr>
            </w:pPr>
          </w:p>
        </w:tc>
        <w:tc>
          <w:tcPr>
            <w:tcW w:w="873" w:type="dxa"/>
            <w:tcBorders>
              <w:top w:val="single" w:color="000000" w:sz="4" w:space="0"/>
              <w:left w:val="single" w:color="auto" w:sz="4" w:space="0"/>
              <w:bottom w:val="single" w:color="000000" w:sz="4" w:space="0"/>
              <w:right w:val="single" w:color="000000" w:sz="4" w:space="0"/>
            </w:tcBorders>
            <w:noWrap w:val="0"/>
            <w:vAlign w:val="center"/>
          </w:tcPr>
          <w:p w14:paraId="4FC5AE7E">
            <w:pPr>
              <w:spacing w:line="320" w:lineRule="exact"/>
              <w:jc w:val="center"/>
              <w:rPr>
                <w:rFonts w:hint="eastAsia" w:ascii="仿宋" w:hAnsi="仿宋" w:eastAsia="仿宋" w:cs="仿宋"/>
                <w:color w:val="000000"/>
                <w:szCs w:val="21"/>
              </w:rPr>
            </w:pP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639F10D2">
            <w:pPr>
              <w:spacing w:line="320" w:lineRule="exact"/>
              <w:jc w:val="center"/>
              <w:rPr>
                <w:rFonts w:hint="eastAsia" w:ascii="仿宋" w:hAnsi="仿宋" w:eastAsia="仿宋" w:cs="仿宋"/>
                <w:color w:val="000000"/>
                <w:szCs w:val="21"/>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B6D69D9">
            <w:pPr>
              <w:spacing w:line="320" w:lineRule="exact"/>
              <w:jc w:val="center"/>
              <w:rPr>
                <w:rFonts w:hint="eastAsia" w:ascii="仿宋" w:hAnsi="仿宋" w:eastAsia="仿宋" w:cs="仿宋"/>
                <w:color w:val="000000"/>
                <w:szCs w:val="21"/>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51E51EFE">
            <w:pPr>
              <w:spacing w:line="320" w:lineRule="exact"/>
              <w:jc w:val="center"/>
              <w:rPr>
                <w:rFonts w:hint="eastAsia" w:ascii="仿宋" w:hAnsi="仿宋" w:eastAsia="仿宋" w:cs="仿宋"/>
                <w:color w:val="000000"/>
                <w:szCs w:val="21"/>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301490E">
            <w:pPr>
              <w:spacing w:line="320" w:lineRule="exact"/>
              <w:jc w:val="center"/>
              <w:rPr>
                <w:rFonts w:hint="eastAsia" w:ascii="仿宋" w:hAnsi="仿宋" w:eastAsia="仿宋" w:cs="仿宋"/>
                <w:color w:val="000000"/>
                <w:szCs w:val="21"/>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6B2C037B">
            <w:pPr>
              <w:spacing w:line="320" w:lineRule="exact"/>
              <w:jc w:val="center"/>
              <w:rPr>
                <w:rFonts w:hint="eastAsia" w:ascii="仿宋" w:hAnsi="仿宋" w:eastAsia="仿宋" w:cs="仿宋"/>
                <w:color w:val="000000"/>
                <w:szCs w:val="21"/>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631DFCFD">
            <w:pPr>
              <w:spacing w:line="320" w:lineRule="exact"/>
              <w:jc w:val="center"/>
              <w:rPr>
                <w:rFonts w:hint="eastAsia" w:ascii="仿宋" w:hAnsi="仿宋" w:eastAsia="仿宋" w:cs="仿宋"/>
                <w:color w:val="000000"/>
                <w:szCs w:val="21"/>
              </w:rPr>
            </w:pPr>
          </w:p>
        </w:tc>
        <w:tc>
          <w:tcPr>
            <w:tcW w:w="851" w:type="dxa"/>
            <w:tcBorders>
              <w:top w:val="single" w:color="000000" w:sz="4" w:space="0"/>
              <w:left w:val="single" w:color="000000" w:sz="4" w:space="0"/>
              <w:bottom w:val="single" w:color="000000" w:sz="4" w:space="0"/>
              <w:right w:val="single" w:color="auto" w:sz="4" w:space="0"/>
            </w:tcBorders>
            <w:noWrap w:val="0"/>
            <w:vAlign w:val="center"/>
          </w:tcPr>
          <w:p w14:paraId="1F6682B1">
            <w:pPr>
              <w:spacing w:line="320" w:lineRule="exact"/>
              <w:jc w:val="center"/>
              <w:rPr>
                <w:rFonts w:hint="eastAsia" w:ascii="仿宋" w:hAnsi="仿宋" w:eastAsia="仿宋" w:cs="仿宋"/>
                <w:color w:val="000000"/>
                <w:szCs w:val="21"/>
              </w:rPr>
            </w:pPr>
          </w:p>
        </w:tc>
        <w:tc>
          <w:tcPr>
            <w:tcW w:w="992" w:type="dxa"/>
            <w:tcBorders>
              <w:top w:val="single" w:color="000000" w:sz="4" w:space="0"/>
              <w:left w:val="single" w:color="auto" w:sz="4" w:space="0"/>
              <w:bottom w:val="single" w:color="000000" w:sz="4" w:space="0"/>
              <w:right w:val="single" w:color="000000" w:sz="4" w:space="0"/>
            </w:tcBorders>
            <w:noWrap w:val="0"/>
            <w:vAlign w:val="center"/>
          </w:tcPr>
          <w:p w14:paraId="55398E00">
            <w:pPr>
              <w:spacing w:line="320" w:lineRule="exact"/>
              <w:jc w:val="center"/>
              <w:rPr>
                <w:rFonts w:hint="eastAsia" w:ascii="仿宋" w:hAnsi="仿宋" w:eastAsia="仿宋" w:cs="仿宋"/>
                <w:color w:val="000000"/>
                <w:szCs w:val="21"/>
              </w:rPr>
            </w:pPr>
          </w:p>
        </w:tc>
      </w:tr>
      <w:tr w14:paraId="52620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trPr>
        <w:tc>
          <w:tcPr>
            <w:tcW w:w="655" w:type="dxa"/>
            <w:vMerge w:val="restart"/>
            <w:tcBorders>
              <w:left w:val="single" w:color="auto" w:sz="4" w:space="0"/>
              <w:right w:val="single" w:color="auto" w:sz="4" w:space="0"/>
            </w:tcBorders>
            <w:noWrap w:val="0"/>
            <w:vAlign w:val="center"/>
          </w:tcPr>
          <w:p w14:paraId="08AEF874">
            <w:pPr>
              <w:spacing w:line="360" w:lineRule="exact"/>
              <w:jc w:val="center"/>
              <w:rPr>
                <w:rFonts w:hint="eastAsia" w:ascii="仿宋" w:hAnsi="仿宋" w:eastAsia="仿宋" w:cs="仿宋"/>
                <w:color w:val="000000"/>
                <w:szCs w:val="21"/>
              </w:rPr>
            </w:pPr>
            <w:r>
              <w:rPr>
                <w:rFonts w:hint="eastAsia" w:ascii="仿宋" w:hAnsi="仿宋" w:eastAsia="仿宋" w:cs="仿宋"/>
                <w:color w:val="000000"/>
                <w:szCs w:val="21"/>
              </w:rPr>
              <w:t>监理员</w:t>
            </w:r>
          </w:p>
        </w:tc>
        <w:tc>
          <w:tcPr>
            <w:tcW w:w="873" w:type="dxa"/>
            <w:tcBorders>
              <w:top w:val="single" w:color="000000" w:sz="4" w:space="0"/>
              <w:left w:val="single" w:color="auto" w:sz="4" w:space="0"/>
              <w:bottom w:val="single" w:color="000000" w:sz="4" w:space="0"/>
              <w:right w:val="single" w:color="000000" w:sz="4" w:space="0"/>
            </w:tcBorders>
            <w:noWrap w:val="0"/>
            <w:vAlign w:val="center"/>
          </w:tcPr>
          <w:p w14:paraId="3072AD74">
            <w:pPr>
              <w:spacing w:line="320" w:lineRule="exact"/>
              <w:jc w:val="center"/>
              <w:rPr>
                <w:rFonts w:hint="eastAsia" w:ascii="仿宋" w:hAnsi="仿宋" w:eastAsia="仿宋" w:cs="仿宋"/>
                <w:color w:val="000000"/>
                <w:szCs w:val="21"/>
              </w:rPr>
            </w:pP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2D057B9F">
            <w:pPr>
              <w:spacing w:line="320" w:lineRule="exact"/>
              <w:jc w:val="center"/>
              <w:rPr>
                <w:rFonts w:hint="eastAsia" w:ascii="仿宋" w:hAnsi="仿宋" w:eastAsia="仿宋" w:cs="仿宋"/>
                <w:color w:val="000000"/>
                <w:szCs w:val="21"/>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039609E4">
            <w:pPr>
              <w:spacing w:line="320" w:lineRule="exact"/>
              <w:jc w:val="center"/>
              <w:rPr>
                <w:rFonts w:hint="eastAsia" w:ascii="仿宋" w:hAnsi="仿宋" w:eastAsia="仿宋" w:cs="仿宋"/>
                <w:color w:val="000000"/>
                <w:szCs w:val="21"/>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79E262AA">
            <w:pPr>
              <w:spacing w:line="320" w:lineRule="exact"/>
              <w:jc w:val="center"/>
              <w:rPr>
                <w:rFonts w:hint="eastAsia" w:ascii="仿宋" w:hAnsi="仿宋" w:eastAsia="仿宋" w:cs="仿宋"/>
                <w:color w:val="000000"/>
                <w:szCs w:val="21"/>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41991DB1">
            <w:pPr>
              <w:spacing w:line="320" w:lineRule="exact"/>
              <w:jc w:val="center"/>
              <w:rPr>
                <w:rFonts w:hint="eastAsia" w:ascii="仿宋" w:hAnsi="仿宋" w:eastAsia="仿宋" w:cs="仿宋"/>
                <w:color w:val="000000"/>
                <w:szCs w:val="21"/>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1097EEDE">
            <w:pPr>
              <w:spacing w:line="320" w:lineRule="exact"/>
              <w:jc w:val="center"/>
              <w:rPr>
                <w:rFonts w:hint="eastAsia" w:ascii="仿宋" w:hAnsi="仿宋" w:eastAsia="仿宋" w:cs="仿宋"/>
                <w:color w:val="000000"/>
                <w:szCs w:val="21"/>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D6ED2F2">
            <w:pPr>
              <w:spacing w:line="320" w:lineRule="exact"/>
              <w:jc w:val="center"/>
              <w:rPr>
                <w:rFonts w:hint="eastAsia" w:ascii="仿宋" w:hAnsi="仿宋" w:eastAsia="仿宋" w:cs="仿宋"/>
                <w:color w:val="000000"/>
                <w:szCs w:val="21"/>
              </w:rPr>
            </w:pPr>
          </w:p>
        </w:tc>
        <w:tc>
          <w:tcPr>
            <w:tcW w:w="851" w:type="dxa"/>
            <w:tcBorders>
              <w:top w:val="single" w:color="000000" w:sz="4" w:space="0"/>
              <w:left w:val="single" w:color="000000" w:sz="4" w:space="0"/>
              <w:bottom w:val="single" w:color="000000" w:sz="4" w:space="0"/>
              <w:right w:val="single" w:color="auto" w:sz="4" w:space="0"/>
            </w:tcBorders>
            <w:noWrap w:val="0"/>
            <w:vAlign w:val="center"/>
          </w:tcPr>
          <w:p w14:paraId="7B980934">
            <w:pPr>
              <w:spacing w:line="320" w:lineRule="exact"/>
              <w:jc w:val="center"/>
              <w:rPr>
                <w:rFonts w:hint="eastAsia" w:ascii="仿宋" w:hAnsi="仿宋" w:eastAsia="仿宋" w:cs="仿宋"/>
                <w:color w:val="000000"/>
                <w:szCs w:val="21"/>
              </w:rPr>
            </w:pPr>
          </w:p>
        </w:tc>
        <w:tc>
          <w:tcPr>
            <w:tcW w:w="992" w:type="dxa"/>
            <w:tcBorders>
              <w:top w:val="single" w:color="000000" w:sz="4" w:space="0"/>
              <w:left w:val="single" w:color="auto" w:sz="4" w:space="0"/>
              <w:bottom w:val="single" w:color="000000" w:sz="4" w:space="0"/>
              <w:right w:val="single" w:color="000000" w:sz="4" w:space="0"/>
            </w:tcBorders>
            <w:noWrap w:val="0"/>
            <w:vAlign w:val="center"/>
          </w:tcPr>
          <w:p w14:paraId="4E032ED0">
            <w:pPr>
              <w:spacing w:line="320" w:lineRule="exact"/>
              <w:jc w:val="center"/>
              <w:rPr>
                <w:rFonts w:hint="eastAsia" w:ascii="仿宋" w:hAnsi="仿宋" w:eastAsia="仿宋" w:cs="仿宋"/>
                <w:color w:val="000000"/>
                <w:szCs w:val="21"/>
              </w:rPr>
            </w:pPr>
          </w:p>
        </w:tc>
      </w:tr>
      <w:tr w14:paraId="6FF38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55" w:type="dxa"/>
            <w:vMerge w:val="continue"/>
            <w:tcBorders>
              <w:left w:val="single" w:color="auto" w:sz="4" w:space="0"/>
              <w:right w:val="single" w:color="auto" w:sz="4" w:space="0"/>
            </w:tcBorders>
            <w:noWrap w:val="0"/>
            <w:vAlign w:val="center"/>
          </w:tcPr>
          <w:p w14:paraId="09479979">
            <w:pPr>
              <w:spacing w:line="360" w:lineRule="exact"/>
              <w:jc w:val="center"/>
              <w:rPr>
                <w:rFonts w:hint="eastAsia" w:ascii="仿宋" w:hAnsi="仿宋" w:eastAsia="仿宋" w:cs="仿宋"/>
                <w:color w:val="000000"/>
                <w:szCs w:val="21"/>
              </w:rPr>
            </w:pPr>
          </w:p>
        </w:tc>
        <w:tc>
          <w:tcPr>
            <w:tcW w:w="873" w:type="dxa"/>
            <w:tcBorders>
              <w:top w:val="single" w:color="000000" w:sz="4" w:space="0"/>
              <w:left w:val="single" w:color="auto" w:sz="4" w:space="0"/>
              <w:bottom w:val="single" w:color="000000" w:sz="4" w:space="0"/>
              <w:right w:val="single" w:color="000000" w:sz="4" w:space="0"/>
            </w:tcBorders>
            <w:noWrap w:val="0"/>
            <w:vAlign w:val="center"/>
          </w:tcPr>
          <w:p w14:paraId="518813E6">
            <w:pPr>
              <w:spacing w:line="320" w:lineRule="exact"/>
              <w:jc w:val="center"/>
              <w:rPr>
                <w:rFonts w:hint="eastAsia" w:ascii="仿宋" w:hAnsi="仿宋" w:eastAsia="仿宋" w:cs="仿宋"/>
                <w:color w:val="000000"/>
                <w:szCs w:val="21"/>
              </w:rPr>
            </w:pP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14B8761C">
            <w:pPr>
              <w:spacing w:line="320" w:lineRule="exact"/>
              <w:jc w:val="center"/>
              <w:rPr>
                <w:rFonts w:hint="eastAsia" w:ascii="仿宋" w:hAnsi="仿宋" w:eastAsia="仿宋" w:cs="仿宋"/>
                <w:color w:val="000000"/>
                <w:szCs w:val="21"/>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B25EAAF">
            <w:pPr>
              <w:spacing w:line="320" w:lineRule="exact"/>
              <w:jc w:val="center"/>
              <w:rPr>
                <w:rFonts w:hint="eastAsia" w:ascii="仿宋" w:hAnsi="仿宋" w:eastAsia="仿宋" w:cs="仿宋"/>
                <w:color w:val="000000"/>
                <w:szCs w:val="21"/>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384A3F23">
            <w:pPr>
              <w:spacing w:line="320" w:lineRule="exact"/>
              <w:jc w:val="center"/>
              <w:rPr>
                <w:rFonts w:hint="eastAsia" w:ascii="仿宋" w:hAnsi="仿宋" w:eastAsia="仿宋" w:cs="仿宋"/>
                <w:color w:val="000000"/>
                <w:szCs w:val="21"/>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756D9B7C">
            <w:pPr>
              <w:spacing w:line="320" w:lineRule="exact"/>
              <w:jc w:val="center"/>
              <w:rPr>
                <w:rFonts w:hint="eastAsia" w:ascii="仿宋" w:hAnsi="仿宋" w:eastAsia="仿宋" w:cs="仿宋"/>
                <w:color w:val="000000"/>
                <w:szCs w:val="21"/>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39BB3E85">
            <w:pPr>
              <w:spacing w:line="320" w:lineRule="exact"/>
              <w:jc w:val="center"/>
              <w:rPr>
                <w:rFonts w:hint="eastAsia" w:ascii="仿宋" w:hAnsi="仿宋" w:eastAsia="仿宋" w:cs="仿宋"/>
                <w:color w:val="000000"/>
                <w:szCs w:val="21"/>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720AA352">
            <w:pPr>
              <w:spacing w:line="320" w:lineRule="exact"/>
              <w:jc w:val="center"/>
              <w:rPr>
                <w:rFonts w:hint="eastAsia" w:ascii="仿宋" w:hAnsi="仿宋" w:eastAsia="仿宋" w:cs="仿宋"/>
                <w:color w:val="000000"/>
                <w:szCs w:val="21"/>
              </w:rPr>
            </w:pPr>
          </w:p>
        </w:tc>
        <w:tc>
          <w:tcPr>
            <w:tcW w:w="851" w:type="dxa"/>
            <w:tcBorders>
              <w:top w:val="single" w:color="000000" w:sz="4" w:space="0"/>
              <w:left w:val="single" w:color="000000" w:sz="4" w:space="0"/>
              <w:bottom w:val="single" w:color="000000" w:sz="4" w:space="0"/>
              <w:right w:val="single" w:color="auto" w:sz="4" w:space="0"/>
            </w:tcBorders>
            <w:noWrap w:val="0"/>
            <w:vAlign w:val="center"/>
          </w:tcPr>
          <w:p w14:paraId="43FA74F3">
            <w:pPr>
              <w:spacing w:line="320" w:lineRule="exact"/>
              <w:jc w:val="center"/>
              <w:rPr>
                <w:rFonts w:hint="eastAsia" w:ascii="仿宋" w:hAnsi="仿宋" w:eastAsia="仿宋" w:cs="仿宋"/>
                <w:color w:val="000000"/>
                <w:szCs w:val="21"/>
              </w:rPr>
            </w:pPr>
          </w:p>
        </w:tc>
        <w:tc>
          <w:tcPr>
            <w:tcW w:w="992" w:type="dxa"/>
            <w:tcBorders>
              <w:top w:val="single" w:color="000000" w:sz="4" w:space="0"/>
              <w:left w:val="single" w:color="auto" w:sz="4" w:space="0"/>
              <w:bottom w:val="single" w:color="000000" w:sz="4" w:space="0"/>
              <w:right w:val="single" w:color="000000" w:sz="4" w:space="0"/>
            </w:tcBorders>
            <w:noWrap w:val="0"/>
            <w:vAlign w:val="center"/>
          </w:tcPr>
          <w:p w14:paraId="6B610F4C">
            <w:pPr>
              <w:spacing w:line="320" w:lineRule="exact"/>
              <w:jc w:val="center"/>
              <w:rPr>
                <w:rFonts w:hint="eastAsia" w:ascii="仿宋" w:hAnsi="仿宋" w:eastAsia="仿宋" w:cs="仿宋"/>
                <w:color w:val="000000"/>
                <w:szCs w:val="21"/>
              </w:rPr>
            </w:pPr>
          </w:p>
        </w:tc>
      </w:tr>
      <w:tr w14:paraId="78EC0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55" w:type="dxa"/>
            <w:vMerge w:val="continue"/>
            <w:tcBorders>
              <w:left w:val="single" w:color="auto" w:sz="4" w:space="0"/>
              <w:right w:val="single" w:color="auto" w:sz="4" w:space="0"/>
            </w:tcBorders>
            <w:noWrap w:val="0"/>
            <w:vAlign w:val="center"/>
          </w:tcPr>
          <w:p w14:paraId="290DCDA4">
            <w:pPr>
              <w:spacing w:line="360" w:lineRule="exact"/>
              <w:jc w:val="center"/>
              <w:rPr>
                <w:rFonts w:hint="eastAsia" w:ascii="仿宋" w:hAnsi="仿宋" w:eastAsia="仿宋" w:cs="仿宋"/>
                <w:color w:val="000000"/>
                <w:szCs w:val="21"/>
              </w:rPr>
            </w:pPr>
          </w:p>
        </w:tc>
        <w:tc>
          <w:tcPr>
            <w:tcW w:w="873" w:type="dxa"/>
            <w:tcBorders>
              <w:top w:val="single" w:color="000000" w:sz="4" w:space="0"/>
              <w:left w:val="single" w:color="auto" w:sz="4" w:space="0"/>
              <w:bottom w:val="single" w:color="000000" w:sz="4" w:space="0"/>
              <w:right w:val="single" w:color="000000" w:sz="4" w:space="0"/>
            </w:tcBorders>
            <w:noWrap w:val="0"/>
            <w:vAlign w:val="center"/>
          </w:tcPr>
          <w:p w14:paraId="1A1117C8">
            <w:pPr>
              <w:spacing w:line="320" w:lineRule="exact"/>
              <w:jc w:val="center"/>
              <w:rPr>
                <w:rFonts w:hint="eastAsia" w:ascii="仿宋" w:hAnsi="仿宋" w:eastAsia="仿宋" w:cs="仿宋"/>
                <w:color w:val="000000"/>
                <w:szCs w:val="21"/>
              </w:rPr>
            </w:pPr>
          </w:p>
        </w:tc>
        <w:tc>
          <w:tcPr>
            <w:tcW w:w="695" w:type="dxa"/>
            <w:tcBorders>
              <w:top w:val="single" w:color="000000" w:sz="4" w:space="0"/>
              <w:left w:val="single" w:color="000000" w:sz="4" w:space="0"/>
              <w:bottom w:val="single" w:color="000000" w:sz="4" w:space="0"/>
              <w:right w:val="single" w:color="000000" w:sz="4" w:space="0"/>
            </w:tcBorders>
            <w:noWrap w:val="0"/>
            <w:vAlign w:val="center"/>
          </w:tcPr>
          <w:p w14:paraId="3866187B">
            <w:pPr>
              <w:spacing w:line="320" w:lineRule="exact"/>
              <w:jc w:val="center"/>
              <w:rPr>
                <w:rFonts w:hint="eastAsia" w:ascii="仿宋" w:hAnsi="仿宋" w:eastAsia="仿宋" w:cs="仿宋"/>
                <w:color w:val="000000"/>
                <w:szCs w:val="21"/>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14:paraId="29A7307C">
            <w:pPr>
              <w:spacing w:line="320" w:lineRule="exact"/>
              <w:jc w:val="center"/>
              <w:rPr>
                <w:rFonts w:hint="eastAsia" w:ascii="仿宋" w:hAnsi="仿宋" w:eastAsia="仿宋" w:cs="仿宋"/>
                <w:color w:val="000000"/>
                <w:szCs w:val="21"/>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14:paraId="09EBB822">
            <w:pPr>
              <w:spacing w:line="320" w:lineRule="exact"/>
              <w:jc w:val="center"/>
              <w:rPr>
                <w:rFonts w:hint="eastAsia" w:ascii="仿宋" w:hAnsi="仿宋" w:eastAsia="仿宋" w:cs="仿宋"/>
                <w:color w:val="000000"/>
                <w:szCs w:val="21"/>
              </w:rPr>
            </w:pPr>
          </w:p>
        </w:tc>
        <w:tc>
          <w:tcPr>
            <w:tcW w:w="1064" w:type="dxa"/>
            <w:tcBorders>
              <w:top w:val="single" w:color="000000" w:sz="4" w:space="0"/>
              <w:left w:val="single" w:color="000000" w:sz="4" w:space="0"/>
              <w:bottom w:val="single" w:color="000000" w:sz="4" w:space="0"/>
              <w:right w:val="single" w:color="000000" w:sz="4" w:space="0"/>
            </w:tcBorders>
            <w:noWrap w:val="0"/>
            <w:vAlign w:val="center"/>
          </w:tcPr>
          <w:p w14:paraId="6C53CA59">
            <w:pPr>
              <w:spacing w:line="320" w:lineRule="exact"/>
              <w:jc w:val="center"/>
              <w:rPr>
                <w:rFonts w:hint="eastAsia" w:ascii="仿宋" w:hAnsi="仿宋" w:eastAsia="仿宋" w:cs="仿宋"/>
                <w:color w:val="000000"/>
                <w:szCs w:val="21"/>
              </w:rPr>
            </w:pPr>
          </w:p>
        </w:tc>
        <w:tc>
          <w:tcPr>
            <w:tcW w:w="722" w:type="dxa"/>
            <w:tcBorders>
              <w:top w:val="single" w:color="000000" w:sz="4" w:space="0"/>
              <w:left w:val="single" w:color="000000" w:sz="4" w:space="0"/>
              <w:bottom w:val="single" w:color="000000" w:sz="4" w:space="0"/>
              <w:right w:val="single" w:color="000000" w:sz="4" w:space="0"/>
            </w:tcBorders>
            <w:noWrap w:val="0"/>
            <w:vAlign w:val="center"/>
          </w:tcPr>
          <w:p w14:paraId="3A195279">
            <w:pPr>
              <w:spacing w:line="320" w:lineRule="exact"/>
              <w:jc w:val="center"/>
              <w:rPr>
                <w:rFonts w:hint="eastAsia" w:ascii="仿宋" w:hAnsi="仿宋" w:eastAsia="仿宋" w:cs="仿宋"/>
                <w:color w:val="000000"/>
                <w:szCs w:val="21"/>
              </w:rPr>
            </w:pPr>
          </w:p>
        </w:tc>
        <w:tc>
          <w:tcPr>
            <w:tcW w:w="1888" w:type="dxa"/>
            <w:tcBorders>
              <w:top w:val="single" w:color="000000" w:sz="4" w:space="0"/>
              <w:left w:val="single" w:color="000000" w:sz="4" w:space="0"/>
              <w:bottom w:val="single" w:color="000000" w:sz="4" w:space="0"/>
              <w:right w:val="single" w:color="000000" w:sz="4" w:space="0"/>
            </w:tcBorders>
            <w:noWrap w:val="0"/>
            <w:vAlign w:val="center"/>
          </w:tcPr>
          <w:p w14:paraId="1A35E0B4">
            <w:pPr>
              <w:spacing w:line="320" w:lineRule="exact"/>
              <w:jc w:val="center"/>
              <w:rPr>
                <w:rFonts w:hint="eastAsia" w:ascii="仿宋" w:hAnsi="仿宋" w:eastAsia="仿宋" w:cs="仿宋"/>
                <w:color w:val="000000"/>
                <w:szCs w:val="21"/>
              </w:rPr>
            </w:pPr>
          </w:p>
        </w:tc>
        <w:tc>
          <w:tcPr>
            <w:tcW w:w="851" w:type="dxa"/>
            <w:tcBorders>
              <w:top w:val="single" w:color="000000" w:sz="4" w:space="0"/>
              <w:left w:val="single" w:color="000000" w:sz="4" w:space="0"/>
              <w:bottom w:val="single" w:color="000000" w:sz="4" w:space="0"/>
              <w:right w:val="single" w:color="auto" w:sz="4" w:space="0"/>
            </w:tcBorders>
            <w:noWrap w:val="0"/>
            <w:vAlign w:val="center"/>
          </w:tcPr>
          <w:p w14:paraId="56564DB6">
            <w:pPr>
              <w:spacing w:line="320" w:lineRule="exact"/>
              <w:jc w:val="center"/>
              <w:rPr>
                <w:rFonts w:hint="eastAsia" w:ascii="仿宋" w:hAnsi="仿宋" w:eastAsia="仿宋" w:cs="仿宋"/>
                <w:color w:val="000000"/>
                <w:szCs w:val="21"/>
              </w:rPr>
            </w:pPr>
          </w:p>
        </w:tc>
        <w:tc>
          <w:tcPr>
            <w:tcW w:w="992" w:type="dxa"/>
            <w:tcBorders>
              <w:top w:val="single" w:color="000000" w:sz="4" w:space="0"/>
              <w:left w:val="single" w:color="auto" w:sz="4" w:space="0"/>
              <w:bottom w:val="single" w:color="000000" w:sz="4" w:space="0"/>
              <w:right w:val="single" w:color="000000" w:sz="4" w:space="0"/>
            </w:tcBorders>
            <w:noWrap w:val="0"/>
            <w:vAlign w:val="center"/>
          </w:tcPr>
          <w:p w14:paraId="27D1C8E4">
            <w:pPr>
              <w:spacing w:line="320" w:lineRule="exact"/>
              <w:jc w:val="center"/>
              <w:rPr>
                <w:rFonts w:hint="eastAsia" w:ascii="仿宋" w:hAnsi="仿宋" w:eastAsia="仿宋" w:cs="仿宋"/>
                <w:color w:val="000000"/>
                <w:szCs w:val="21"/>
              </w:rPr>
            </w:pPr>
          </w:p>
        </w:tc>
      </w:tr>
      <w:tr w14:paraId="77CF7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9" w:hRule="atLeast"/>
        </w:trPr>
        <w:tc>
          <w:tcPr>
            <w:tcW w:w="655" w:type="dxa"/>
            <w:vMerge w:val="continue"/>
            <w:tcBorders>
              <w:left w:val="single" w:color="auto" w:sz="4" w:space="0"/>
              <w:right w:val="single" w:color="auto" w:sz="4" w:space="0"/>
            </w:tcBorders>
            <w:noWrap w:val="0"/>
            <w:vAlign w:val="top"/>
          </w:tcPr>
          <w:p w14:paraId="562845D1">
            <w:pPr>
              <w:spacing w:line="360" w:lineRule="exact"/>
              <w:jc w:val="center"/>
              <w:rPr>
                <w:rFonts w:hint="eastAsia" w:ascii="仿宋" w:hAnsi="仿宋" w:eastAsia="仿宋" w:cs="仿宋"/>
                <w:color w:val="000000"/>
                <w:szCs w:val="21"/>
              </w:rPr>
            </w:pPr>
          </w:p>
        </w:tc>
        <w:tc>
          <w:tcPr>
            <w:tcW w:w="873" w:type="dxa"/>
            <w:noWrap w:val="0"/>
            <w:vAlign w:val="center"/>
          </w:tcPr>
          <w:p w14:paraId="04B9E46C">
            <w:pPr>
              <w:spacing w:line="320" w:lineRule="exact"/>
              <w:jc w:val="center"/>
              <w:rPr>
                <w:rFonts w:hint="eastAsia" w:ascii="仿宋" w:hAnsi="仿宋" w:eastAsia="仿宋" w:cs="仿宋"/>
                <w:color w:val="000000"/>
                <w:szCs w:val="21"/>
              </w:rPr>
            </w:pPr>
          </w:p>
        </w:tc>
        <w:tc>
          <w:tcPr>
            <w:tcW w:w="695" w:type="dxa"/>
            <w:noWrap w:val="0"/>
            <w:vAlign w:val="center"/>
          </w:tcPr>
          <w:p w14:paraId="06041491">
            <w:pPr>
              <w:spacing w:line="320" w:lineRule="exact"/>
              <w:jc w:val="center"/>
              <w:rPr>
                <w:rFonts w:hint="eastAsia" w:ascii="仿宋" w:hAnsi="仿宋" w:eastAsia="仿宋" w:cs="仿宋"/>
                <w:color w:val="000000"/>
                <w:szCs w:val="21"/>
              </w:rPr>
            </w:pPr>
          </w:p>
        </w:tc>
        <w:tc>
          <w:tcPr>
            <w:tcW w:w="900" w:type="dxa"/>
            <w:noWrap w:val="0"/>
            <w:vAlign w:val="center"/>
          </w:tcPr>
          <w:p w14:paraId="6EB30F39">
            <w:pPr>
              <w:spacing w:line="320" w:lineRule="exact"/>
              <w:jc w:val="center"/>
              <w:rPr>
                <w:rFonts w:hint="eastAsia" w:ascii="仿宋" w:hAnsi="仿宋" w:eastAsia="仿宋" w:cs="仿宋"/>
                <w:color w:val="000000"/>
                <w:szCs w:val="21"/>
              </w:rPr>
            </w:pPr>
          </w:p>
        </w:tc>
        <w:tc>
          <w:tcPr>
            <w:tcW w:w="723" w:type="dxa"/>
            <w:noWrap w:val="0"/>
            <w:vAlign w:val="center"/>
          </w:tcPr>
          <w:p w14:paraId="58F311C5">
            <w:pPr>
              <w:spacing w:line="320" w:lineRule="exact"/>
              <w:jc w:val="center"/>
              <w:rPr>
                <w:rFonts w:hint="eastAsia" w:ascii="仿宋" w:hAnsi="仿宋" w:eastAsia="仿宋" w:cs="仿宋"/>
                <w:color w:val="000000"/>
                <w:szCs w:val="21"/>
              </w:rPr>
            </w:pPr>
          </w:p>
        </w:tc>
        <w:tc>
          <w:tcPr>
            <w:tcW w:w="1064" w:type="dxa"/>
            <w:noWrap w:val="0"/>
            <w:vAlign w:val="center"/>
          </w:tcPr>
          <w:p w14:paraId="189B0896">
            <w:pPr>
              <w:spacing w:line="320" w:lineRule="exact"/>
              <w:jc w:val="center"/>
              <w:rPr>
                <w:rFonts w:hint="eastAsia" w:ascii="仿宋" w:hAnsi="仿宋" w:eastAsia="仿宋" w:cs="仿宋"/>
                <w:color w:val="000000"/>
                <w:szCs w:val="21"/>
              </w:rPr>
            </w:pPr>
          </w:p>
        </w:tc>
        <w:tc>
          <w:tcPr>
            <w:tcW w:w="722" w:type="dxa"/>
            <w:noWrap w:val="0"/>
            <w:vAlign w:val="center"/>
          </w:tcPr>
          <w:p w14:paraId="765D9BBC">
            <w:pPr>
              <w:spacing w:line="320" w:lineRule="exact"/>
              <w:jc w:val="center"/>
              <w:rPr>
                <w:rFonts w:hint="eastAsia" w:ascii="仿宋" w:hAnsi="仿宋" w:eastAsia="仿宋" w:cs="仿宋"/>
                <w:color w:val="000000"/>
                <w:szCs w:val="21"/>
              </w:rPr>
            </w:pPr>
          </w:p>
        </w:tc>
        <w:tc>
          <w:tcPr>
            <w:tcW w:w="1888" w:type="dxa"/>
            <w:noWrap w:val="0"/>
            <w:vAlign w:val="center"/>
          </w:tcPr>
          <w:p w14:paraId="09F49F83">
            <w:pPr>
              <w:spacing w:line="320" w:lineRule="exact"/>
              <w:jc w:val="center"/>
              <w:rPr>
                <w:rFonts w:hint="eastAsia" w:ascii="仿宋" w:hAnsi="仿宋" w:eastAsia="仿宋" w:cs="仿宋"/>
                <w:color w:val="000000"/>
                <w:szCs w:val="21"/>
              </w:rPr>
            </w:pPr>
          </w:p>
        </w:tc>
        <w:tc>
          <w:tcPr>
            <w:tcW w:w="851" w:type="dxa"/>
            <w:noWrap w:val="0"/>
            <w:vAlign w:val="center"/>
          </w:tcPr>
          <w:p w14:paraId="0FDFA420">
            <w:pPr>
              <w:spacing w:line="320" w:lineRule="exact"/>
              <w:jc w:val="center"/>
              <w:rPr>
                <w:rFonts w:hint="eastAsia" w:ascii="仿宋" w:hAnsi="仿宋" w:eastAsia="仿宋" w:cs="仿宋"/>
                <w:color w:val="000000"/>
                <w:szCs w:val="21"/>
              </w:rPr>
            </w:pPr>
          </w:p>
          <w:bookmarkEnd w:id="22"/>
        </w:tc>
        <w:tc>
          <w:tcPr>
            <w:tcW w:w="992" w:type="dxa"/>
            <w:noWrap w:val="0"/>
            <w:vAlign w:val="center"/>
          </w:tcPr>
          <w:p w14:paraId="306EDB6B">
            <w:pPr>
              <w:spacing w:line="320" w:lineRule="exact"/>
              <w:jc w:val="center"/>
              <w:rPr>
                <w:rFonts w:hint="eastAsia" w:ascii="仿宋" w:hAnsi="仿宋" w:eastAsia="仿宋" w:cs="仿宋"/>
                <w:color w:val="000000"/>
                <w:szCs w:val="21"/>
              </w:rPr>
            </w:pPr>
          </w:p>
        </w:tc>
      </w:tr>
    </w:tbl>
    <w:p w14:paraId="46037CDD">
      <w:pPr>
        <w:pStyle w:val="2"/>
        <w:numPr>
          <w:ilvl w:val="0"/>
          <w:numId w:val="0"/>
        </w:numPr>
        <w:rPr>
          <w:rFonts w:hint="eastAsia" w:ascii="仿宋" w:hAnsi="仿宋" w:eastAsia="仿宋" w:cs="仿宋"/>
          <w:b w:val="0"/>
          <w:szCs w:val="21"/>
        </w:rPr>
      </w:pPr>
    </w:p>
    <w:p w14:paraId="54B75377">
      <w:pPr>
        <w:jc w:val="center"/>
        <w:rPr>
          <w:rFonts w:ascii="宋体" w:hAnsi="宋体" w:cs="宋体"/>
          <w:b/>
          <w:color w:val="000000"/>
          <w:szCs w:val="21"/>
        </w:rPr>
      </w:pPr>
    </w:p>
    <w:p w14:paraId="10E01AEE">
      <w:pPr>
        <w:pStyle w:val="190"/>
        <w:ind w:firstLine="422"/>
      </w:pPr>
    </w:p>
    <w:p w14:paraId="0EBE4EF7">
      <w:pPr>
        <w:keepNext w:val="0"/>
        <w:keepLines w:val="0"/>
        <w:pageBreakBefore w:val="0"/>
        <w:spacing w:line="400" w:lineRule="exact"/>
        <w:rPr>
          <w:rFonts w:hint="eastAsia" w:ascii="宋体" w:hAnsi="宋体" w:eastAsia="宋体" w:cs="宋体"/>
          <w:sz w:val="24"/>
          <w:szCs w:val="24"/>
        </w:rPr>
      </w:pPr>
    </w:p>
    <w:p w14:paraId="4ED9F562">
      <w:pPr>
        <w:pStyle w:val="20"/>
        <w:spacing w:line="440" w:lineRule="exact"/>
        <w:jc w:val="center"/>
        <w:rPr>
          <w:rFonts w:hint="eastAsia" w:ascii="宋体" w:hAnsi="宋体" w:eastAsia="宋体" w:cs="宋体"/>
          <w:b/>
          <w:color w:val="000000"/>
          <w:sz w:val="32"/>
          <w:szCs w:val="32"/>
          <w:highlight w:val="none"/>
        </w:rPr>
      </w:pPr>
    </w:p>
    <w:p w14:paraId="2AFD6530">
      <w:pPr>
        <w:pStyle w:val="20"/>
        <w:spacing w:line="440" w:lineRule="exact"/>
        <w:jc w:val="center"/>
        <w:rPr>
          <w:rFonts w:hint="eastAsia" w:ascii="宋体" w:hAnsi="宋体" w:eastAsia="宋体" w:cs="宋体"/>
          <w:b/>
          <w:color w:val="000000"/>
          <w:sz w:val="32"/>
          <w:szCs w:val="32"/>
          <w:highlight w:val="none"/>
        </w:rPr>
      </w:pPr>
    </w:p>
    <w:p w14:paraId="37CAAD11">
      <w:pPr>
        <w:pStyle w:val="20"/>
        <w:spacing w:line="440" w:lineRule="exact"/>
        <w:jc w:val="center"/>
        <w:rPr>
          <w:rFonts w:hint="eastAsia" w:ascii="宋体" w:hAnsi="宋体" w:eastAsia="宋体" w:cs="宋体"/>
          <w:b/>
          <w:color w:val="000000"/>
          <w:sz w:val="32"/>
          <w:szCs w:val="32"/>
          <w:highlight w:val="none"/>
        </w:rPr>
      </w:pPr>
    </w:p>
    <w:p w14:paraId="0F7BC162">
      <w:pPr>
        <w:pStyle w:val="20"/>
        <w:spacing w:line="440" w:lineRule="exact"/>
        <w:jc w:val="center"/>
        <w:rPr>
          <w:rFonts w:hint="eastAsia" w:ascii="宋体" w:hAnsi="宋体" w:eastAsia="宋体" w:cs="宋体"/>
          <w:b/>
          <w:color w:val="000000"/>
          <w:sz w:val="32"/>
          <w:szCs w:val="32"/>
          <w:highlight w:val="none"/>
        </w:rPr>
      </w:pPr>
    </w:p>
    <w:p w14:paraId="638B3E63">
      <w:pPr>
        <w:pStyle w:val="20"/>
        <w:spacing w:line="440" w:lineRule="exact"/>
        <w:jc w:val="both"/>
        <w:rPr>
          <w:rFonts w:hint="eastAsia" w:ascii="宋体" w:hAnsi="宋体" w:eastAsia="宋体" w:cs="宋体"/>
          <w:b/>
          <w:color w:val="000000"/>
          <w:sz w:val="32"/>
          <w:szCs w:val="32"/>
          <w:highlight w:val="none"/>
        </w:rPr>
      </w:pPr>
    </w:p>
    <w:p w14:paraId="262E8F4D">
      <w:pPr>
        <w:pStyle w:val="20"/>
        <w:spacing w:line="440" w:lineRule="exact"/>
        <w:jc w:val="both"/>
        <w:rPr>
          <w:rFonts w:hint="eastAsia" w:ascii="宋体" w:hAnsi="宋体" w:eastAsia="宋体" w:cs="宋体"/>
          <w:b/>
          <w:color w:val="000000"/>
          <w:sz w:val="32"/>
          <w:szCs w:val="32"/>
          <w:highlight w:val="none"/>
        </w:rPr>
      </w:pPr>
    </w:p>
    <w:p w14:paraId="77B805B3">
      <w:pPr>
        <w:pStyle w:val="20"/>
        <w:spacing w:line="440" w:lineRule="exact"/>
        <w:jc w:val="center"/>
        <w:rPr>
          <w:rFonts w:hint="eastAsia" w:ascii="宋体" w:hAnsi="宋体" w:eastAsia="宋体" w:cs="宋体"/>
          <w:b/>
          <w:color w:val="000000"/>
          <w:sz w:val="32"/>
          <w:szCs w:val="32"/>
          <w:highlight w:val="none"/>
        </w:rPr>
      </w:pPr>
    </w:p>
    <w:p w14:paraId="0DEABDA4">
      <w:pPr>
        <w:pStyle w:val="20"/>
        <w:spacing w:line="440" w:lineRule="exact"/>
        <w:jc w:val="center"/>
        <w:rPr>
          <w:rFonts w:hint="eastAsia" w:ascii="宋体" w:hAnsi="宋体" w:eastAsia="宋体" w:cs="宋体"/>
          <w:b/>
          <w:color w:val="000000"/>
          <w:sz w:val="32"/>
          <w:szCs w:val="32"/>
          <w:highlight w:val="none"/>
        </w:rPr>
      </w:pPr>
    </w:p>
    <w:p w14:paraId="76372844">
      <w:pPr>
        <w:pStyle w:val="20"/>
        <w:spacing w:line="440" w:lineRule="exact"/>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第六章  响  应  文  件</w:t>
      </w:r>
    </w:p>
    <w:p w14:paraId="2622C0F2">
      <w:pPr>
        <w:pStyle w:val="20"/>
        <w:rPr>
          <w:rFonts w:hint="eastAsia" w:ascii="宋体" w:hAnsi="宋体" w:eastAsia="宋体" w:cs="宋体"/>
          <w:color w:val="000000"/>
          <w:sz w:val="32"/>
          <w:highlight w:val="none"/>
        </w:rPr>
      </w:pPr>
    </w:p>
    <w:p w14:paraId="0C48F6F2">
      <w:pPr>
        <w:pStyle w:val="20"/>
        <w:rPr>
          <w:rFonts w:hint="eastAsia" w:ascii="宋体" w:hAnsi="宋体" w:eastAsia="宋体" w:cs="宋体"/>
          <w:color w:val="000000"/>
          <w:sz w:val="32"/>
          <w:highlight w:val="none"/>
        </w:rPr>
      </w:pPr>
    </w:p>
    <w:p w14:paraId="1B3D07C3">
      <w:pPr>
        <w:pStyle w:val="20"/>
        <w:rPr>
          <w:rFonts w:hint="eastAsia" w:ascii="宋体" w:hAnsi="宋体" w:eastAsia="宋体" w:cs="宋体"/>
          <w:color w:val="000000"/>
          <w:sz w:val="32"/>
          <w:highlight w:val="none"/>
        </w:rPr>
      </w:pPr>
    </w:p>
    <w:p w14:paraId="7071C911">
      <w:pPr>
        <w:pStyle w:val="20"/>
        <w:spacing w:line="440" w:lineRule="exact"/>
        <w:jc w:val="center"/>
        <w:rPr>
          <w:rFonts w:hint="eastAsia" w:ascii="宋体" w:hAnsi="宋体" w:eastAsia="宋体" w:cs="宋体"/>
          <w:b/>
          <w:color w:val="000000"/>
          <w:sz w:val="32"/>
          <w:szCs w:val="32"/>
          <w:highlight w:val="none"/>
        </w:rPr>
      </w:pPr>
    </w:p>
    <w:p w14:paraId="4C002201">
      <w:pPr>
        <w:pStyle w:val="20"/>
        <w:spacing w:line="440" w:lineRule="exact"/>
        <w:jc w:val="both"/>
        <w:rPr>
          <w:rFonts w:hint="eastAsia" w:ascii="宋体" w:hAnsi="宋体" w:eastAsia="宋体" w:cs="宋体"/>
          <w:b/>
          <w:color w:val="000000"/>
          <w:sz w:val="32"/>
          <w:szCs w:val="32"/>
          <w:highlight w:val="none"/>
        </w:rPr>
      </w:pPr>
    </w:p>
    <w:p w14:paraId="45A47E6A">
      <w:pPr>
        <w:pStyle w:val="20"/>
        <w:spacing w:line="440" w:lineRule="exact"/>
        <w:jc w:val="both"/>
        <w:rPr>
          <w:rFonts w:hint="eastAsia" w:ascii="宋体" w:hAnsi="宋体" w:eastAsia="宋体" w:cs="宋体"/>
          <w:b/>
          <w:color w:val="000000"/>
          <w:sz w:val="32"/>
          <w:szCs w:val="32"/>
          <w:highlight w:val="none"/>
        </w:rPr>
      </w:pPr>
    </w:p>
    <w:p w14:paraId="52E08467">
      <w:pPr>
        <w:pStyle w:val="20"/>
        <w:spacing w:line="440" w:lineRule="exact"/>
        <w:ind w:firstLine="643"/>
        <w:jc w:val="both"/>
        <w:rPr>
          <w:rFonts w:hint="default" w:hAnsi="宋体" w:cs="宋体"/>
          <w:b/>
          <w:color w:val="000000"/>
          <w:sz w:val="32"/>
          <w:szCs w:val="32"/>
          <w:highlight w:val="none"/>
          <w:u w:val="single"/>
          <w:lang w:val="en-US" w:eastAsia="zh-CN"/>
        </w:rPr>
      </w:pPr>
      <w:r>
        <w:rPr>
          <w:rFonts w:hint="eastAsia" w:hAnsi="宋体" w:cs="宋体"/>
          <w:b/>
          <w:color w:val="000000"/>
          <w:sz w:val="32"/>
          <w:szCs w:val="32"/>
          <w:highlight w:val="none"/>
          <w:lang w:val="en-US" w:eastAsia="zh-CN"/>
        </w:rPr>
        <w:t>项目名称：</w:t>
      </w:r>
      <w:r>
        <w:rPr>
          <w:rFonts w:hint="eastAsia" w:hAnsi="宋体" w:cs="宋体"/>
          <w:b/>
          <w:color w:val="000000"/>
          <w:sz w:val="32"/>
          <w:szCs w:val="32"/>
          <w:highlight w:val="none"/>
          <w:u w:val="single"/>
          <w:lang w:val="en-US" w:eastAsia="zh-CN"/>
        </w:rPr>
        <w:t xml:space="preserve">                   </w:t>
      </w:r>
    </w:p>
    <w:p w14:paraId="073985AD">
      <w:pPr>
        <w:pStyle w:val="20"/>
        <w:spacing w:line="440" w:lineRule="exact"/>
        <w:ind w:firstLine="643"/>
        <w:jc w:val="both"/>
        <w:rPr>
          <w:rFonts w:hint="eastAsia" w:hAnsi="宋体" w:cs="宋体"/>
          <w:b/>
          <w:color w:val="000000"/>
          <w:sz w:val="32"/>
          <w:szCs w:val="32"/>
          <w:highlight w:val="none"/>
          <w:lang w:val="en-US" w:eastAsia="zh-CN"/>
        </w:rPr>
      </w:pPr>
    </w:p>
    <w:p w14:paraId="752D734B">
      <w:pPr>
        <w:pStyle w:val="20"/>
        <w:spacing w:line="440" w:lineRule="exact"/>
        <w:ind w:firstLine="643"/>
        <w:jc w:val="both"/>
        <w:rPr>
          <w:rFonts w:hint="default" w:hAnsi="宋体" w:cs="宋体"/>
          <w:b/>
          <w:color w:val="000000"/>
          <w:sz w:val="32"/>
          <w:szCs w:val="32"/>
          <w:highlight w:val="none"/>
          <w:u w:val="single"/>
          <w:lang w:val="en-US" w:eastAsia="zh-CN"/>
        </w:rPr>
      </w:pPr>
      <w:r>
        <w:rPr>
          <w:rFonts w:hint="eastAsia" w:hAnsi="宋体" w:cs="宋体"/>
          <w:b/>
          <w:color w:val="000000"/>
          <w:sz w:val="32"/>
          <w:szCs w:val="32"/>
          <w:highlight w:val="none"/>
          <w:lang w:val="en-US" w:eastAsia="zh-CN"/>
        </w:rPr>
        <w:t>采购编号：</w:t>
      </w:r>
      <w:r>
        <w:rPr>
          <w:rFonts w:hint="eastAsia" w:hAnsi="宋体" w:cs="宋体"/>
          <w:b/>
          <w:color w:val="000000"/>
          <w:sz w:val="32"/>
          <w:szCs w:val="32"/>
          <w:highlight w:val="none"/>
          <w:u w:val="single"/>
          <w:lang w:val="en-US" w:eastAsia="zh-CN"/>
        </w:rPr>
        <w:t xml:space="preserve">                      </w:t>
      </w:r>
    </w:p>
    <w:p w14:paraId="1505A353">
      <w:pPr>
        <w:pStyle w:val="20"/>
        <w:spacing w:line="440" w:lineRule="exact"/>
        <w:ind w:firstLine="643"/>
        <w:jc w:val="both"/>
        <w:rPr>
          <w:rFonts w:hint="eastAsia" w:hAnsi="宋体" w:cs="宋体"/>
          <w:b/>
          <w:color w:val="000000"/>
          <w:sz w:val="32"/>
          <w:szCs w:val="32"/>
          <w:highlight w:val="none"/>
          <w:lang w:val="en-US" w:eastAsia="zh-CN"/>
        </w:rPr>
      </w:pPr>
    </w:p>
    <w:p w14:paraId="5E00951B">
      <w:pPr>
        <w:pStyle w:val="20"/>
        <w:spacing w:line="440" w:lineRule="exact"/>
        <w:ind w:firstLine="643"/>
        <w:jc w:val="both"/>
        <w:rPr>
          <w:rFonts w:hint="default" w:hAnsi="宋体" w:cs="宋体"/>
          <w:b/>
          <w:color w:val="000000"/>
          <w:sz w:val="32"/>
          <w:szCs w:val="32"/>
          <w:highlight w:val="none"/>
          <w:u w:val="single"/>
          <w:lang w:val="en-US" w:eastAsia="zh-CN"/>
        </w:rPr>
      </w:pPr>
      <w:r>
        <w:rPr>
          <w:rFonts w:hint="eastAsia" w:hAnsi="宋体" w:cs="宋体"/>
          <w:b/>
          <w:color w:val="000000"/>
          <w:sz w:val="32"/>
          <w:szCs w:val="32"/>
          <w:highlight w:val="none"/>
          <w:lang w:val="en-US" w:eastAsia="zh-CN"/>
        </w:rPr>
        <w:t>供应商名称：</w:t>
      </w:r>
      <w:r>
        <w:rPr>
          <w:rFonts w:hint="eastAsia" w:hAnsi="宋体" w:cs="宋体"/>
          <w:b/>
          <w:color w:val="000000"/>
          <w:sz w:val="32"/>
          <w:szCs w:val="32"/>
          <w:highlight w:val="none"/>
          <w:u w:val="single"/>
          <w:lang w:val="en-US" w:eastAsia="zh-CN"/>
        </w:rPr>
        <w:t xml:space="preserve">加盖CA电子公章     </w:t>
      </w:r>
    </w:p>
    <w:p w14:paraId="2A591611">
      <w:pPr>
        <w:pStyle w:val="20"/>
        <w:spacing w:line="440" w:lineRule="exact"/>
        <w:ind w:firstLine="643"/>
        <w:jc w:val="both"/>
        <w:rPr>
          <w:rFonts w:hint="eastAsia" w:hAnsi="宋体" w:cs="宋体"/>
          <w:b/>
          <w:color w:val="000000"/>
          <w:sz w:val="32"/>
          <w:szCs w:val="32"/>
          <w:highlight w:val="none"/>
          <w:lang w:val="en-US" w:eastAsia="zh-CN"/>
        </w:rPr>
      </w:pPr>
    </w:p>
    <w:p w14:paraId="3392836F">
      <w:pPr>
        <w:pStyle w:val="20"/>
        <w:spacing w:line="440" w:lineRule="exact"/>
        <w:ind w:firstLine="643"/>
        <w:jc w:val="both"/>
      </w:pPr>
      <w:r>
        <w:rPr>
          <w:rFonts w:hint="eastAsia" w:hAnsi="宋体" w:cs="宋体"/>
          <w:b/>
          <w:color w:val="000000"/>
          <w:sz w:val="32"/>
          <w:szCs w:val="32"/>
          <w:highlight w:val="none"/>
          <w:lang w:val="en-US" w:eastAsia="zh-CN"/>
        </w:rPr>
        <w:t>日      期：</w:t>
      </w:r>
      <w:r>
        <w:rPr>
          <w:rFonts w:hint="eastAsia" w:hAnsi="宋体" w:cs="宋体"/>
          <w:b/>
          <w:color w:val="000000"/>
          <w:sz w:val="32"/>
          <w:szCs w:val="32"/>
          <w:highlight w:val="none"/>
          <w:u w:val="single"/>
          <w:lang w:val="en-US" w:eastAsia="zh-CN"/>
        </w:rPr>
        <w:t xml:space="preserve">                    </w:t>
      </w:r>
      <w:r>
        <w:rPr>
          <w:rFonts w:hint="eastAsia" w:ascii="宋体" w:hAnsi="宋体" w:eastAsia="宋体" w:cs="宋体"/>
          <w:b/>
          <w:color w:val="000000"/>
          <w:sz w:val="32"/>
          <w:szCs w:val="32"/>
          <w:highlight w:val="none"/>
        </w:rPr>
        <w:t>     </w:t>
      </w:r>
    </w:p>
    <w:p w14:paraId="543B8747">
      <w:pPr>
        <w:ind w:firstLine="723"/>
        <w:jc w:val="center"/>
        <w:rPr>
          <w:rFonts w:hint="eastAsia" w:ascii="宋体" w:hAnsi="宋体" w:eastAsia="宋体" w:cs="宋体"/>
          <w:b/>
          <w:bCs/>
          <w:sz w:val="36"/>
          <w:szCs w:val="36"/>
        </w:rPr>
      </w:pPr>
    </w:p>
    <w:p w14:paraId="3875F303">
      <w:pPr>
        <w:ind w:firstLine="723"/>
        <w:jc w:val="center"/>
        <w:rPr>
          <w:rFonts w:hint="eastAsia" w:ascii="宋体" w:hAnsi="宋体" w:eastAsia="宋体" w:cs="宋体"/>
          <w:b/>
          <w:bCs/>
          <w:sz w:val="36"/>
          <w:szCs w:val="36"/>
        </w:rPr>
      </w:pPr>
    </w:p>
    <w:p w14:paraId="1F1EECDA">
      <w:pPr>
        <w:ind w:firstLine="723"/>
        <w:jc w:val="center"/>
        <w:rPr>
          <w:rFonts w:hint="eastAsia" w:ascii="宋体" w:hAnsi="宋体" w:eastAsia="宋体" w:cs="宋体"/>
          <w:b/>
          <w:bCs/>
          <w:sz w:val="36"/>
          <w:szCs w:val="36"/>
        </w:rPr>
      </w:pPr>
    </w:p>
    <w:p w14:paraId="40CBD1BC">
      <w:pPr>
        <w:ind w:firstLine="723"/>
        <w:jc w:val="center"/>
        <w:rPr>
          <w:rFonts w:hint="eastAsia" w:ascii="宋体" w:hAnsi="宋体" w:eastAsia="宋体" w:cs="宋体"/>
          <w:b/>
          <w:bCs/>
          <w:sz w:val="36"/>
          <w:szCs w:val="36"/>
        </w:rPr>
      </w:pPr>
    </w:p>
    <w:p w14:paraId="5047124A">
      <w:pPr>
        <w:ind w:firstLine="723"/>
        <w:jc w:val="center"/>
        <w:rPr>
          <w:rFonts w:hint="eastAsia" w:ascii="宋体" w:hAnsi="宋体" w:eastAsia="宋体" w:cs="宋体"/>
          <w:b/>
          <w:bCs/>
          <w:sz w:val="36"/>
          <w:szCs w:val="36"/>
        </w:rPr>
      </w:pPr>
    </w:p>
    <w:p w14:paraId="7BD5FC64">
      <w:pPr>
        <w:pStyle w:val="3"/>
        <w:rPr>
          <w:rFonts w:hint="eastAsia"/>
          <w:lang w:eastAsia="zh-CN"/>
        </w:rPr>
      </w:pPr>
    </w:p>
    <w:p w14:paraId="6C529BE2">
      <w:pPr>
        <w:rPr>
          <w:rFonts w:hint="eastAsia"/>
          <w:lang w:eastAsia="zh-CN"/>
        </w:rPr>
      </w:pPr>
    </w:p>
    <w:p w14:paraId="729F46B1">
      <w:pPr>
        <w:pStyle w:val="3"/>
        <w:rPr>
          <w:rFonts w:hint="eastAsia"/>
          <w:lang w:eastAsia="zh-CN"/>
        </w:rPr>
      </w:pPr>
    </w:p>
    <w:p w14:paraId="247B980C">
      <w:pPr>
        <w:rPr>
          <w:rFonts w:hint="eastAsia"/>
          <w:lang w:eastAsia="zh-CN"/>
        </w:rPr>
      </w:pPr>
    </w:p>
    <w:p w14:paraId="7C72B7A7">
      <w:pPr>
        <w:pStyle w:val="3"/>
        <w:rPr>
          <w:rFonts w:hint="eastAsia"/>
          <w:lang w:eastAsia="zh-CN"/>
        </w:rPr>
      </w:pPr>
    </w:p>
    <w:p w14:paraId="2EFFA241">
      <w:pPr>
        <w:rPr>
          <w:rFonts w:hint="eastAsia"/>
          <w:lang w:eastAsia="zh-CN"/>
        </w:rPr>
      </w:pPr>
    </w:p>
    <w:p w14:paraId="7EBE8D69">
      <w:pPr>
        <w:pStyle w:val="3"/>
        <w:rPr>
          <w:rFonts w:hint="eastAsia"/>
          <w:lang w:eastAsia="zh-CN"/>
        </w:rPr>
      </w:pPr>
    </w:p>
    <w:p w14:paraId="6FA3A156">
      <w:pPr>
        <w:ind w:firstLine="723"/>
        <w:jc w:val="center"/>
        <w:rPr>
          <w:rFonts w:hint="eastAsia" w:ascii="宋体" w:hAnsi="宋体" w:eastAsia="宋体" w:cs="宋体"/>
          <w:b/>
          <w:bCs/>
          <w:sz w:val="36"/>
          <w:szCs w:val="36"/>
        </w:rPr>
      </w:pPr>
    </w:p>
    <w:p w14:paraId="5F9C8684">
      <w:pPr>
        <w:ind w:firstLine="723"/>
        <w:jc w:val="center"/>
        <w:rPr>
          <w:rFonts w:hint="eastAsia" w:ascii="宋体" w:hAnsi="宋体" w:eastAsia="宋体" w:cs="宋体"/>
          <w:b/>
          <w:bCs/>
          <w:sz w:val="32"/>
          <w:szCs w:val="32"/>
        </w:rPr>
      </w:pPr>
      <w:r>
        <w:rPr>
          <w:rFonts w:hint="eastAsia" w:ascii="宋体" w:hAnsi="宋体" w:eastAsia="宋体" w:cs="宋体"/>
          <w:b/>
          <w:bCs/>
          <w:sz w:val="36"/>
          <w:szCs w:val="36"/>
        </w:rPr>
        <w:t>一、磋商函</w:t>
      </w:r>
    </w:p>
    <w:p w14:paraId="2AACD583">
      <w:pPr>
        <w:pStyle w:val="208"/>
        <w:keepNext w:val="0"/>
        <w:keepLines w:val="0"/>
        <w:pageBreakBefore w:val="0"/>
        <w:widowControl w:val="0"/>
        <w:spacing w:before="0" w:after="0" w:line="400" w:lineRule="exact"/>
        <w:ind w:firstLine="560"/>
        <w:jc w:val="both"/>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（采购人）</w:t>
      </w:r>
    </w:p>
    <w:p w14:paraId="6A064835">
      <w:pPr>
        <w:pStyle w:val="208"/>
        <w:keepNext w:val="0"/>
        <w:keepLines w:val="0"/>
        <w:pageBreakBefore w:val="0"/>
        <w:widowControl w:val="0"/>
        <w:spacing w:before="0" w:after="0" w:line="400" w:lineRule="exact"/>
        <w:ind w:firstLine="700"/>
        <w:rPr>
          <w:rFonts w:hint="eastAsia" w:ascii="宋体" w:hAnsi="宋体" w:eastAsia="宋体" w:cs="宋体"/>
          <w:sz w:val="24"/>
          <w:szCs w:val="24"/>
        </w:rPr>
      </w:pPr>
      <w:r>
        <w:rPr>
          <w:rFonts w:hint="eastAsia" w:ascii="宋体" w:hAnsi="宋体" w:eastAsia="宋体" w:cs="宋体"/>
          <w:sz w:val="24"/>
          <w:szCs w:val="24"/>
        </w:rPr>
        <w:t xml:space="preserve">关于 </w:t>
      </w:r>
      <w:r>
        <w:rPr>
          <w:rFonts w:hint="eastAsia" w:ascii="宋体" w:hAnsi="宋体" w:eastAsia="宋体" w:cs="宋体"/>
          <w:sz w:val="24"/>
          <w:szCs w:val="24"/>
          <w:u w:val="single"/>
        </w:rPr>
        <w:t xml:space="preserve">         </w:t>
      </w:r>
      <w:r>
        <w:rPr>
          <w:rFonts w:hint="eastAsia" w:ascii="宋体" w:hAnsi="宋体" w:eastAsia="宋体" w:cs="宋体"/>
          <w:sz w:val="24"/>
          <w:szCs w:val="24"/>
        </w:rPr>
        <w:t>采购项目（项目编号</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磋商</w:t>
      </w:r>
      <w:r>
        <w:rPr>
          <w:rFonts w:hint="eastAsia" w:ascii="宋体" w:hAnsi="宋体" w:eastAsia="宋体" w:cs="宋体"/>
          <w:sz w:val="24"/>
          <w:szCs w:val="24"/>
        </w:rPr>
        <w:t>文件（包括更正公告、如果有的话）收悉，我们经详细审阅和研究，现决定参加投标。同时，正式授权下述签字人</w:t>
      </w:r>
      <w:r>
        <w:rPr>
          <w:rFonts w:hint="eastAsia" w:ascii="宋体" w:hAnsi="宋体" w:eastAsia="宋体" w:cs="宋体"/>
          <w:sz w:val="24"/>
          <w:szCs w:val="24"/>
          <w:u w:val="single"/>
        </w:rPr>
        <w:t xml:space="preserve">      </w:t>
      </w:r>
      <w:r>
        <w:rPr>
          <w:rFonts w:hint="eastAsia" w:ascii="宋体" w:hAnsi="宋体" w:eastAsia="宋体" w:cs="宋体"/>
          <w:sz w:val="24"/>
          <w:szCs w:val="24"/>
        </w:rPr>
        <w:t>（姓名和职务）代表</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（投标人单位名称），全权处理本次项目投标的有关事宜。</w:t>
      </w:r>
    </w:p>
    <w:p w14:paraId="659EE1C7">
      <w:pPr>
        <w:ind w:right="-210" w:firstLine="480"/>
        <w:jc w:val="left"/>
        <w:rPr>
          <w:rFonts w:ascii="宋体" w:hAnsi="宋体" w:cs="宋体"/>
          <w:sz w:val="24"/>
        </w:rPr>
      </w:pPr>
      <w:r>
        <w:rPr>
          <w:rFonts w:hint="eastAsia" w:ascii="宋体" w:hAnsi="宋体" w:cs="宋体"/>
          <w:sz w:val="24"/>
        </w:rPr>
        <w:t>1、按</w:t>
      </w:r>
      <w:r>
        <w:rPr>
          <w:rFonts w:hint="eastAsia" w:ascii="宋体" w:hAnsi="宋体" w:cs="宋体"/>
          <w:sz w:val="24"/>
          <w:lang w:val="en-US" w:eastAsia="zh-CN"/>
        </w:rPr>
        <w:t>磋商</w:t>
      </w:r>
      <w:r>
        <w:rPr>
          <w:rFonts w:hint="eastAsia" w:ascii="宋体" w:hAnsi="宋体" w:cs="宋体"/>
          <w:sz w:val="24"/>
        </w:rPr>
        <w:t>文件规定的各项要求，我方愿以投标报价为（大写、人民币）</w:t>
      </w:r>
      <w:r>
        <w:rPr>
          <w:rFonts w:hint="eastAsia" w:ascii="宋体" w:hAnsi="宋体" w:eastAsia="宋体" w:cs="宋体"/>
          <w:sz w:val="24"/>
          <w:szCs w:val="24"/>
          <w:u w:val="single"/>
        </w:rPr>
        <w:t xml:space="preserve">       </w:t>
      </w:r>
      <w:r>
        <w:rPr>
          <w:rFonts w:hint="eastAsia" w:ascii="宋体" w:hAnsi="宋体" w:cs="宋体"/>
          <w:sz w:val="24"/>
          <w:lang w:val="en-US" w:eastAsia="zh-CN"/>
        </w:rPr>
        <w:t xml:space="preserve"> </w:t>
      </w:r>
      <w:r>
        <w:rPr>
          <w:rFonts w:hint="eastAsia" w:ascii="宋体" w:hAnsi="宋体" w:cs="宋体"/>
          <w:sz w:val="24"/>
        </w:rPr>
        <w:t>（CNY￥</w:t>
      </w:r>
      <w:r>
        <w:rPr>
          <w:rFonts w:hint="eastAsia" w:ascii="宋体" w:hAnsi="宋体" w:eastAsia="宋体" w:cs="宋体"/>
          <w:sz w:val="24"/>
          <w:szCs w:val="24"/>
          <w:u w:val="single"/>
        </w:rPr>
        <w:t xml:space="preserve">          </w:t>
      </w:r>
      <w:r>
        <w:rPr>
          <w:rFonts w:hint="eastAsia" w:ascii="宋体" w:hAnsi="宋体" w:cs="宋体"/>
          <w:sz w:val="24"/>
        </w:rPr>
        <w:t>元）的投标总报价并按招标文件的规定要求提供所需服务。</w:t>
      </w:r>
    </w:p>
    <w:p w14:paraId="21FC054C">
      <w:pPr>
        <w:tabs>
          <w:tab w:val="left" w:pos="6300"/>
        </w:tabs>
        <w:spacing w:line="500" w:lineRule="exact"/>
        <w:ind w:firstLine="570"/>
        <w:rPr>
          <w:rFonts w:ascii="宋体" w:hAnsi="宋体" w:cs="宋体"/>
          <w:sz w:val="24"/>
        </w:rPr>
      </w:pPr>
      <w:r>
        <w:rPr>
          <w:rFonts w:hint="eastAsia" w:ascii="宋体" w:hAnsi="宋体" w:cs="宋体"/>
          <w:sz w:val="24"/>
        </w:rPr>
        <w:t>2、我们接受</w:t>
      </w:r>
      <w:r>
        <w:rPr>
          <w:rFonts w:hint="eastAsia" w:ascii="宋体" w:hAnsi="宋体" w:cs="宋体"/>
          <w:sz w:val="24"/>
          <w:lang w:val="en-US" w:eastAsia="zh-CN"/>
        </w:rPr>
        <w:t>磋商</w:t>
      </w:r>
      <w:r>
        <w:rPr>
          <w:rFonts w:hint="eastAsia" w:ascii="宋体" w:hAnsi="宋体" w:cs="宋体"/>
          <w:sz w:val="24"/>
        </w:rPr>
        <w:t>文件的所有的条款和规定。</w:t>
      </w:r>
    </w:p>
    <w:p w14:paraId="118F31EE">
      <w:pPr>
        <w:tabs>
          <w:tab w:val="left" w:pos="6300"/>
        </w:tabs>
        <w:spacing w:line="500" w:lineRule="exact"/>
        <w:ind w:firstLine="570"/>
        <w:rPr>
          <w:rFonts w:ascii="宋体" w:hAnsi="宋体" w:cs="宋体"/>
          <w:sz w:val="24"/>
        </w:rPr>
      </w:pPr>
      <w:r>
        <w:rPr>
          <w:rFonts w:hint="eastAsia" w:ascii="宋体" w:hAnsi="宋体" w:cs="宋体"/>
          <w:sz w:val="24"/>
        </w:rPr>
        <w:t>3、我们同意按照招标文件第一章“投标人须知”第15条的规定，本投标文件的有效期为从开标之日期起计算的九十天，在此期间，本投标文件将始终对我们具有约束力，并可随时被接受。如果我们中标，本投标文件在此期间之后将继续保持有效。如果在开标后规定的投标有效期内撤回投标，我们的投标保证金可被贵方没收。</w:t>
      </w:r>
    </w:p>
    <w:p w14:paraId="332CA300">
      <w:pPr>
        <w:tabs>
          <w:tab w:val="left" w:pos="6300"/>
        </w:tabs>
        <w:spacing w:line="500" w:lineRule="exact"/>
        <w:ind w:firstLine="570"/>
        <w:rPr>
          <w:rFonts w:ascii="宋体" w:hAnsi="宋体" w:cs="宋体"/>
          <w:sz w:val="24"/>
        </w:rPr>
      </w:pPr>
      <w:r>
        <w:rPr>
          <w:rFonts w:hint="eastAsia" w:ascii="宋体" w:hAnsi="宋体" w:cs="宋体"/>
          <w:sz w:val="24"/>
        </w:rPr>
        <w:t>4、我们理解，你们无义务必须接受投标价最低的投标。同时也理解你们不承担我们本次投标的费用。</w:t>
      </w:r>
    </w:p>
    <w:p w14:paraId="0683EF0D">
      <w:pPr>
        <w:tabs>
          <w:tab w:val="left" w:pos="6300"/>
        </w:tabs>
        <w:spacing w:line="500" w:lineRule="exact"/>
        <w:ind w:firstLine="570"/>
        <w:rPr>
          <w:rFonts w:ascii="宋体" w:hAnsi="宋体" w:cs="宋体"/>
          <w:sz w:val="24"/>
        </w:rPr>
      </w:pPr>
      <w:r>
        <w:rPr>
          <w:rFonts w:hint="eastAsia" w:ascii="宋体" w:hAnsi="宋体" w:cs="宋体"/>
          <w:sz w:val="24"/>
        </w:rPr>
        <w:t>5、我们同意向贵方提供贵方可能要求的与投标有关的任何证据或资料，并保证所提供的都是真实的、准确的。</w:t>
      </w:r>
    </w:p>
    <w:p w14:paraId="5E7DFC63">
      <w:pPr>
        <w:pStyle w:val="20"/>
        <w:spacing w:line="440" w:lineRule="exact"/>
        <w:ind w:firstLine="480"/>
        <w:rPr>
          <w:rFonts w:hint="eastAsia" w:hAnsi="宋体" w:cs="宋体"/>
          <w:sz w:val="24"/>
          <w:szCs w:val="24"/>
          <w:lang w:eastAsia="zh-CN"/>
        </w:rPr>
      </w:pPr>
      <w:r>
        <w:rPr>
          <w:rFonts w:hint="eastAsia" w:hAnsi="宋体" w:cs="宋体"/>
          <w:sz w:val="24"/>
          <w:szCs w:val="24"/>
        </w:rPr>
        <w:t>6、一旦我方中标，我方将根据招标文件的规定，严格履行合同的责任和义务</w:t>
      </w:r>
      <w:r>
        <w:rPr>
          <w:rFonts w:hint="eastAsia" w:hAnsi="宋体" w:cs="宋体"/>
          <w:sz w:val="24"/>
          <w:szCs w:val="24"/>
          <w:lang w:eastAsia="zh-CN"/>
        </w:rPr>
        <w:t>。</w:t>
      </w:r>
    </w:p>
    <w:p w14:paraId="7847617B">
      <w:pPr>
        <w:pStyle w:val="20"/>
        <w:spacing w:line="440" w:lineRule="exact"/>
        <w:ind w:firstLine="480"/>
        <w:rPr>
          <w:rFonts w:hAnsi="宋体" w:cs="宋体"/>
          <w:sz w:val="24"/>
          <w:szCs w:val="24"/>
        </w:rPr>
      </w:pPr>
      <w:r>
        <w:rPr>
          <w:rFonts w:hint="eastAsia" w:hAnsi="宋体" w:cs="宋体"/>
          <w:sz w:val="24"/>
          <w:szCs w:val="24"/>
        </w:rPr>
        <w:t>投标人名称（</w:t>
      </w:r>
      <w:r>
        <w:rPr>
          <w:rFonts w:hint="eastAsia" w:hAnsi="宋体" w:cs="宋体"/>
          <w:sz w:val="24"/>
          <w:szCs w:val="24"/>
          <w:lang w:val="en-US" w:eastAsia="zh-CN"/>
        </w:rPr>
        <w:t>电子</w:t>
      </w:r>
      <w:r>
        <w:rPr>
          <w:rFonts w:hint="eastAsia" w:hAnsi="宋体" w:cs="宋体"/>
          <w:sz w:val="24"/>
          <w:szCs w:val="24"/>
        </w:rPr>
        <w:t>公章）：</w:t>
      </w:r>
    </w:p>
    <w:p w14:paraId="1DD2A9D6">
      <w:pPr>
        <w:pStyle w:val="20"/>
        <w:spacing w:line="440" w:lineRule="exact"/>
        <w:ind w:firstLine="480"/>
        <w:rPr>
          <w:rFonts w:hAnsi="宋体" w:cs="宋体"/>
          <w:sz w:val="24"/>
          <w:szCs w:val="24"/>
        </w:rPr>
      </w:pPr>
      <w:r>
        <w:rPr>
          <w:rFonts w:hint="eastAsia" w:hAnsi="宋体" w:cs="宋体"/>
          <w:sz w:val="24"/>
          <w:szCs w:val="24"/>
        </w:rPr>
        <w:t>地址：      邮编：</w:t>
      </w:r>
    </w:p>
    <w:p w14:paraId="7E559878">
      <w:pPr>
        <w:pStyle w:val="20"/>
        <w:spacing w:line="440" w:lineRule="exact"/>
        <w:ind w:firstLine="480"/>
        <w:rPr>
          <w:rFonts w:hAnsi="宋体" w:cs="宋体"/>
          <w:sz w:val="24"/>
          <w:szCs w:val="24"/>
        </w:rPr>
      </w:pPr>
      <w:r>
        <w:rPr>
          <w:rFonts w:hint="eastAsia" w:hAnsi="宋体" w:cs="宋体"/>
          <w:sz w:val="24"/>
          <w:szCs w:val="24"/>
        </w:rPr>
        <w:t>电话：      传真：</w:t>
      </w:r>
    </w:p>
    <w:p w14:paraId="5DBB7A4B">
      <w:pPr>
        <w:pStyle w:val="20"/>
        <w:spacing w:line="440" w:lineRule="exact"/>
        <w:ind w:firstLine="480"/>
        <w:rPr>
          <w:rFonts w:hAnsi="宋体" w:cs="宋体"/>
          <w:sz w:val="24"/>
          <w:szCs w:val="24"/>
        </w:rPr>
      </w:pPr>
      <w:r>
        <w:rPr>
          <w:rFonts w:hint="eastAsia" w:hAnsi="宋体" w:cs="宋体"/>
          <w:sz w:val="24"/>
          <w:szCs w:val="24"/>
        </w:rPr>
        <w:t>法定代表人（委托受托人）</w:t>
      </w:r>
      <w:r>
        <w:rPr>
          <w:rFonts w:hint="eastAsia" w:hAnsi="宋体" w:cs="宋体"/>
          <w:sz w:val="24"/>
          <w:szCs w:val="24"/>
          <w:lang w:val="en-US" w:eastAsia="zh-CN"/>
        </w:rPr>
        <w:t>电子</w:t>
      </w:r>
      <w:r>
        <w:rPr>
          <w:rFonts w:hint="eastAsia" w:hAnsi="宋体" w:cs="宋体"/>
          <w:sz w:val="24"/>
          <w:szCs w:val="24"/>
        </w:rPr>
        <w:t>签字：</w:t>
      </w:r>
    </w:p>
    <w:p w14:paraId="032F9161">
      <w:pPr>
        <w:pStyle w:val="20"/>
        <w:spacing w:line="440" w:lineRule="exact"/>
        <w:ind w:firstLine="480"/>
        <w:rPr>
          <w:rFonts w:hAnsi="宋体" w:cs="宋体"/>
          <w:sz w:val="24"/>
          <w:szCs w:val="24"/>
        </w:rPr>
      </w:pPr>
      <w:r>
        <w:rPr>
          <w:rFonts w:hint="eastAsia" w:hAnsi="宋体" w:cs="宋体"/>
          <w:sz w:val="24"/>
          <w:szCs w:val="24"/>
        </w:rPr>
        <w:t>职务：</w:t>
      </w:r>
    </w:p>
    <w:p w14:paraId="0A108745">
      <w:pPr>
        <w:pStyle w:val="20"/>
        <w:spacing w:line="440" w:lineRule="exact"/>
        <w:ind w:firstLine="480"/>
        <w:rPr>
          <w:rFonts w:hAnsi="宋体" w:cs="宋体"/>
          <w:sz w:val="24"/>
          <w:szCs w:val="24"/>
        </w:rPr>
      </w:pPr>
      <w:r>
        <w:rPr>
          <w:rFonts w:hint="eastAsia" w:hAnsi="宋体" w:cs="宋体"/>
          <w:sz w:val="24"/>
          <w:szCs w:val="24"/>
        </w:rPr>
        <w:t>日期：</w:t>
      </w:r>
    </w:p>
    <w:p w14:paraId="2AA6F85C">
      <w:pPr>
        <w:pStyle w:val="208"/>
        <w:keepNext w:val="0"/>
        <w:keepLines w:val="0"/>
        <w:pageBreakBefore w:val="0"/>
        <w:widowControl w:val="0"/>
        <w:spacing w:before="0" w:after="0" w:line="400" w:lineRule="exact"/>
        <w:ind w:firstLine="700"/>
        <w:rPr>
          <w:rFonts w:hint="eastAsia" w:ascii="宋体" w:hAnsi="宋体" w:eastAsia="宋体" w:cs="宋体"/>
          <w:sz w:val="24"/>
          <w:szCs w:val="24"/>
        </w:rPr>
      </w:pPr>
    </w:p>
    <w:p w14:paraId="0DF8617C">
      <w:pPr>
        <w:pStyle w:val="208"/>
        <w:keepNext w:val="0"/>
        <w:keepLines w:val="0"/>
        <w:pageBreakBefore w:val="0"/>
        <w:widowControl w:val="0"/>
        <w:spacing w:before="0" w:after="0" w:line="400" w:lineRule="exact"/>
        <w:ind w:firstLine="700"/>
        <w:rPr>
          <w:rFonts w:hint="eastAsia" w:ascii="宋体" w:hAnsi="宋体" w:eastAsia="宋体" w:cs="宋体"/>
          <w:sz w:val="24"/>
          <w:szCs w:val="24"/>
        </w:rPr>
      </w:pPr>
    </w:p>
    <w:p w14:paraId="1AB5ACF3">
      <w:pPr>
        <w:pStyle w:val="208"/>
        <w:keepNext w:val="0"/>
        <w:keepLines w:val="0"/>
        <w:pageBreakBefore w:val="0"/>
        <w:widowControl w:val="0"/>
        <w:spacing w:before="0" w:after="0" w:line="400" w:lineRule="exact"/>
        <w:ind w:firstLine="700"/>
        <w:rPr>
          <w:rFonts w:hint="eastAsia" w:ascii="宋体" w:hAnsi="宋体" w:eastAsia="宋体" w:cs="宋体"/>
          <w:sz w:val="24"/>
          <w:szCs w:val="24"/>
        </w:rPr>
      </w:pPr>
    </w:p>
    <w:p w14:paraId="5C3FA215">
      <w:pPr>
        <w:pStyle w:val="208"/>
        <w:keepNext w:val="0"/>
        <w:keepLines w:val="0"/>
        <w:pageBreakBefore w:val="0"/>
        <w:widowControl w:val="0"/>
        <w:spacing w:before="0" w:after="0" w:line="400" w:lineRule="exact"/>
        <w:ind w:firstLine="700"/>
        <w:rPr>
          <w:rFonts w:hint="eastAsia" w:ascii="宋体" w:hAnsi="宋体" w:eastAsia="宋体" w:cs="宋体"/>
          <w:sz w:val="24"/>
          <w:szCs w:val="24"/>
        </w:rPr>
      </w:pPr>
    </w:p>
    <w:p w14:paraId="75164977">
      <w:pPr>
        <w:jc w:val="both"/>
        <w:rPr>
          <w:rFonts w:hint="eastAsia" w:ascii="宋体" w:hAnsi="宋体" w:eastAsia="宋体" w:cs="宋体"/>
          <w:b/>
          <w:bCs/>
          <w:sz w:val="32"/>
          <w:szCs w:val="32"/>
        </w:rPr>
      </w:pPr>
    </w:p>
    <w:p w14:paraId="6181B282">
      <w:pPr>
        <w:pStyle w:val="190"/>
        <w:rPr>
          <w:rFonts w:hint="eastAsia"/>
        </w:rPr>
      </w:pPr>
    </w:p>
    <w:p w14:paraId="53D13DA8">
      <w:pPr>
        <w:pStyle w:val="2"/>
        <w:keepNext w:val="0"/>
        <w:keepLines w:val="0"/>
        <w:widowControl/>
        <w:suppressLineNumbers w:val="0"/>
        <w:jc w:val="center"/>
        <w:rPr>
          <w:rFonts w:hint="eastAsia" w:ascii="宋体" w:hAnsi="宋体" w:eastAsia="宋体" w:cs="宋体"/>
          <w:b/>
          <w:color w:val="000000"/>
          <w:sz w:val="30"/>
          <w:szCs w:val="30"/>
          <w:highlight w:val="none"/>
          <w:lang w:val="en-US" w:eastAsia="zh-CN" w:bidi="ar-SA"/>
        </w:rPr>
      </w:pPr>
      <w:r>
        <w:rPr>
          <w:rFonts w:hint="eastAsia" w:ascii="宋体" w:hAnsi="宋体" w:eastAsia="宋体" w:cs="宋体"/>
          <w:b/>
          <w:color w:val="000000"/>
          <w:sz w:val="30"/>
          <w:szCs w:val="30"/>
          <w:highlight w:val="none"/>
          <w:lang w:val="en-US" w:eastAsia="zh-CN" w:bidi="ar-SA"/>
        </w:rPr>
        <w:t>二、报价一览表（总价）</w:t>
      </w:r>
    </w:p>
    <w:p w14:paraId="3A492AE2">
      <w:pPr>
        <w:pStyle w:val="33"/>
        <w:keepNext w:val="0"/>
        <w:keepLines w:val="0"/>
        <w:widowControl/>
        <w:suppressLineNumbers w:val="0"/>
      </w:pPr>
      <w:r>
        <w:t>投标人全称（CA公章）：</w:t>
      </w:r>
      <w:r>
        <w:rPr>
          <w:shd w:val="clear" w:color="auto" w:fill="FFFFFF"/>
        </w:rPr>
        <w:t>供应商名称</w:t>
      </w:r>
      <w:r>
        <w:t> </w:t>
      </w:r>
    </w:p>
    <w:p w14:paraId="164035F7">
      <w:pPr>
        <w:pStyle w:val="33"/>
        <w:keepNext w:val="0"/>
        <w:keepLines w:val="0"/>
        <w:widowControl/>
        <w:suppressLineNumbers w:val="0"/>
      </w:pPr>
      <w:r>
        <w:t>项目名称：</w:t>
      </w:r>
      <w:r>
        <w:rPr>
          <w:shd w:val="clear" w:color="auto" w:fill="FFFFFF"/>
        </w:rPr>
        <w:t>项目名称</w:t>
      </w:r>
      <w:r>
        <w:t> </w:t>
      </w:r>
    </w:p>
    <w:p w14:paraId="17301B14">
      <w:pPr>
        <w:pStyle w:val="33"/>
        <w:keepNext w:val="0"/>
        <w:keepLines w:val="0"/>
        <w:widowControl/>
        <w:suppressLineNumbers w:val="0"/>
      </w:pPr>
      <w:r>
        <w:t>项目编号：</w:t>
      </w:r>
      <w:r>
        <w:rPr>
          <w:shd w:val="clear" w:color="auto" w:fill="FFFFFF"/>
        </w:rPr>
        <w:t>项目编号</w:t>
      </w:r>
      <w:r>
        <w:t> </w:t>
      </w:r>
    </w:p>
    <w:p w14:paraId="0CA443AF">
      <w:pPr>
        <w:pStyle w:val="33"/>
        <w:keepNext w:val="0"/>
        <w:keepLines w:val="0"/>
        <w:widowControl/>
        <w:suppressLineNumbers w:val="0"/>
      </w:pPr>
      <w:r>
        <w:t>分包号：</w:t>
      </w:r>
      <w:r>
        <w:rPr>
          <w:shd w:val="clear" w:color="auto" w:fill="FFFFFF"/>
        </w:rPr>
        <w:t>分包号</w:t>
      </w:r>
      <w:r>
        <w:t> </w:t>
      </w:r>
    </w:p>
    <w:tbl>
      <w:tblPr>
        <w:tblStyle w:val="36"/>
        <w:tblW w:w="8300" w:type="dxa"/>
        <w:tblCellSpacing w:w="1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15" w:type="dxa"/>
          <w:left w:w="15" w:type="dxa"/>
          <w:bottom w:w="15" w:type="dxa"/>
          <w:right w:w="15" w:type="dxa"/>
        </w:tblCellMar>
      </w:tblPr>
      <w:tblGrid>
        <w:gridCol w:w="2270"/>
        <w:gridCol w:w="6030"/>
      </w:tblGrid>
      <w:tr w14:paraId="15254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15" w:type="dxa"/>
            <w:left w:w="15" w:type="dxa"/>
            <w:bottom w:w="15" w:type="dxa"/>
            <w:right w:w="15" w:type="dxa"/>
          </w:tblCellMar>
        </w:tblPrEx>
        <w:trPr>
          <w:trHeight w:val="648" w:hRule="atLeast"/>
          <w:tblCellSpacing w:w="15" w:type="dxa"/>
        </w:trPr>
        <w:tc>
          <w:tcPr>
            <w:tcW w:w="2225" w:type="dxa"/>
            <w:shd w:val="clear" w:color="auto" w:fill="auto"/>
            <w:noWrap w:val="0"/>
            <w:vAlign w:val="center"/>
          </w:tcPr>
          <w:p w14:paraId="54C4E8D9">
            <w:pPr>
              <w:pStyle w:val="33"/>
              <w:keepNext w:val="0"/>
              <w:keepLines w:val="0"/>
              <w:widowControl/>
              <w:suppressLineNumbers w:val="0"/>
              <w:jc w:val="center"/>
            </w:pPr>
            <w:r>
              <w:t>投标服务名称</w:t>
            </w:r>
          </w:p>
        </w:tc>
        <w:tc>
          <w:tcPr>
            <w:tcW w:w="5985" w:type="dxa"/>
            <w:shd w:val="clear" w:color="auto" w:fill="auto"/>
            <w:noWrap w:val="0"/>
            <w:vAlign w:val="center"/>
          </w:tcPr>
          <w:p w14:paraId="7E5B9FCB">
            <w:pPr>
              <w:pStyle w:val="33"/>
              <w:keepNext w:val="0"/>
              <w:keepLines w:val="0"/>
              <w:widowControl/>
              <w:suppressLineNumbers w:val="0"/>
              <w:jc w:val="center"/>
            </w:pPr>
            <w:r>
              <w:t>报价（小写）</w:t>
            </w:r>
          </w:p>
        </w:tc>
      </w:tr>
      <w:tr w14:paraId="3E3595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15" w:type="dxa"/>
            <w:left w:w="15" w:type="dxa"/>
            <w:bottom w:w="15" w:type="dxa"/>
            <w:right w:w="15" w:type="dxa"/>
          </w:tblCellMar>
        </w:tblPrEx>
        <w:trPr>
          <w:trHeight w:val="660" w:hRule="atLeast"/>
          <w:tblCellSpacing w:w="15" w:type="dxa"/>
        </w:trPr>
        <w:tc>
          <w:tcPr>
            <w:tcW w:w="2225" w:type="dxa"/>
            <w:shd w:val="clear" w:color="auto" w:fill="auto"/>
            <w:noWrap w:val="0"/>
            <w:vAlign w:val="center"/>
          </w:tcPr>
          <w:p w14:paraId="6D21F144">
            <w:pPr>
              <w:pStyle w:val="33"/>
              <w:keepNext w:val="0"/>
              <w:keepLines w:val="0"/>
              <w:widowControl/>
              <w:suppressLineNumbers w:val="0"/>
            </w:pPr>
            <w:r>
              <w:rPr>
                <w:shd w:val="clear" w:color="auto" w:fill="FFFFFF"/>
              </w:rPr>
              <w:t>投标产品名称</w:t>
            </w:r>
            <w:r>
              <w:t> </w:t>
            </w:r>
          </w:p>
        </w:tc>
        <w:tc>
          <w:tcPr>
            <w:tcW w:w="5985" w:type="dxa"/>
            <w:shd w:val="clear" w:color="auto" w:fill="auto"/>
            <w:noWrap w:val="0"/>
            <w:vAlign w:val="center"/>
          </w:tcPr>
          <w:p w14:paraId="52840476">
            <w:pPr>
              <w:pStyle w:val="33"/>
              <w:keepNext w:val="0"/>
              <w:keepLines w:val="0"/>
              <w:widowControl/>
              <w:suppressLineNumbers w:val="0"/>
            </w:pPr>
            <w:r>
              <w:t> </w:t>
            </w:r>
            <w:r>
              <w:rPr>
                <w:rFonts w:hint="eastAsia"/>
                <w:u w:val="single"/>
                <w:lang w:val="en-US" w:eastAsia="zh-CN"/>
              </w:rPr>
              <w:t xml:space="preserve">                        </w:t>
            </w:r>
            <w:r>
              <w:t>元</w:t>
            </w:r>
          </w:p>
        </w:tc>
      </w:tr>
    </w:tbl>
    <w:p w14:paraId="664F5BBA">
      <w:pPr>
        <w:pStyle w:val="33"/>
        <w:keepNext w:val="0"/>
        <w:keepLines w:val="0"/>
        <w:widowControl/>
        <w:suppressLineNumbers w:val="0"/>
      </w:pPr>
      <w:r>
        <w:t xml:space="preserve">                                                                  </w:t>
      </w:r>
      <w:r>
        <w:rPr>
          <w:rFonts w:hint="eastAsia"/>
          <w:u w:val="single"/>
          <w:lang w:val="en-US" w:eastAsia="zh-CN"/>
        </w:rPr>
        <w:t xml:space="preserve">     </w:t>
      </w:r>
      <w:r>
        <w:t xml:space="preserve">  年</w:t>
      </w:r>
      <w:r>
        <w:rPr>
          <w:rFonts w:hint="eastAsia"/>
          <w:u w:val="single"/>
          <w:lang w:val="en-US" w:eastAsia="zh-CN"/>
        </w:rPr>
        <w:t xml:space="preserve">    </w:t>
      </w:r>
      <w:r>
        <w:t>月</w:t>
      </w:r>
      <w:r>
        <w:rPr>
          <w:rFonts w:hint="eastAsia"/>
          <w:u w:val="single"/>
          <w:lang w:val="en-US" w:eastAsia="zh-CN"/>
        </w:rPr>
        <w:t xml:space="preserve">     </w:t>
      </w:r>
      <w:r>
        <w:t>日</w:t>
      </w:r>
    </w:p>
    <w:p w14:paraId="3E2DFDBF">
      <w:pPr>
        <w:pStyle w:val="20"/>
        <w:spacing w:line="440" w:lineRule="exact"/>
        <w:ind w:firstLine="2062" w:firstLineChars="642"/>
        <w:jc w:val="both"/>
        <w:outlineLvl w:val="1"/>
        <w:rPr>
          <w:rFonts w:hint="eastAsia" w:ascii="宋体" w:hAnsi="宋体" w:eastAsia="宋体" w:cs="宋体"/>
          <w:b/>
          <w:color w:val="000000"/>
          <w:sz w:val="30"/>
          <w:szCs w:val="30"/>
          <w:highlight w:val="none"/>
        </w:rPr>
      </w:pPr>
      <w:r>
        <w:rPr>
          <w:rFonts w:hint="eastAsia" w:ascii="宋体" w:hAnsi="宋体" w:eastAsia="宋体" w:cs="宋体"/>
          <w:b/>
          <w:bCs/>
          <w:sz w:val="32"/>
          <w:szCs w:val="32"/>
          <w:lang w:val="en-US" w:eastAsia="zh-CN" w:bidi="ar-SA"/>
        </w:rPr>
        <w:t>三、供应商必须提交的资格证明文件</w:t>
      </w:r>
    </w:p>
    <w:p w14:paraId="7306C6C5">
      <w:pPr>
        <w:pStyle w:val="190"/>
        <w:ind w:firstLine="0"/>
        <w:rPr>
          <w:rFonts w:hint="eastAsia" w:ascii="宋体" w:hAnsi="宋体" w:eastAsia="宋体" w:cs="宋体"/>
          <w:color w:val="000000"/>
          <w:highlight w:val="none"/>
        </w:rPr>
      </w:pPr>
    </w:p>
    <w:p w14:paraId="36CD501F">
      <w:pPr>
        <w:rPr>
          <w:rFonts w:hint="eastAsia" w:ascii="宋体" w:hAnsi="宋体" w:eastAsia="宋体" w:cs="宋体"/>
          <w:color w:val="000000"/>
          <w:highlight w:val="none"/>
        </w:rPr>
      </w:pPr>
    </w:p>
    <w:p w14:paraId="792CD217">
      <w:pPr>
        <w:widowControl/>
        <w:spacing w:line="520" w:lineRule="exact"/>
        <w:ind w:left="1260" w:firstLine="643"/>
        <w:jc w:val="left"/>
        <w:rPr>
          <w:rFonts w:hint="eastAsia" w:ascii="宋体" w:hAnsi="宋体" w:eastAsia="宋体" w:cs="宋体"/>
          <w:b/>
          <w:bCs/>
          <w:sz w:val="32"/>
          <w:szCs w:val="32"/>
        </w:rPr>
      </w:pPr>
      <w:r>
        <w:rPr>
          <w:rFonts w:hint="eastAsia" w:ascii="宋体" w:hAnsi="宋体" w:cs="宋体"/>
          <w:b/>
          <w:bCs/>
          <w:sz w:val="32"/>
          <w:szCs w:val="32"/>
          <w:lang w:val="en-US" w:eastAsia="zh-CN"/>
        </w:rPr>
        <w:t>四</w:t>
      </w:r>
      <w:r>
        <w:rPr>
          <w:rFonts w:hint="eastAsia" w:ascii="宋体" w:hAnsi="宋体" w:eastAsia="宋体" w:cs="宋体"/>
          <w:b/>
          <w:bCs/>
          <w:sz w:val="32"/>
          <w:szCs w:val="32"/>
          <w:lang w:val="en-US" w:eastAsia="zh-CN"/>
        </w:rPr>
        <w:t>、</w:t>
      </w:r>
      <w:r>
        <w:rPr>
          <w:rFonts w:hint="eastAsia" w:ascii="宋体" w:hAnsi="宋体" w:eastAsia="宋体" w:cs="宋体"/>
          <w:b/>
          <w:bCs/>
          <w:sz w:val="32"/>
          <w:szCs w:val="32"/>
        </w:rPr>
        <w:t>综合评分时投标人需提供的证明文件</w:t>
      </w:r>
    </w:p>
    <w:p w14:paraId="650A55FA">
      <w:pPr>
        <w:spacing w:line="520" w:lineRule="exact"/>
        <w:ind w:firstLine="643"/>
        <w:rPr>
          <w:rFonts w:hint="eastAsia" w:ascii="宋体" w:hAnsi="宋体" w:eastAsia="宋体" w:cs="宋体"/>
          <w:b/>
          <w:bCs/>
          <w:sz w:val="32"/>
          <w:szCs w:val="32"/>
        </w:rPr>
      </w:pPr>
      <w:r>
        <w:rPr>
          <w:rFonts w:hint="eastAsia" w:ascii="宋体" w:hAnsi="宋体" w:eastAsia="宋体" w:cs="宋体"/>
          <w:b/>
          <w:bCs/>
          <w:sz w:val="32"/>
          <w:szCs w:val="32"/>
        </w:rPr>
        <w:t>（</w:t>
      </w:r>
      <w:r>
        <w:rPr>
          <w:rFonts w:hint="eastAsia" w:ascii="宋体" w:hAnsi="宋体" w:eastAsia="宋体" w:cs="宋体"/>
          <w:b/>
          <w:bCs/>
          <w:sz w:val="28"/>
          <w:szCs w:val="28"/>
        </w:rPr>
        <w:t>各投标人必须在“综合评分提供的证明材料”模块中对应的接口上传相关证明材料，未在指定模块中上传材料的视同未提供证明材料处理</w:t>
      </w:r>
      <w:r>
        <w:rPr>
          <w:rFonts w:hint="eastAsia" w:ascii="宋体" w:hAnsi="宋体" w:eastAsia="宋体" w:cs="宋体"/>
          <w:b/>
          <w:bCs/>
          <w:sz w:val="32"/>
          <w:szCs w:val="32"/>
        </w:rPr>
        <w:t>）</w:t>
      </w:r>
    </w:p>
    <w:p w14:paraId="52502DC9">
      <w:pPr>
        <w:widowControl/>
        <w:spacing w:line="520" w:lineRule="exact"/>
        <w:ind w:firstLine="1108"/>
        <w:jc w:val="center"/>
        <w:rPr>
          <w:rFonts w:hint="eastAsia" w:ascii="宋体" w:hAnsi="宋体" w:eastAsia="宋体" w:cs="宋体"/>
          <w:b/>
          <w:bCs/>
          <w:sz w:val="32"/>
          <w:lang w:val="en-US" w:eastAsia="zh-CN"/>
        </w:rPr>
      </w:pPr>
    </w:p>
    <w:p w14:paraId="435CC549">
      <w:pPr>
        <w:widowControl/>
        <w:spacing w:line="520" w:lineRule="exact"/>
        <w:ind w:firstLine="1108"/>
        <w:jc w:val="center"/>
        <w:rPr>
          <w:rFonts w:hint="eastAsia" w:ascii="宋体" w:hAnsi="宋体" w:eastAsia="宋体" w:cs="宋体"/>
          <w:b/>
          <w:bCs/>
          <w:sz w:val="32"/>
        </w:rPr>
      </w:pPr>
      <w:r>
        <w:rPr>
          <w:rFonts w:hint="eastAsia" w:ascii="宋体" w:hAnsi="宋体" w:cs="宋体"/>
          <w:b/>
          <w:bCs/>
          <w:sz w:val="32"/>
          <w:lang w:val="en-US" w:eastAsia="zh-CN"/>
        </w:rPr>
        <w:t>五</w:t>
      </w:r>
      <w:r>
        <w:rPr>
          <w:rFonts w:hint="eastAsia" w:ascii="宋体" w:hAnsi="宋体" w:eastAsia="宋体" w:cs="宋体"/>
          <w:b/>
          <w:bCs/>
          <w:sz w:val="32"/>
          <w:lang w:val="en-US" w:eastAsia="zh-CN"/>
        </w:rPr>
        <w:t>、</w:t>
      </w:r>
      <w:r>
        <w:rPr>
          <w:rFonts w:hint="eastAsia" w:ascii="宋体" w:hAnsi="宋体" w:eastAsia="宋体" w:cs="宋体"/>
          <w:b/>
          <w:bCs/>
          <w:sz w:val="32"/>
        </w:rPr>
        <w:t>投标人认为有必要提供并说明</w:t>
      </w:r>
      <w:r>
        <w:rPr>
          <w:rFonts w:hint="eastAsia" w:ascii="宋体" w:hAnsi="宋体" w:eastAsia="宋体" w:cs="宋体"/>
          <w:b/>
          <w:bCs/>
          <w:sz w:val="32"/>
          <w:lang w:eastAsia="zh-CN"/>
        </w:rPr>
        <w:t>的其他</w:t>
      </w:r>
      <w:r>
        <w:rPr>
          <w:rFonts w:hint="eastAsia" w:ascii="宋体" w:hAnsi="宋体" w:eastAsia="宋体" w:cs="宋体"/>
          <w:b/>
          <w:bCs/>
          <w:sz w:val="32"/>
        </w:rPr>
        <w:t>资料</w:t>
      </w:r>
    </w:p>
    <w:p w14:paraId="6A355C4D">
      <w:pPr>
        <w:widowControl/>
        <w:spacing w:line="520" w:lineRule="exact"/>
        <w:jc w:val="left"/>
        <w:rPr>
          <w:rFonts w:hint="default" w:ascii="宋体" w:hAnsi="宋体" w:eastAsia="宋体" w:cs="宋体"/>
          <w:color w:val="000000"/>
          <w:highlight w:val="none"/>
          <w:lang w:val="en-US" w:eastAsia="zh-CN"/>
        </w:rPr>
        <w:sectPr>
          <w:footerReference r:id="rId5" w:type="default"/>
          <w:pgSz w:w="11906" w:h="16838" w:orient="landscape"/>
          <w:pgMar w:top="1304" w:right="1417" w:bottom="1304" w:left="1417" w:header="851" w:footer="992" w:gutter="0"/>
          <w:cols w:space="720" w:num="1"/>
        </w:sectPr>
      </w:pPr>
      <w:r>
        <w:rPr>
          <w:rFonts w:hint="eastAsia" w:ascii="宋体" w:hAnsi="宋体" w:eastAsia="宋体" w:cs="宋体"/>
          <w:sz w:val="28"/>
        </w:rPr>
        <w:t>（投标人如需上传</w:t>
      </w:r>
      <w:r>
        <w:rPr>
          <w:rFonts w:hint="eastAsia" w:ascii="宋体" w:hAnsi="宋体" w:eastAsia="宋体" w:cs="宋体"/>
          <w:sz w:val="28"/>
          <w:lang w:eastAsia="zh-CN"/>
        </w:rPr>
        <w:t>其他</w:t>
      </w:r>
      <w:r>
        <w:rPr>
          <w:rFonts w:hint="eastAsia" w:ascii="宋体" w:hAnsi="宋体" w:eastAsia="宋体" w:cs="宋体"/>
          <w:sz w:val="28"/>
        </w:rPr>
        <w:t>资料，可在“招标文件的其他材料”模块中上传相关材料，格式由投标人自定，加盖投标人</w:t>
      </w:r>
      <w:r>
        <w:rPr>
          <w:rFonts w:hint="eastAsia" w:ascii="宋体" w:hAnsi="宋体" w:eastAsia="宋体" w:cs="宋体"/>
          <w:bCs/>
          <w:sz w:val="28"/>
          <w:szCs w:val="28"/>
        </w:rPr>
        <w:t>电子签章</w:t>
      </w:r>
      <w:r>
        <w:rPr>
          <w:rFonts w:hint="eastAsia" w:ascii="宋体" w:hAnsi="宋体" w:eastAsia="宋体" w:cs="宋体"/>
          <w:sz w:val="28"/>
        </w:rPr>
        <w:t>）</w:t>
      </w:r>
    </w:p>
    <w:p w14:paraId="0948331D">
      <w:pPr>
        <w:spacing w:line="640" w:lineRule="exact"/>
        <w:jc w:val="left"/>
        <w:rPr>
          <w:rFonts w:hint="eastAsia" w:ascii="宋体" w:hAnsi="宋体" w:eastAsia="宋体" w:cs="宋体"/>
          <w:sz w:val="30"/>
          <w:szCs w:val="30"/>
          <w:highlight w:val="none"/>
        </w:rPr>
      </w:pPr>
      <w:r>
        <w:rPr>
          <w:rFonts w:hint="eastAsia" w:ascii="宋体" w:hAnsi="宋体" w:eastAsia="宋体" w:cs="宋体"/>
          <w:b/>
          <w:bCs/>
          <w:sz w:val="30"/>
          <w:szCs w:val="30"/>
          <w:highlight w:val="none"/>
        </w:rPr>
        <w:t xml:space="preserve">示范格式一  </w:t>
      </w:r>
      <w:r>
        <w:rPr>
          <w:rFonts w:hint="eastAsia" w:ascii="宋体" w:hAnsi="宋体" w:eastAsia="宋体" w:cs="宋体"/>
          <w:sz w:val="30"/>
          <w:szCs w:val="30"/>
          <w:highlight w:val="none"/>
        </w:rPr>
        <w:t xml:space="preserve">      </w:t>
      </w:r>
    </w:p>
    <w:p w14:paraId="4311C412">
      <w:pPr>
        <w:spacing w:line="640" w:lineRule="exact"/>
        <w:ind w:firstLine="2891"/>
        <w:rPr>
          <w:rFonts w:hint="eastAsia" w:ascii="宋体" w:hAnsi="宋体" w:eastAsia="宋体" w:cs="宋体"/>
          <w:b/>
          <w:bCs/>
          <w:sz w:val="32"/>
          <w:szCs w:val="32"/>
          <w:lang w:val="zh-CN"/>
        </w:rPr>
      </w:pPr>
      <w:r>
        <w:rPr>
          <w:rFonts w:hint="eastAsia" w:ascii="宋体" w:hAnsi="宋体" w:eastAsia="宋体" w:cs="宋体"/>
          <w:b/>
          <w:bCs/>
          <w:sz w:val="32"/>
          <w:szCs w:val="32"/>
          <w:lang w:val="zh-CN"/>
        </w:rPr>
        <w:t>法定代表人资格证明</w:t>
      </w:r>
    </w:p>
    <w:p w14:paraId="2AD7A22A">
      <w:pPr>
        <w:spacing w:line="640" w:lineRule="exact"/>
        <w:rPr>
          <w:rFonts w:hint="eastAsia" w:ascii="宋体" w:hAnsi="宋体" w:eastAsia="宋体" w:cs="宋体"/>
          <w:sz w:val="28"/>
          <w:szCs w:val="28"/>
          <w:lang w:val="zh-CN"/>
        </w:rPr>
      </w:pPr>
      <w:r>
        <w:rPr>
          <w:rFonts w:hint="eastAsia" w:ascii="宋体" w:hAnsi="宋体" w:eastAsia="宋体" w:cs="宋体"/>
          <w:sz w:val="28"/>
          <w:szCs w:val="28"/>
          <w:lang w:val="zh-CN"/>
        </w:rPr>
        <w:t>单位名称：</w:t>
      </w:r>
    </w:p>
    <w:p w14:paraId="69B60B5C">
      <w:pPr>
        <w:spacing w:line="640" w:lineRule="exact"/>
        <w:rPr>
          <w:rFonts w:hint="eastAsia" w:ascii="宋体" w:hAnsi="宋体" w:eastAsia="宋体" w:cs="宋体"/>
          <w:sz w:val="28"/>
          <w:szCs w:val="28"/>
          <w:lang w:val="zh-CN"/>
        </w:rPr>
      </w:pPr>
      <w:r>
        <w:rPr>
          <w:rFonts w:hint="eastAsia" w:ascii="宋体" w:hAnsi="宋体" w:eastAsia="宋体" w:cs="宋体"/>
          <w:sz w:val="28"/>
          <w:szCs w:val="28"/>
          <w:lang w:val="zh-CN"/>
        </w:rPr>
        <w:t>地址：</w:t>
      </w:r>
    </w:p>
    <w:p w14:paraId="6899AC7D">
      <w:pPr>
        <w:spacing w:line="640" w:lineRule="exact"/>
        <w:rPr>
          <w:rFonts w:hint="default" w:ascii="宋体" w:hAnsi="宋体" w:eastAsia="宋体" w:cs="宋体"/>
          <w:sz w:val="28"/>
          <w:szCs w:val="28"/>
          <w:lang w:val="en-US" w:eastAsia="zh-CN"/>
        </w:rPr>
      </w:pPr>
      <w:r>
        <w:rPr>
          <w:rFonts w:hint="eastAsia" w:ascii="宋体" w:hAnsi="宋体" w:eastAsia="宋体" w:cs="宋体"/>
          <w:sz w:val="28"/>
          <w:szCs w:val="28"/>
          <w:lang w:val="zh-CN"/>
        </w:rPr>
        <w:t>姓名：     性别：      年龄：      职务：</w:t>
      </w:r>
      <w:r>
        <w:rPr>
          <w:rFonts w:hint="eastAsia" w:ascii="宋体" w:hAnsi="宋体" w:eastAsia="宋体" w:cs="宋体"/>
          <w:sz w:val="28"/>
          <w:szCs w:val="28"/>
          <w:lang w:val="en-US" w:eastAsia="zh-CN"/>
        </w:rPr>
        <w:t xml:space="preserve">   电话：</w:t>
      </w:r>
    </w:p>
    <w:p w14:paraId="7A3228DC">
      <w:pPr>
        <w:spacing w:line="640" w:lineRule="exact"/>
        <w:ind w:left="1" w:firstLine="560"/>
        <w:rPr>
          <w:rFonts w:hint="eastAsia" w:ascii="宋体" w:hAnsi="宋体" w:eastAsia="宋体" w:cs="宋体"/>
          <w:sz w:val="28"/>
        </w:rPr>
      </w:pPr>
      <w:r>
        <w:rPr>
          <w:rFonts w:hint="eastAsia" w:ascii="宋体" w:hAnsi="宋体" w:eastAsia="宋体" w:cs="宋体"/>
          <w:sz w:val="28"/>
          <w:szCs w:val="28"/>
          <w:lang w:val="zh-CN"/>
        </w:rPr>
        <w:t>系</w:t>
      </w:r>
      <w:r>
        <w:rPr>
          <w:rFonts w:hint="eastAsia" w:ascii="宋体" w:hAnsi="宋体" w:eastAsia="宋体" w:cs="宋体"/>
          <w:sz w:val="28"/>
          <w:szCs w:val="28"/>
          <w:u w:val="single"/>
          <w:lang w:val="zh-CN"/>
        </w:rPr>
        <w:t xml:space="preserve"> （投标人单位名称）</w:t>
      </w:r>
      <w:r>
        <w:rPr>
          <w:rFonts w:hint="eastAsia" w:ascii="宋体" w:hAnsi="宋体" w:eastAsia="宋体" w:cs="宋体"/>
          <w:sz w:val="28"/>
          <w:szCs w:val="28"/>
          <w:lang w:val="zh-CN"/>
        </w:rPr>
        <w:t>的法定代表人。</w:t>
      </w:r>
      <w:r>
        <w:rPr>
          <w:rFonts w:hint="eastAsia" w:ascii="宋体" w:hAnsi="宋体" w:eastAsia="宋体" w:cs="宋体"/>
          <w:sz w:val="28"/>
        </w:rPr>
        <w:t>为参与</w:t>
      </w:r>
      <w:r>
        <w:rPr>
          <w:rFonts w:hint="eastAsia" w:ascii="宋体" w:hAnsi="宋体" w:eastAsia="宋体" w:cs="宋体"/>
          <w:sz w:val="28"/>
          <w:u w:val="single"/>
        </w:rPr>
        <w:t xml:space="preserve">           </w:t>
      </w:r>
      <w:r>
        <w:rPr>
          <w:rFonts w:hint="eastAsia" w:ascii="宋体" w:hAnsi="宋体" w:eastAsia="宋体" w:cs="宋体"/>
          <w:sz w:val="28"/>
        </w:rPr>
        <w:t>项目，签署上述项目的投标文件、进行招标、签署合同和处理与之有关的一切事务。</w:t>
      </w:r>
    </w:p>
    <w:p w14:paraId="55121BD1">
      <w:pPr>
        <w:spacing w:line="640" w:lineRule="exact"/>
        <w:ind w:firstLine="560"/>
        <w:rPr>
          <w:rFonts w:hint="eastAsia" w:ascii="宋体" w:hAnsi="宋体" w:eastAsia="宋体" w:cs="宋体"/>
          <w:sz w:val="28"/>
          <w:szCs w:val="28"/>
        </w:rPr>
      </w:pPr>
    </w:p>
    <w:p w14:paraId="649191D6">
      <w:pPr>
        <w:spacing w:line="640" w:lineRule="exact"/>
        <w:rPr>
          <w:rFonts w:hint="eastAsia" w:ascii="宋体" w:hAnsi="宋体" w:eastAsia="宋体" w:cs="宋体"/>
          <w:sz w:val="28"/>
          <w:szCs w:val="28"/>
          <w:lang w:val="zh-CN"/>
        </w:rPr>
      </w:pPr>
    </w:p>
    <w:p w14:paraId="76AE9D06">
      <w:pPr>
        <w:spacing w:line="640" w:lineRule="exact"/>
        <w:ind w:firstLine="560"/>
        <w:rPr>
          <w:rFonts w:hint="eastAsia" w:ascii="宋体" w:hAnsi="宋体" w:eastAsia="宋体" w:cs="宋体"/>
          <w:sz w:val="28"/>
          <w:szCs w:val="28"/>
          <w:lang w:val="zh-CN"/>
        </w:rPr>
      </w:pPr>
      <w:r>
        <w:rPr>
          <w:rFonts w:hint="eastAsia" w:ascii="宋体" w:hAnsi="宋体" w:eastAsia="宋体" w:cs="宋体"/>
          <w:sz w:val="28"/>
          <w:szCs w:val="28"/>
          <w:lang w:val="zh-CN"/>
        </w:rPr>
        <w:t>特此证明。</w:t>
      </w:r>
    </w:p>
    <w:p w14:paraId="304E86AC">
      <w:pPr>
        <w:spacing w:line="640" w:lineRule="exact"/>
        <w:jc w:val="center"/>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217B16B">
      <w:pPr>
        <w:spacing w:line="640" w:lineRule="exact"/>
        <w:jc w:val="center"/>
        <w:rPr>
          <w:rFonts w:hint="eastAsia" w:ascii="宋体" w:hAnsi="宋体" w:eastAsia="宋体" w:cs="宋体"/>
          <w:sz w:val="28"/>
          <w:szCs w:val="28"/>
          <w:lang w:val="zh-CN"/>
        </w:rPr>
      </w:pPr>
      <w:r>
        <w:rPr>
          <w:rFonts w:hint="eastAsia" w:ascii="宋体" w:hAnsi="宋体" w:eastAsia="宋体" w:cs="宋体"/>
          <w:sz w:val="28"/>
          <w:szCs w:val="28"/>
          <w:lang w:val="zh-CN"/>
        </w:rPr>
        <w:t xml:space="preserve">                 投标人：</w:t>
      </w:r>
      <w:r>
        <w:rPr>
          <w:rFonts w:hint="eastAsia" w:ascii="宋体" w:hAnsi="宋体" w:eastAsia="宋体" w:cs="宋体"/>
          <w:sz w:val="28"/>
          <w:szCs w:val="28"/>
          <w:u w:val="single"/>
          <w:lang w:val="zh-CN"/>
        </w:rPr>
        <w:t xml:space="preserve">    （电子签章）     </w:t>
      </w:r>
    </w:p>
    <w:p w14:paraId="3848BF4F">
      <w:pPr>
        <w:spacing w:line="640" w:lineRule="exact"/>
        <w:jc w:val="center"/>
        <w:rPr>
          <w:rFonts w:hint="eastAsia" w:ascii="宋体" w:hAnsi="宋体" w:eastAsia="宋体" w:cs="宋体"/>
          <w:sz w:val="28"/>
          <w:szCs w:val="28"/>
          <w:lang w:val="zh-CN"/>
        </w:rPr>
      </w:pPr>
      <w:r>
        <w:rPr>
          <w:rFonts w:hint="eastAsia" w:ascii="宋体" w:hAnsi="宋体" w:eastAsia="宋体" w:cs="宋体"/>
          <w:sz w:val="28"/>
          <w:szCs w:val="28"/>
          <w:lang w:val="zh-CN"/>
        </w:rPr>
        <w:t xml:space="preserve">                      日期</w:t>
      </w:r>
      <w:r>
        <w:rPr>
          <w:rFonts w:hint="eastAsia" w:ascii="宋体" w:hAnsi="宋体" w:cs="宋体"/>
          <w:sz w:val="28"/>
          <w:szCs w:val="28"/>
          <w:lang w:val="zh-CN"/>
        </w:rPr>
        <w:t>：</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 xml:space="preserve">年 </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月</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日</w:t>
      </w:r>
    </w:p>
    <w:p w14:paraId="286BB372">
      <w:pPr>
        <w:pStyle w:val="208"/>
        <w:spacing w:before="0" w:after="0" w:line="520" w:lineRule="exact"/>
        <w:ind w:left="4760" w:right="560" w:hanging="1820"/>
        <w:rPr>
          <w:rFonts w:hint="eastAsia" w:ascii="宋体" w:hAnsi="宋体" w:eastAsia="宋体" w:cs="宋体"/>
          <w:sz w:val="28"/>
          <w:szCs w:val="28"/>
          <w:lang w:val="zh-CN"/>
        </w:rPr>
      </w:pPr>
    </w:p>
    <w:p w14:paraId="26A7D125">
      <w:pPr>
        <w:spacing w:line="640" w:lineRule="exact"/>
        <w:jc w:val="center"/>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p>
    <w:p w14:paraId="4BDD6FA8">
      <w:pPr>
        <w:spacing w:line="640" w:lineRule="exact"/>
        <w:ind w:firstLine="560"/>
        <w:rPr>
          <w:rFonts w:hint="eastAsia" w:ascii="宋体" w:hAnsi="宋体" w:eastAsia="宋体" w:cs="宋体"/>
          <w:sz w:val="28"/>
          <w:szCs w:val="28"/>
        </w:rPr>
      </w:pPr>
      <w:r>
        <w:rPr>
          <w:rFonts w:hint="eastAsia" w:ascii="宋体" w:hAnsi="宋体" w:eastAsia="宋体" w:cs="宋体"/>
          <w:bCs/>
          <w:sz w:val="28"/>
        </w:rPr>
        <w:t>注</w:t>
      </w:r>
      <w:r>
        <w:rPr>
          <w:rFonts w:hint="eastAsia" w:ascii="宋体" w:hAnsi="宋体" w:eastAsia="宋体" w:cs="宋体"/>
          <w:bCs/>
          <w:sz w:val="28"/>
          <w:lang w:eastAsia="zh-CN"/>
        </w:rPr>
        <w:t>：</w:t>
      </w:r>
      <w:r>
        <w:rPr>
          <w:rFonts w:hint="eastAsia" w:ascii="宋体" w:hAnsi="宋体" w:eastAsia="宋体" w:cs="宋体"/>
          <w:bCs/>
          <w:sz w:val="28"/>
        </w:rPr>
        <w:t>投标人法定代表人</w:t>
      </w:r>
      <w:r>
        <w:rPr>
          <w:rFonts w:hint="eastAsia" w:ascii="宋体" w:hAnsi="宋体" w:eastAsia="宋体" w:cs="宋体"/>
          <w:bCs/>
          <w:sz w:val="28"/>
          <w:szCs w:val="28"/>
        </w:rPr>
        <w:t>参加投标的，必须附</w:t>
      </w:r>
      <w:r>
        <w:rPr>
          <w:rFonts w:hint="eastAsia" w:ascii="宋体" w:hAnsi="宋体" w:eastAsia="宋体" w:cs="宋体"/>
          <w:bCs/>
          <w:sz w:val="28"/>
        </w:rPr>
        <w:t>法定代表人</w:t>
      </w:r>
      <w:r>
        <w:rPr>
          <w:rFonts w:hint="eastAsia" w:ascii="宋体" w:hAnsi="宋体" w:eastAsia="宋体" w:cs="宋体"/>
          <w:bCs/>
          <w:sz w:val="28"/>
          <w:szCs w:val="28"/>
        </w:rPr>
        <w:t>身份证扫描件加盖投标人电子签章。</w:t>
      </w:r>
      <w:r>
        <w:rPr>
          <w:rFonts w:hint="eastAsia" w:ascii="宋体" w:hAnsi="宋体" w:eastAsia="宋体" w:cs="宋体"/>
          <w:sz w:val="28"/>
          <w:szCs w:val="28"/>
        </w:rPr>
        <w:t>法定代表人授权其他人参加投标的，仅需填写“授权委托书”。</w:t>
      </w:r>
    </w:p>
    <w:p w14:paraId="1FF1DEA0">
      <w:pPr>
        <w:rPr>
          <w:rFonts w:hint="eastAsia" w:ascii="宋体" w:hAnsi="宋体" w:eastAsia="宋体" w:cs="宋体"/>
          <w:color w:val="000000"/>
          <w:highlight w:val="none"/>
        </w:rPr>
      </w:pPr>
      <w:r>
        <w:rPr>
          <w:rFonts w:hint="eastAsia" w:ascii="宋体" w:hAnsi="宋体" w:eastAsia="宋体" w:cs="宋体"/>
          <w:b/>
          <w:color w:val="000000"/>
          <w:sz w:val="32"/>
          <w:highlight w:val="none"/>
        </w:rPr>
        <w:br w:type="page" w:clear="all"/>
      </w:r>
    </w:p>
    <w:p w14:paraId="532D9218">
      <w:pPr>
        <w:pStyle w:val="4"/>
        <w:shd w:val="clear" w:color="auto" w:fill="FFFFFF"/>
        <w:spacing w:line="400" w:lineRule="exact"/>
        <w:ind w:left="0" w:firstLine="0"/>
        <w:rPr>
          <w:rFonts w:hint="eastAsia" w:ascii="宋体" w:hAnsi="宋体" w:eastAsia="宋体" w:cs="宋体"/>
          <w:sz w:val="30"/>
          <w:szCs w:val="30"/>
          <w:highlight w:val="none"/>
          <w:lang w:val="zh-CN"/>
        </w:rPr>
      </w:pPr>
      <w:r>
        <w:rPr>
          <w:rFonts w:hint="eastAsia" w:ascii="宋体" w:hAnsi="宋体" w:eastAsia="宋体" w:cs="宋体"/>
          <w:sz w:val="30"/>
          <w:szCs w:val="30"/>
          <w:highlight w:val="none"/>
        </w:rPr>
        <w:t>示范格式二</w:t>
      </w:r>
    </w:p>
    <w:p w14:paraId="34F3D567">
      <w:pPr>
        <w:spacing w:line="440" w:lineRule="exact"/>
        <w:ind w:firstLine="3534"/>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授权委托书</w:t>
      </w:r>
    </w:p>
    <w:p w14:paraId="65AC2040">
      <w:pPr>
        <w:spacing w:line="440" w:lineRule="exact"/>
        <w:ind w:firstLine="482"/>
        <w:rPr>
          <w:rFonts w:hint="eastAsia" w:ascii="宋体" w:hAnsi="宋体" w:eastAsia="宋体" w:cs="宋体"/>
          <w:b/>
          <w:bCs/>
          <w:color w:val="000000"/>
          <w:sz w:val="24"/>
          <w:highlight w:val="none"/>
        </w:rPr>
      </w:pPr>
    </w:p>
    <w:p w14:paraId="3C8106DA">
      <w:pPr>
        <w:spacing w:line="440" w:lineRule="exact"/>
        <w:ind w:firstLine="482"/>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致</w:t>
      </w:r>
      <w:r>
        <w:rPr>
          <w:rFonts w:hint="eastAsia" w:ascii="宋体" w:hAnsi="宋体" w:eastAsia="宋体" w:cs="宋体"/>
          <w:b/>
          <w:bCs/>
          <w:color w:val="000000"/>
          <w:sz w:val="24"/>
          <w:highlight w:val="none"/>
          <w:u w:val="single"/>
        </w:rPr>
        <w:t xml:space="preserve">        （采购单位）                    </w:t>
      </w:r>
      <w:r>
        <w:rPr>
          <w:rFonts w:hint="eastAsia" w:ascii="宋体" w:hAnsi="宋体" w:eastAsia="宋体" w:cs="宋体"/>
          <w:b/>
          <w:bCs/>
          <w:color w:val="000000"/>
          <w:sz w:val="24"/>
          <w:highlight w:val="none"/>
        </w:rPr>
        <w:t>：</w:t>
      </w:r>
    </w:p>
    <w:p w14:paraId="0DAD5453">
      <w:pPr>
        <w:spacing w:line="44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本授权书宣告</w:t>
      </w:r>
      <w:r>
        <w:rPr>
          <w:rFonts w:hint="eastAsia" w:ascii="宋体" w:hAnsi="宋体" w:eastAsia="宋体" w:cs="宋体"/>
          <w:color w:val="000000"/>
          <w:sz w:val="24"/>
          <w:highlight w:val="none"/>
          <w:lang w:eastAsia="zh-CN"/>
        </w:rPr>
        <w:t>：</w:t>
      </w:r>
    </w:p>
    <w:p w14:paraId="2A72F2EB">
      <w:pPr>
        <w:spacing w:line="44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委托方</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2FD810DE">
      <w:pPr>
        <w:spacing w:line="44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地址</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41F6D26B">
      <w:pPr>
        <w:spacing w:line="44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7D6DD0F5">
      <w:pPr>
        <w:spacing w:line="44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受托人</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 xml:space="preserve">姓名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性别</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出生日期</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u w:val="single"/>
        </w:rPr>
        <w:t xml:space="preserve">    年  月  </w:t>
      </w:r>
      <w:r>
        <w:rPr>
          <w:rFonts w:hint="eastAsia" w:ascii="宋体" w:hAnsi="宋体" w:eastAsia="宋体" w:cs="宋体"/>
          <w:color w:val="000000"/>
          <w:sz w:val="24"/>
          <w:highlight w:val="none"/>
        </w:rPr>
        <w:t>日</w:t>
      </w:r>
    </w:p>
    <w:p w14:paraId="0FDE8C25">
      <w:pPr>
        <w:spacing w:line="440" w:lineRule="exact"/>
        <w:ind w:firstLine="48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所在单位</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职务</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u w:val="single"/>
        </w:rPr>
        <w:t xml:space="preserve">          </w:t>
      </w:r>
    </w:p>
    <w:p w14:paraId="5A6E2BF0">
      <w:pPr>
        <w:spacing w:line="440" w:lineRule="exact"/>
        <w:ind w:firstLine="48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身 份 证</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联系方式</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u w:val="single"/>
        </w:rPr>
        <w:t xml:space="preserve">      </w:t>
      </w:r>
    </w:p>
    <w:p w14:paraId="4FC4B122">
      <w:pPr>
        <w:spacing w:line="44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兹委托受托人代表我单位参加</w:t>
      </w:r>
      <w:r>
        <w:rPr>
          <w:rFonts w:hint="eastAsia" w:ascii="宋体" w:hAnsi="宋体" w:eastAsia="宋体" w:cs="宋体"/>
          <w:color w:val="000000"/>
          <w:sz w:val="24"/>
          <w:highlight w:val="none"/>
          <w:u w:val="single"/>
        </w:rPr>
        <w:t xml:space="preserve">         （项目名称）</w:t>
      </w:r>
      <w:r>
        <w:rPr>
          <w:rFonts w:hint="eastAsia" w:ascii="宋体" w:hAnsi="宋体" w:eastAsia="宋体" w:cs="宋体"/>
          <w:color w:val="000000"/>
          <w:sz w:val="24"/>
          <w:highlight w:val="none"/>
        </w:rPr>
        <w:t>的政府采购活动，受托人有权在该招标活动中，以我单位的名义签署投标函和招标文件，与交易中心协商、澄清、解释，签订合同书并执行一切与此有关的事项。</w:t>
      </w:r>
    </w:p>
    <w:p w14:paraId="19C8279C">
      <w:pPr>
        <w:spacing w:line="44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受托人在办理上述事宜过程中以其自己的名义所签署的所有文件我方均予以承认。受托人无转委托权。</w:t>
      </w:r>
    </w:p>
    <w:p w14:paraId="37A3DBBD">
      <w:pPr>
        <w:spacing w:line="44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委托期限：至上述事宜处理完毕止。</w:t>
      </w:r>
    </w:p>
    <w:p w14:paraId="7FC1B0C0">
      <w:pPr>
        <w:spacing w:line="360" w:lineRule="auto"/>
        <w:ind w:firstLine="480"/>
        <w:rPr>
          <w:rFonts w:hint="eastAsia" w:ascii="宋体" w:hAnsi="宋体" w:eastAsia="宋体" w:cs="宋体"/>
          <w:color w:val="000000"/>
          <w:sz w:val="24"/>
          <w:highlight w:val="none"/>
        </w:rPr>
      </w:pPr>
    </w:p>
    <w:p w14:paraId="551EF916">
      <w:pPr>
        <w:spacing w:line="360" w:lineRule="auto"/>
        <w:ind w:firstLine="48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14:paraId="7CD88780">
      <w:pPr>
        <w:spacing w:line="360" w:lineRule="auto"/>
        <w:ind w:firstLine="480"/>
        <w:jc w:val="center"/>
        <w:rPr>
          <w:rFonts w:hint="eastAsia" w:ascii="宋体" w:hAnsi="宋体" w:eastAsia="宋体" w:cs="宋体"/>
          <w:color w:val="000000"/>
          <w:sz w:val="24"/>
          <w:highlight w:val="none"/>
          <w:lang w:val="zh-CN"/>
        </w:rPr>
      </w:pPr>
      <w:r>
        <w:rPr>
          <w:rFonts w:hint="eastAsia" w:ascii="宋体" w:hAnsi="宋体" w:cs="宋体"/>
          <w:color w:val="000000"/>
          <w:sz w:val="24"/>
          <w:highlight w:val="none"/>
          <w:lang w:val="en-US" w:eastAsia="zh-CN"/>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zh-CN"/>
        </w:rPr>
        <w:t>投标人</w:t>
      </w:r>
      <w:r>
        <w:rPr>
          <w:rFonts w:hint="eastAsia" w:ascii="宋体" w:hAnsi="宋体" w:cs="宋体"/>
          <w:color w:val="000000"/>
          <w:sz w:val="24"/>
          <w:highlight w:val="none"/>
          <w:lang w:val="zh-CN"/>
        </w:rPr>
        <w:t>：</w:t>
      </w:r>
      <w:r>
        <w:rPr>
          <w:rFonts w:hint="eastAsia" w:ascii="宋体" w:hAnsi="宋体" w:eastAsia="宋体" w:cs="宋体"/>
          <w:color w:val="000000"/>
          <w:sz w:val="24"/>
          <w:highlight w:val="none"/>
          <w:lang w:val="zh-CN"/>
        </w:rPr>
        <w:t xml:space="preserve">     （电子签章）    </w:t>
      </w:r>
    </w:p>
    <w:p w14:paraId="6E492003">
      <w:pPr>
        <w:spacing w:line="360" w:lineRule="auto"/>
        <w:ind w:firstLine="480"/>
        <w:rPr>
          <w:rFonts w:hint="eastAsia" w:ascii="宋体" w:hAnsi="宋体" w:eastAsia="宋体" w:cs="宋体"/>
          <w:color w:val="000000"/>
          <w:sz w:val="24"/>
          <w:highlight w:val="none"/>
          <w:lang w:val="zh-CN"/>
        </w:rPr>
      </w:pP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val="en-US" w:eastAsia="zh-CN"/>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zh-CN"/>
        </w:rPr>
        <w:t>日期</w:t>
      </w:r>
      <w:r>
        <w:rPr>
          <w:rFonts w:hint="eastAsia" w:ascii="宋体" w:hAnsi="宋体" w:cs="宋体"/>
          <w:color w:val="000000"/>
          <w:sz w:val="24"/>
          <w:highlight w:val="none"/>
          <w:lang w:val="zh-CN"/>
        </w:rPr>
        <w:t>：</w:t>
      </w:r>
      <w:r>
        <w:rPr>
          <w:rFonts w:hint="eastAsia" w:ascii="宋体" w:hAnsi="宋体" w:eastAsia="宋体" w:cs="宋体"/>
          <w:color w:val="000000"/>
          <w:sz w:val="24"/>
          <w:highlight w:val="none"/>
          <w:lang w:val="zh-CN"/>
        </w:rPr>
        <w:t xml:space="preserve">    年   </w:t>
      </w:r>
      <w:r>
        <w:rPr>
          <w:rFonts w:hint="eastAsia" w:ascii="宋体" w:hAnsi="宋体" w:cs="宋体"/>
          <w:color w:val="000000"/>
          <w:sz w:val="24"/>
          <w:highlight w:val="none"/>
          <w:lang w:val="en-US" w:eastAsia="zh-CN"/>
        </w:rPr>
        <w:t xml:space="preserve"> </w:t>
      </w:r>
      <w:r>
        <w:rPr>
          <w:rFonts w:hint="eastAsia" w:ascii="宋体" w:hAnsi="宋体" w:eastAsia="宋体" w:cs="宋体"/>
          <w:color w:val="000000"/>
          <w:sz w:val="24"/>
          <w:highlight w:val="none"/>
          <w:lang w:val="zh-CN"/>
        </w:rPr>
        <w:t>月</w:t>
      </w:r>
      <w:r>
        <w:rPr>
          <w:rFonts w:hint="eastAsia" w:ascii="宋体" w:hAnsi="宋体" w:cs="宋体"/>
          <w:color w:val="000000"/>
          <w:sz w:val="24"/>
          <w:highlight w:val="none"/>
          <w:lang w:val="en-US" w:eastAsia="zh-CN"/>
        </w:rPr>
        <w:t xml:space="preserve"> </w:t>
      </w:r>
      <w:r>
        <w:rPr>
          <w:rFonts w:hint="eastAsia" w:ascii="宋体" w:hAnsi="宋体" w:eastAsia="宋体" w:cs="宋体"/>
          <w:color w:val="000000"/>
          <w:sz w:val="24"/>
          <w:highlight w:val="none"/>
          <w:lang w:val="zh-CN"/>
        </w:rPr>
        <w:t xml:space="preserve">  日</w:t>
      </w:r>
    </w:p>
    <w:p w14:paraId="4E768AAE">
      <w:pPr>
        <w:spacing w:line="360" w:lineRule="auto"/>
        <w:ind w:firstLine="480"/>
        <w:rPr>
          <w:rFonts w:hint="eastAsia" w:ascii="宋体" w:hAnsi="宋体" w:eastAsia="宋体" w:cs="宋体"/>
          <w:color w:val="000000"/>
          <w:sz w:val="24"/>
          <w:highlight w:val="none"/>
        </w:rPr>
      </w:pPr>
    </w:p>
    <w:p w14:paraId="2DB10A55">
      <w:pPr>
        <w:spacing w:line="360" w:lineRule="auto"/>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投标人委托受托人参加投标的，必须附受托人身份证扫描件加盖投标人电子签章。法定代表人直接参加投标的，仅需填写“法定代表人资格证明”。</w:t>
      </w:r>
    </w:p>
    <w:p w14:paraId="4F7EDC5F">
      <w:pPr>
        <w:spacing w:line="360" w:lineRule="auto"/>
        <w:ind w:firstLine="480"/>
        <w:rPr>
          <w:rFonts w:hint="eastAsia" w:ascii="宋体" w:hAnsi="宋体" w:eastAsia="宋体" w:cs="宋体"/>
          <w:color w:val="000000"/>
          <w:sz w:val="24"/>
          <w:highlight w:val="none"/>
        </w:rPr>
      </w:pPr>
    </w:p>
    <w:p w14:paraId="285B94B7">
      <w:pPr>
        <w:spacing w:line="440" w:lineRule="exact"/>
        <w:ind w:firstLine="562"/>
        <w:rPr>
          <w:rFonts w:hint="eastAsia" w:ascii="宋体" w:hAnsi="宋体" w:eastAsia="宋体" w:cs="宋体"/>
          <w:b/>
          <w:bCs/>
          <w:color w:val="000000"/>
          <w:sz w:val="28"/>
          <w:highlight w:val="none"/>
        </w:rPr>
      </w:pPr>
    </w:p>
    <w:p w14:paraId="1395CB01">
      <w:pPr>
        <w:pStyle w:val="20"/>
        <w:rPr>
          <w:rFonts w:hint="eastAsia" w:ascii="宋体" w:hAnsi="宋体" w:eastAsia="宋体" w:cs="宋体"/>
          <w:b/>
          <w:color w:val="000000"/>
          <w:sz w:val="32"/>
          <w:szCs w:val="24"/>
          <w:highlight w:val="none"/>
        </w:rPr>
      </w:pPr>
    </w:p>
    <w:p w14:paraId="527C4789">
      <w:pPr>
        <w:pStyle w:val="20"/>
        <w:rPr>
          <w:rFonts w:hint="eastAsia" w:ascii="宋体" w:hAnsi="宋体" w:eastAsia="宋体" w:cs="宋体"/>
          <w:b/>
          <w:color w:val="000000"/>
          <w:sz w:val="32"/>
          <w:szCs w:val="24"/>
          <w:highlight w:val="none"/>
        </w:rPr>
      </w:pPr>
    </w:p>
    <w:p w14:paraId="72D7BA11">
      <w:pPr>
        <w:pStyle w:val="20"/>
        <w:rPr>
          <w:rFonts w:hint="eastAsia" w:ascii="宋体" w:hAnsi="宋体" w:eastAsia="宋体" w:cs="宋体"/>
          <w:b/>
          <w:color w:val="000000"/>
          <w:sz w:val="32"/>
          <w:szCs w:val="24"/>
          <w:highlight w:val="none"/>
        </w:rPr>
      </w:pPr>
    </w:p>
    <w:p w14:paraId="7AD97374">
      <w:pPr>
        <w:pStyle w:val="4"/>
        <w:shd w:val="clear" w:color="auto" w:fill="FFFFFF"/>
        <w:spacing w:line="400" w:lineRule="exact"/>
        <w:ind w:left="0" w:firstLine="0"/>
        <w:rPr>
          <w:rFonts w:hint="eastAsia" w:ascii="宋体" w:hAnsi="宋体" w:eastAsia="宋体" w:cs="宋体"/>
          <w:sz w:val="30"/>
          <w:szCs w:val="30"/>
          <w:highlight w:val="none"/>
        </w:rPr>
      </w:pPr>
      <w:r>
        <w:rPr>
          <w:rFonts w:hint="eastAsia" w:ascii="宋体" w:hAnsi="宋体" w:eastAsia="宋体" w:cs="宋体"/>
          <w:sz w:val="30"/>
          <w:szCs w:val="30"/>
          <w:highlight w:val="none"/>
        </w:rPr>
        <w:t>示范格式三</w:t>
      </w:r>
    </w:p>
    <w:p w14:paraId="60BB7392">
      <w:pPr>
        <w:spacing w:line="480" w:lineRule="auto"/>
        <w:jc w:val="center"/>
        <w:rPr>
          <w:rFonts w:hint="eastAsia" w:ascii="宋体" w:hAnsi="宋体" w:eastAsia="宋体" w:cs="宋体"/>
          <w:b/>
          <w:bCs/>
          <w:color w:val="000000"/>
          <w:sz w:val="32"/>
          <w:szCs w:val="32"/>
          <w:highlight w:val="none"/>
          <w:lang w:val="zh-CN"/>
        </w:rPr>
      </w:pPr>
      <w:r>
        <w:rPr>
          <w:rFonts w:hint="eastAsia" w:ascii="宋体" w:hAnsi="宋体" w:eastAsia="宋体" w:cs="宋体"/>
          <w:b/>
          <w:bCs/>
          <w:color w:val="000000"/>
          <w:sz w:val="32"/>
          <w:szCs w:val="32"/>
          <w:highlight w:val="none"/>
          <w:lang w:val="zh-CN"/>
        </w:rPr>
        <w:t>承 诺 书</w:t>
      </w:r>
    </w:p>
    <w:p w14:paraId="0AB50369">
      <w:pPr>
        <w:spacing w:line="480" w:lineRule="auto"/>
        <w:jc w:val="center"/>
        <w:rPr>
          <w:rFonts w:hint="eastAsia" w:ascii="宋体" w:hAnsi="宋体" w:eastAsia="宋体" w:cs="宋体"/>
          <w:b/>
          <w:bCs/>
          <w:color w:val="000000"/>
          <w:sz w:val="28"/>
          <w:szCs w:val="28"/>
          <w:highlight w:val="none"/>
          <w:lang w:val="zh-CN"/>
        </w:rPr>
      </w:pPr>
      <w:r>
        <w:rPr>
          <w:rFonts w:hint="eastAsia" w:asciiTheme="minorEastAsia" w:hAnsiTheme="minorEastAsia" w:eastAsiaTheme="minorEastAsia" w:cstheme="minorEastAsia"/>
          <w:b/>
          <w:bCs/>
          <w:sz w:val="28"/>
          <w:szCs w:val="22"/>
        </w:rPr>
        <w:t>符合《中华人民共和国政府采购法》第二十二条规定条件的声明函</w:t>
      </w:r>
    </w:p>
    <w:p w14:paraId="743DEC74">
      <w:pPr>
        <w:spacing w:line="520" w:lineRule="exact"/>
        <w:ind w:firstLine="12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 xml:space="preserve">  （采购单位）          </w:t>
      </w:r>
      <w:r>
        <w:rPr>
          <w:rFonts w:hint="eastAsia" w:ascii="宋体" w:hAnsi="宋体" w:eastAsia="宋体" w:cs="宋体"/>
          <w:color w:val="000000"/>
          <w:sz w:val="24"/>
          <w:highlight w:val="none"/>
        </w:rPr>
        <w:t>：</w:t>
      </w:r>
    </w:p>
    <w:p w14:paraId="4D32E361">
      <w:pPr>
        <w:spacing w:line="520" w:lineRule="exact"/>
        <w:ind w:firstLine="560"/>
        <w:rPr>
          <w:rFonts w:hint="eastAsia" w:ascii="宋体" w:hAnsi="宋体" w:eastAsia="宋体" w:cs="宋体"/>
          <w:color w:val="000000"/>
          <w:sz w:val="24"/>
          <w:highlight w:val="none"/>
        </w:rPr>
      </w:pPr>
      <w:r>
        <w:rPr>
          <w:rFonts w:hint="eastAsia" w:ascii="宋体" w:hAnsi="宋体" w:eastAsia="宋体" w:cs="宋体"/>
          <w:color w:val="000000"/>
          <w:sz w:val="24"/>
          <w:highlight w:val="none"/>
        </w:rPr>
        <w:t>我公司参加贵中心组织实施的（项目编号</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采购项目的政府采购活动。针对《中华人民共和国政府采购法》第二十二条规定做出如下声明：</w:t>
      </w:r>
    </w:p>
    <w:p w14:paraId="61316F81">
      <w:pPr>
        <w:spacing w:line="520" w:lineRule="exact"/>
        <w:ind w:firstLine="560"/>
        <w:rPr>
          <w:rFonts w:hint="eastAsia" w:ascii="宋体" w:hAnsi="宋体" w:eastAsia="宋体" w:cs="宋体"/>
          <w:color w:val="000000"/>
          <w:sz w:val="24"/>
          <w:highlight w:val="none"/>
        </w:rPr>
      </w:pPr>
      <w:r>
        <w:rPr>
          <w:rFonts w:hint="eastAsia" w:ascii="宋体" w:hAnsi="宋体" w:eastAsia="宋体" w:cs="宋体"/>
          <w:color w:val="000000"/>
          <w:sz w:val="24"/>
          <w:highlight w:val="none"/>
        </w:rPr>
        <w:t>1、我单位具有独立承担民事责任的能力；</w:t>
      </w:r>
    </w:p>
    <w:p w14:paraId="0D14DE7C">
      <w:pPr>
        <w:spacing w:line="520" w:lineRule="exact"/>
        <w:ind w:firstLine="560"/>
        <w:rPr>
          <w:rFonts w:hint="eastAsia" w:ascii="宋体" w:hAnsi="宋体" w:eastAsia="宋体" w:cs="宋体"/>
          <w:color w:val="000000"/>
          <w:sz w:val="24"/>
          <w:highlight w:val="none"/>
        </w:rPr>
      </w:pPr>
      <w:r>
        <w:rPr>
          <w:rFonts w:hint="eastAsia" w:ascii="宋体" w:hAnsi="宋体" w:eastAsia="宋体" w:cs="宋体"/>
          <w:color w:val="000000"/>
          <w:sz w:val="24"/>
          <w:highlight w:val="none"/>
        </w:rPr>
        <w:t>2、我单位具有良好的商业信誉和健全的财务会计制度；</w:t>
      </w:r>
    </w:p>
    <w:p w14:paraId="71DD285D">
      <w:pPr>
        <w:spacing w:line="520" w:lineRule="exact"/>
        <w:ind w:firstLine="560"/>
        <w:rPr>
          <w:rFonts w:hint="eastAsia" w:ascii="宋体" w:hAnsi="宋体" w:eastAsia="宋体" w:cs="宋体"/>
          <w:color w:val="000000"/>
          <w:sz w:val="24"/>
          <w:highlight w:val="none"/>
        </w:rPr>
      </w:pPr>
      <w:r>
        <w:rPr>
          <w:rFonts w:hint="eastAsia" w:ascii="宋体" w:hAnsi="宋体" w:eastAsia="宋体" w:cs="宋体"/>
          <w:color w:val="000000"/>
          <w:sz w:val="24"/>
          <w:highlight w:val="none"/>
        </w:rPr>
        <w:t>3、我单位具有履行合同所必需的设备和专业技术能力；</w:t>
      </w:r>
    </w:p>
    <w:p w14:paraId="362DEBC7">
      <w:pPr>
        <w:spacing w:line="520" w:lineRule="exact"/>
        <w:ind w:firstLine="560"/>
        <w:rPr>
          <w:rFonts w:hint="eastAsia" w:ascii="宋体" w:hAnsi="宋体" w:eastAsia="宋体" w:cs="宋体"/>
          <w:color w:val="000000"/>
          <w:sz w:val="24"/>
          <w:highlight w:val="none"/>
        </w:rPr>
      </w:pPr>
      <w:r>
        <w:rPr>
          <w:rFonts w:hint="eastAsia" w:ascii="宋体" w:hAnsi="宋体" w:eastAsia="宋体" w:cs="宋体"/>
          <w:color w:val="000000"/>
          <w:sz w:val="24"/>
          <w:highlight w:val="none"/>
        </w:rPr>
        <w:t>4、我单位有依法缴纳税收和社会保障资金的良好记录；</w:t>
      </w:r>
    </w:p>
    <w:p w14:paraId="401DD338">
      <w:pPr>
        <w:spacing w:line="520" w:lineRule="exact"/>
        <w:ind w:firstLine="560"/>
        <w:rPr>
          <w:rFonts w:hint="eastAsia" w:ascii="宋体" w:hAnsi="宋体" w:eastAsia="宋体" w:cs="宋体"/>
          <w:color w:val="000000"/>
          <w:sz w:val="24"/>
          <w:highlight w:val="none"/>
        </w:rPr>
      </w:pPr>
      <w:r>
        <w:rPr>
          <w:rFonts w:hint="eastAsia" w:ascii="宋体" w:hAnsi="宋体" w:eastAsia="宋体" w:cs="宋体"/>
          <w:color w:val="000000"/>
          <w:sz w:val="24"/>
          <w:highlight w:val="none"/>
        </w:rPr>
        <w:t>5、参加本次政府采购活动前三年内，我公司在经营活动中没有因违法经营受到刑事处罚或者责令停产停业、吊销许可证或者执照、较大数额罚款等行政处罚。</w:t>
      </w:r>
    </w:p>
    <w:p w14:paraId="3CE973DC">
      <w:pPr>
        <w:spacing w:line="520" w:lineRule="exact"/>
        <w:ind w:firstLine="56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、我方与参加本次采购活动的其他单位不存在单位负责人为同一人的情况，也不存在控股、管理关系的情况；</w:t>
      </w:r>
    </w:p>
    <w:p w14:paraId="6B95FEE1">
      <w:pPr>
        <w:spacing w:line="520" w:lineRule="exact"/>
        <w:ind w:firstLine="56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7</w:t>
      </w:r>
      <w:r>
        <w:rPr>
          <w:rFonts w:hint="eastAsia" w:ascii="宋体" w:hAnsi="宋体" w:eastAsia="宋体" w:cs="宋体"/>
          <w:color w:val="000000"/>
          <w:sz w:val="24"/>
          <w:highlight w:val="none"/>
        </w:rPr>
        <w:t>、我方没有为本采购项目提供整体设计、规范编制或者项目管理、检测等服务；</w:t>
      </w:r>
    </w:p>
    <w:p w14:paraId="3DC8B235">
      <w:pPr>
        <w:spacing w:line="520" w:lineRule="exact"/>
        <w:ind w:firstLine="56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8、</w:t>
      </w:r>
      <w:r>
        <w:rPr>
          <w:rFonts w:hint="eastAsia" w:ascii="宋体" w:hAnsi="宋体" w:eastAsia="宋体" w:cs="宋体"/>
          <w:color w:val="000000"/>
          <w:sz w:val="24"/>
          <w:highlight w:val="none"/>
        </w:rPr>
        <w:t>我单位满足法律、行政法规规定的其他条件。</w:t>
      </w:r>
    </w:p>
    <w:p w14:paraId="08314362">
      <w:pPr>
        <w:spacing w:line="520" w:lineRule="exact"/>
        <w:ind w:firstLine="560"/>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9</w:t>
      </w:r>
      <w:r>
        <w:rPr>
          <w:rFonts w:hint="eastAsia" w:ascii="宋体" w:hAnsi="宋体" w:eastAsia="宋体" w:cs="宋体"/>
          <w:color w:val="000000"/>
          <w:sz w:val="24"/>
          <w:highlight w:val="none"/>
        </w:rPr>
        <w:t>、我方保证上述信息的真实和准确，并愿意承担因我方就此弄虚作假所引起的一切法律后果，并自愿接受相关监管部门作出的任何处罚。</w:t>
      </w:r>
    </w:p>
    <w:p w14:paraId="384A85CF">
      <w:pPr>
        <w:spacing w:line="520" w:lineRule="exact"/>
        <w:ind w:firstLine="480"/>
        <w:rPr>
          <w:rFonts w:hint="eastAsia" w:ascii="宋体" w:hAnsi="宋体" w:eastAsia="宋体" w:cs="宋体"/>
          <w:color w:val="000000"/>
          <w:sz w:val="24"/>
          <w:highlight w:val="none"/>
        </w:rPr>
      </w:pPr>
    </w:p>
    <w:p w14:paraId="118A4650">
      <w:pPr>
        <w:spacing w:line="520" w:lineRule="exact"/>
        <w:ind w:firstLine="480"/>
        <w:rPr>
          <w:rFonts w:hint="eastAsia" w:ascii="宋体" w:hAnsi="宋体" w:eastAsia="宋体" w:cs="宋体"/>
          <w:color w:val="000000"/>
          <w:sz w:val="24"/>
          <w:highlight w:val="none"/>
        </w:rPr>
      </w:pPr>
      <w:r>
        <w:rPr>
          <w:rFonts w:hint="eastAsia" w:ascii="宋体" w:hAnsi="宋体" w:eastAsia="宋体" w:cs="宋体"/>
          <w:color w:val="000000"/>
          <w:sz w:val="24"/>
          <w:highlight w:val="none"/>
        </w:rPr>
        <w:t>特此承诺！</w:t>
      </w:r>
    </w:p>
    <w:p w14:paraId="21FEC155">
      <w:pPr>
        <w:spacing w:line="520" w:lineRule="exact"/>
        <w:ind w:right="42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14:paraId="350F3AB1">
      <w:pPr>
        <w:spacing w:line="520" w:lineRule="exact"/>
        <w:ind w:right="420"/>
        <w:jc w:val="center"/>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 xml:space="preserve">               </w:t>
      </w:r>
      <w:r>
        <w:rPr>
          <w:rFonts w:hint="eastAsia" w:ascii="宋体" w:hAnsi="宋体" w:eastAsia="宋体" w:cs="宋体"/>
          <w:color w:val="000000"/>
          <w:sz w:val="24"/>
          <w:highlight w:val="none"/>
        </w:rPr>
        <w:t xml:space="preserve"> 供应商：</w:t>
      </w:r>
      <w:r>
        <w:rPr>
          <w:rFonts w:hint="eastAsia" w:ascii="宋体" w:hAnsi="宋体" w:eastAsia="宋体" w:cs="宋体"/>
          <w:color w:val="000000"/>
          <w:sz w:val="24"/>
          <w:highlight w:val="none"/>
          <w:lang w:val="zh-CN"/>
        </w:rPr>
        <w:t>（电子签章</w:t>
      </w:r>
      <w:r>
        <w:rPr>
          <w:rFonts w:hint="eastAsia" w:ascii="宋体" w:hAnsi="宋体" w:eastAsia="宋体" w:cs="宋体"/>
          <w:color w:val="000000"/>
          <w:sz w:val="24"/>
          <w:highlight w:val="none"/>
        </w:rPr>
        <w:t xml:space="preserve"> </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 xml:space="preserve"> </w:t>
      </w:r>
    </w:p>
    <w:p w14:paraId="03DC516F">
      <w:pPr>
        <w:spacing w:line="520" w:lineRule="exact"/>
        <w:ind w:right="420"/>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法定代表人或委托代理人（签字</w:t>
      </w:r>
      <w:r>
        <w:rPr>
          <w:rFonts w:hint="eastAsia" w:ascii="宋体" w:hAnsi="宋体" w:eastAsia="宋体" w:cs="宋体"/>
          <w:color w:val="000000"/>
          <w:sz w:val="24"/>
          <w:highlight w:val="none"/>
          <w:lang w:val="en-US" w:eastAsia="zh-CN"/>
        </w:rPr>
        <w:t>或签章</w:t>
      </w:r>
      <w:r>
        <w:rPr>
          <w:rFonts w:hint="eastAsia" w:ascii="宋体" w:hAnsi="宋体" w:eastAsia="宋体" w:cs="宋体"/>
          <w:color w:val="000000"/>
          <w:sz w:val="24"/>
          <w:highlight w:val="none"/>
        </w:rPr>
        <w:t xml:space="preserve">）        </w:t>
      </w:r>
    </w:p>
    <w:p w14:paraId="0A06CB1F">
      <w:pPr>
        <w:pStyle w:val="20"/>
        <w:widowControl/>
        <w:spacing w:line="336" w:lineRule="auto"/>
        <w:jc w:val="center"/>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4"/>
          <w:szCs w:val="24"/>
          <w:highlight w:val="none"/>
        </w:rPr>
        <w:t xml:space="preserve">                                       日期</w:t>
      </w:r>
      <w:r>
        <w:rPr>
          <w:rFonts w:hint="eastAsia" w:hAnsi="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年   月</w:t>
      </w:r>
      <w:r>
        <w:rPr>
          <w:rFonts w:hint="eastAsia"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w:t>
      </w:r>
      <w:r>
        <w:rPr>
          <w:rFonts w:hint="eastAsia" w:hAnsi="宋体" w:cs="宋体"/>
          <w:color w:val="000000"/>
          <w:sz w:val="24"/>
          <w:szCs w:val="24"/>
          <w:highlight w:val="none"/>
          <w:lang w:val="en-US" w:eastAsia="zh-CN"/>
        </w:rPr>
        <w:t>日</w:t>
      </w:r>
    </w:p>
    <w:p w14:paraId="4ED6636A">
      <w:pPr>
        <w:pStyle w:val="201"/>
        <w:rPr>
          <w:rFonts w:hint="eastAsia" w:ascii="宋体" w:hAnsi="宋体" w:eastAsia="宋体" w:cs="宋体"/>
          <w:color w:val="000000"/>
          <w:sz w:val="20"/>
          <w:szCs w:val="20"/>
          <w:highlight w:val="none"/>
          <w:lang w:val="en-US"/>
        </w:rPr>
        <w:sectPr>
          <w:pgSz w:w="11906" w:h="16838" w:orient="landscape"/>
          <w:pgMar w:top="1440" w:right="1474" w:bottom="1440" w:left="1474" w:header="851" w:footer="992" w:gutter="0"/>
          <w:cols w:space="720" w:num="1"/>
        </w:sectPr>
      </w:pPr>
    </w:p>
    <w:p w14:paraId="5BA323A9">
      <w:pPr>
        <w:pStyle w:val="4"/>
        <w:shd w:val="clear" w:color="auto" w:fill="FFFFFF"/>
        <w:spacing w:line="400" w:lineRule="exact"/>
        <w:ind w:left="0" w:firstLine="0"/>
        <w:rPr>
          <w:rFonts w:hint="eastAsia" w:ascii="宋体" w:hAnsi="宋体" w:eastAsia="宋体" w:cs="宋体"/>
          <w:sz w:val="30"/>
          <w:szCs w:val="30"/>
          <w:highlight w:val="none"/>
        </w:rPr>
      </w:pPr>
      <w:bookmarkStart w:id="50" w:name="_Toc12956505"/>
      <w:bookmarkStart w:id="51" w:name="_Toc49352288"/>
    </w:p>
    <w:p w14:paraId="2C76B49B">
      <w:pPr>
        <w:pStyle w:val="4"/>
        <w:shd w:val="clear" w:color="auto" w:fill="FFFFFF"/>
        <w:spacing w:line="400" w:lineRule="exact"/>
        <w:ind w:left="0" w:firstLine="0"/>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rPr>
        <w:t>示范格式</w:t>
      </w:r>
      <w:r>
        <w:rPr>
          <w:rFonts w:hint="eastAsia" w:hAnsi="宋体" w:cs="宋体"/>
          <w:sz w:val="30"/>
          <w:szCs w:val="30"/>
          <w:highlight w:val="none"/>
          <w:lang w:val="en-US" w:eastAsia="zh-CN"/>
        </w:rPr>
        <w:t>四</w:t>
      </w:r>
      <w:bookmarkEnd w:id="50"/>
      <w:bookmarkEnd w:id="51"/>
    </w:p>
    <w:p w14:paraId="0D672251">
      <w:pPr>
        <w:spacing w:line="520" w:lineRule="exact"/>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企业声明函（</w:t>
      </w:r>
      <w:r>
        <w:rPr>
          <w:rFonts w:hint="eastAsia" w:ascii="宋体" w:hAnsi="宋体" w:cs="宋体"/>
          <w:b/>
          <w:bCs/>
          <w:color w:val="000000"/>
          <w:sz w:val="32"/>
          <w:szCs w:val="32"/>
          <w:highlight w:val="none"/>
          <w:lang w:val="en-US" w:eastAsia="zh-CN"/>
        </w:rPr>
        <w:t>服务</w:t>
      </w:r>
      <w:r>
        <w:rPr>
          <w:rFonts w:hint="eastAsia" w:ascii="宋体" w:hAnsi="宋体" w:eastAsia="宋体" w:cs="宋体"/>
          <w:b/>
          <w:bCs/>
          <w:color w:val="000000"/>
          <w:sz w:val="32"/>
          <w:szCs w:val="32"/>
          <w:highlight w:val="none"/>
        </w:rPr>
        <w:t>）</w:t>
      </w:r>
    </w:p>
    <w:p w14:paraId="71C3F5CF">
      <w:pPr>
        <w:pStyle w:val="12"/>
        <w:spacing w:line="600" w:lineRule="exact"/>
        <w:ind w:firstLine="560"/>
        <w:rPr>
          <w:rFonts w:hint="eastAsia" w:ascii="宋体" w:hAnsi="宋体" w:eastAsia="宋体" w:cs="宋体"/>
          <w:bCs/>
          <w:color w:val="000000"/>
          <w:sz w:val="28"/>
          <w:szCs w:val="28"/>
        </w:rPr>
      </w:pPr>
      <w:r>
        <w:rPr>
          <w:rFonts w:hint="eastAsia" w:ascii="宋体" w:hAnsi="宋体" w:eastAsia="宋体" w:cs="宋体"/>
          <w:bCs/>
          <w:color w:val="000000"/>
          <w:sz w:val="28"/>
          <w:szCs w:val="28"/>
        </w:rPr>
        <w:t>致</w:t>
      </w:r>
      <w:r>
        <w:rPr>
          <w:rFonts w:hint="eastAsia" w:ascii="宋体" w:hAnsi="宋体" w:eastAsia="宋体" w:cs="宋体"/>
          <w:bCs/>
          <w:color w:val="000000"/>
          <w:sz w:val="28"/>
          <w:szCs w:val="28"/>
          <w:u w:val="single"/>
        </w:rPr>
        <w:t xml:space="preserve">         （采购人）</w:t>
      </w:r>
      <w:r>
        <w:rPr>
          <w:rFonts w:hint="eastAsia" w:ascii="宋体" w:hAnsi="宋体" w:cs="宋体"/>
          <w:bCs/>
          <w:color w:val="000000"/>
          <w:sz w:val="28"/>
          <w:szCs w:val="28"/>
          <w:u w:val="single"/>
          <w:lang w:eastAsia="zh-CN"/>
        </w:rPr>
        <w:t>：</w:t>
      </w:r>
    </w:p>
    <w:p w14:paraId="27F54E2E">
      <w:pPr>
        <w:pStyle w:val="12"/>
        <w:spacing w:line="600" w:lineRule="exact"/>
        <w:ind w:firstLine="560"/>
        <w:rPr>
          <w:rFonts w:hint="eastAsia" w:ascii="宋体" w:hAnsi="宋体" w:eastAsia="宋体" w:cs="宋体"/>
          <w:bCs/>
          <w:color w:val="000000"/>
          <w:sz w:val="24"/>
          <w:szCs w:val="24"/>
        </w:rPr>
      </w:pPr>
      <w:r>
        <w:rPr>
          <w:rFonts w:hint="eastAsia" w:ascii="宋体" w:hAnsi="宋体" w:eastAsia="宋体" w:cs="宋体"/>
          <w:bCs/>
          <w:color w:val="000000"/>
          <w:sz w:val="24"/>
          <w:szCs w:val="24"/>
        </w:rPr>
        <w:t>本公司郑重声明，根据《政府采购促进中小企业发展管理办法》（财库﹝2021﹞46 号）的规定，本公司参加</w:t>
      </w:r>
      <w:r>
        <w:rPr>
          <w:rFonts w:hint="eastAsia" w:ascii="宋体" w:hAnsi="宋体" w:eastAsia="宋体" w:cs="宋体"/>
          <w:bCs/>
          <w:color w:val="000000"/>
          <w:sz w:val="24"/>
          <w:szCs w:val="24"/>
          <w:u w:val="single"/>
        </w:rPr>
        <w:t>（单位名称）</w:t>
      </w:r>
      <w:r>
        <w:rPr>
          <w:rFonts w:hint="eastAsia" w:ascii="宋体" w:hAnsi="宋体" w:eastAsia="宋体" w:cs="宋体"/>
          <w:bCs/>
          <w:color w:val="000000"/>
          <w:sz w:val="24"/>
          <w:szCs w:val="24"/>
        </w:rPr>
        <w:t>的</w:t>
      </w:r>
      <w:r>
        <w:rPr>
          <w:rFonts w:hint="eastAsia" w:ascii="宋体" w:hAnsi="宋体" w:eastAsia="宋体" w:cs="宋体"/>
          <w:bCs/>
          <w:color w:val="000000"/>
          <w:sz w:val="24"/>
          <w:szCs w:val="24"/>
          <w:u w:val="single"/>
        </w:rPr>
        <w:t>（项目名称）</w:t>
      </w:r>
      <w:r>
        <w:rPr>
          <w:rFonts w:hint="eastAsia" w:ascii="宋体" w:hAnsi="宋体" w:eastAsia="宋体" w:cs="宋体"/>
          <w:bCs/>
          <w:color w:val="000000"/>
          <w:sz w:val="24"/>
          <w:szCs w:val="24"/>
        </w:rPr>
        <w:t>采购活动，服务全部由符合政策要求的中小企业承接。相关企业的具体情况如下：</w:t>
      </w:r>
    </w:p>
    <w:p w14:paraId="0B53CAD7">
      <w:pPr>
        <w:pStyle w:val="12"/>
        <w:spacing w:line="600" w:lineRule="exact"/>
        <w:ind w:firstLine="560"/>
        <w:rPr>
          <w:rFonts w:hint="eastAsia" w:ascii="宋体" w:hAnsi="宋体" w:eastAsia="宋体" w:cs="宋体"/>
          <w:bCs/>
          <w:color w:val="000000"/>
          <w:sz w:val="24"/>
          <w:szCs w:val="24"/>
        </w:rPr>
      </w:pPr>
      <w:r>
        <w:rPr>
          <w:rFonts w:hint="eastAsia" w:ascii="宋体" w:hAnsi="宋体" w:eastAsia="宋体" w:cs="宋体"/>
          <w:bCs/>
          <w:color w:val="000000"/>
          <w:sz w:val="24"/>
          <w:szCs w:val="24"/>
        </w:rPr>
        <w:t>1.</w:t>
      </w:r>
      <w:r>
        <w:rPr>
          <w:rFonts w:hint="eastAsia" w:ascii="宋体" w:hAnsi="宋体" w:eastAsia="宋体" w:cs="宋体"/>
          <w:bCs/>
          <w:color w:val="000000"/>
          <w:sz w:val="24"/>
          <w:szCs w:val="24"/>
          <w:u w:val="single"/>
        </w:rPr>
        <w:t xml:space="preserve"> （标的名称） </w:t>
      </w:r>
      <w:r>
        <w:rPr>
          <w:rFonts w:hint="eastAsia" w:ascii="宋体" w:hAnsi="宋体" w:eastAsia="宋体" w:cs="宋体"/>
          <w:bCs/>
          <w:color w:val="000000"/>
          <w:sz w:val="24"/>
          <w:szCs w:val="24"/>
        </w:rPr>
        <w:t>，属于（采购文件中明确的所属行业）；承接企业为（企业名称），从业人员</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人，营业收入为</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万元，资产总额为</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万元，属于</w:t>
      </w:r>
      <w:r>
        <w:rPr>
          <w:rFonts w:hint="eastAsia" w:ascii="宋体" w:hAnsi="宋体" w:eastAsia="宋体" w:cs="宋体"/>
          <w:bCs/>
          <w:color w:val="000000"/>
          <w:sz w:val="24"/>
          <w:szCs w:val="24"/>
          <w:u w:val="single"/>
        </w:rPr>
        <w:t>（中型企业、小型企业、微型企业）</w:t>
      </w:r>
      <w:r>
        <w:rPr>
          <w:rFonts w:hint="eastAsia" w:ascii="宋体" w:hAnsi="宋体" w:eastAsia="宋体" w:cs="宋体"/>
          <w:bCs/>
          <w:color w:val="000000"/>
          <w:sz w:val="24"/>
          <w:szCs w:val="24"/>
        </w:rPr>
        <w:t xml:space="preserve">； </w:t>
      </w:r>
    </w:p>
    <w:p w14:paraId="4BE020DD">
      <w:pPr>
        <w:pStyle w:val="12"/>
        <w:spacing w:line="510" w:lineRule="exact"/>
        <w:ind w:firstLine="560"/>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2. </w:t>
      </w:r>
      <w:r>
        <w:rPr>
          <w:rFonts w:hint="eastAsia" w:ascii="宋体" w:hAnsi="宋体" w:eastAsia="宋体" w:cs="宋体"/>
          <w:bCs/>
          <w:color w:val="000000"/>
          <w:sz w:val="24"/>
          <w:szCs w:val="24"/>
          <w:u w:val="single"/>
        </w:rPr>
        <w:t xml:space="preserve">（标的名称） </w:t>
      </w:r>
      <w:r>
        <w:rPr>
          <w:rFonts w:hint="eastAsia" w:ascii="宋体" w:hAnsi="宋体" w:eastAsia="宋体" w:cs="宋体"/>
          <w:bCs/>
          <w:color w:val="000000"/>
          <w:sz w:val="24"/>
          <w:szCs w:val="24"/>
        </w:rPr>
        <w:t>，属于（采购文件中明确的所属行业）；承接企业为（企业名称），从业人员</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人，营业收入为</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万元，资产总额为</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万元，属于</w:t>
      </w:r>
      <w:r>
        <w:rPr>
          <w:rFonts w:hint="eastAsia" w:ascii="宋体" w:hAnsi="宋体" w:eastAsia="宋体" w:cs="宋体"/>
          <w:bCs/>
          <w:color w:val="000000"/>
          <w:sz w:val="24"/>
          <w:szCs w:val="24"/>
          <w:u w:val="single"/>
        </w:rPr>
        <w:t>（中型企业、小型企业、微型企业）</w:t>
      </w:r>
      <w:r>
        <w:rPr>
          <w:rFonts w:hint="eastAsia" w:ascii="宋体" w:hAnsi="宋体" w:eastAsia="宋体" w:cs="宋体"/>
          <w:bCs/>
          <w:color w:val="000000"/>
          <w:sz w:val="24"/>
          <w:szCs w:val="24"/>
        </w:rPr>
        <w:t xml:space="preserve">； </w:t>
      </w:r>
    </w:p>
    <w:p w14:paraId="2B8FAB9C">
      <w:pPr>
        <w:pStyle w:val="12"/>
        <w:spacing w:line="510" w:lineRule="exact"/>
        <w:ind w:firstLine="560"/>
        <w:rPr>
          <w:rFonts w:hint="eastAsia" w:ascii="宋体" w:hAnsi="宋体" w:eastAsia="宋体" w:cs="宋体"/>
          <w:bCs/>
          <w:color w:val="000000"/>
          <w:sz w:val="24"/>
          <w:szCs w:val="24"/>
        </w:rPr>
      </w:pPr>
      <w:r>
        <w:rPr>
          <w:rFonts w:hint="eastAsia" w:ascii="宋体" w:hAnsi="宋体" w:eastAsia="宋体" w:cs="宋体"/>
          <w:bCs/>
          <w:color w:val="000000"/>
          <w:sz w:val="24"/>
          <w:szCs w:val="24"/>
        </w:rPr>
        <w:t>…………</w:t>
      </w:r>
    </w:p>
    <w:p w14:paraId="263B6750">
      <w:pPr>
        <w:pStyle w:val="12"/>
        <w:spacing w:line="510" w:lineRule="exact"/>
        <w:ind w:firstLine="560"/>
        <w:rPr>
          <w:rFonts w:hint="eastAsia" w:ascii="宋体" w:hAnsi="宋体" w:eastAsia="宋体" w:cs="宋体"/>
          <w:bCs/>
          <w:color w:val="000000"/>
          <w:sz w:val="24"/>
          <w:szCs w:val="24"/>
        </w:rPr>
      </w:pPr>
      <w:r>
        <w:rPr>
          <w:rFonts w:hint="eastAsia" w:ascii="宋体" w:hAnsi="宋体" w:eastAsia="宋体" w:cs="宋体"/>
          <w:bCs/>
          <w:color w:val="000000"/>
          <w:sz w:val="24"/>
          <w:szCs w:val="24"/>
        </w:rPr>
        <w:t>以上企业，不属于大企业的分支机构，不存在控股股东为大企业的情形，也不存在与大企业的负责人为同一人的情形。</w:t>
      </w:r>
    </w:p>
    <w:p w14:paraId="4DAD8F47">
      <w:pPr>
        <w:pStyle w:val="12"/>
        <w:spacing w:line="510" w:lineRule="exact"/>
        <w:ind w:firstLine="560"/>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本企业对上述声明内容的真实性负责。如有虚假，将依法承担相应责任。 </w:t>
      </w:r>
    </w:p>
    <w:p w14:paraId="1F08537C">
      <w:pPr>
        <w:spacing w:line="640" w:lineRule="exact"/>
        <w:jc w:val="center"/>
        <w:rPr>
          <w:rFonts w:hint="eastAsia" w:ascii="宋体" w:hAnsi="宋体" w:eastAsia="宋体" w:cs="宋体"/>
          <w:sz w:val="28"/>
          <w:szCs w:val="28"/>
          <w:lang w:val="zh-CN"/>
        </w:rPr>
      </w:pPr>
      <w:r>
        <w:rPr>
          <w:rFonts w:hint="eastAsia" w:ascii="宋体" w:hAnsi="宋体" w:eastAsia="宋体" w:cs="宋体"/>
          <w:sz w:val="28"/>
          <w:szCs w:val="28"/>
          <w:lang w:val="zh-CN"/>
        </w:rPr>
        <w:t xml:space="preserve">                     投标人</w:t>
      </w:r>
      <w:r>
        <w:rPr>
          <w:rFonts w:hint="eastAsia" w:ascii="宋体" w:hAnsi="宋体" w:cs="宋体"/>
          <w:sz w:val="28"/>
          <w:szCs w:val="28"/>
          <w:lang w:val="zh-CN"/>
        </w:rPr>
        <w:t>：</w:t>
      </w:r>
      <w:r>
        <w:rPr>
          <w:rFonts w:hint="eastAsia" w:ascii="宋体" w:hAnsi="宋体" w:eastAsia="宋体" w:cs="宋体"/>
          <w:sz w:val="28"/>
          <w:szCs w:val="28"/>
          <w:u w:val="single"/>
          <w:lang w:val="zh-CN"/>
        </w:rPr>
        <w:t xml:space="preserve">        （电子签章）     </w:t>
      </w:r>
    </w:p>
    <w:p w14:paraId="3A1319EA">
      <w:pPr>
        <w:spacing w:line="640" w:lineRule="exact"/>
        <w:jc w:val="center"/>
        <w:rPr>
          <w:rFonts w:hint="eastAsia" w:ascii="宋体" w:hAnsi="宋体" w:eastAsia="宋体" w:cs="宋体"/>
          <w:sz w:val="28"/>
          <w:szCs w:val="28"/>
          <w:lang w:val="zh-CN"/>
        </w:rPr>
      </w:pPr>
      <w:r>
        <w:rPr>
          <w:rFonts w:hint="eastAsia" w:ascii="宋体" w:hAnsi="宋体" w:eastAsia="宋体" w:cs="宋体"/>
          <w:sz w:val="28"/>
          <w:szCs w:val="28"/>
          <w:lang w:val="zh-CN"/>
        </w:rPr>
        <w:t xml:space="preserve">                          </w:t>
      </w:r>
      <w:r>
        <w:rPr>
          <w:rFonts w:hint="eastAsia" w:ascii="宋体" w:hAnsi="宋体" w:eastAsia="宋体" w:cs="宋体"/>
          <w:sz w:val="28"/>
          <w:szCs w:val="28"/>
        </w:rPr>
        <w:t>法定代表人</w:t>
      </w:r>
      <w:r>
        <w:rPr>
          <w:rFonts w:hint="eastAsia" w:ascii="宋体" w:hAnsi="宋体" w:cs="宋体"/>
          <w:sz w:val="28"/>
          <w:szCs w:val="28"/>
          <w:lang w:eastAsia="zh-CN"/>
        </w:rPr>
        <w:t>：</w:t>
      </w:r>
      <w:r>
        <w:rPr>
          <w:rFonts w:hint="eastAsia" w:ascii="宋体" w:hAnsi="宋体" w:eastAsia="宋体" w:cs="宋体"/>
          <w:sz w:val="28"/>
          <w:u w:val="single"/>
        </w:rPr>
        <w:t>（电子签章或电子签字）</w:t>
      </w:r>
    </w:p>
    <w:p w14:paraId="76C0AF55">
      <w:pPr>
        <w:spacing w:line="640" w:lineRule="exact"/>
        <w:jc w:val="center"/>
        <w:rPr>
          <w:rFonts w:hint="eastAsia" w:ascii="宋体" w:hAnsi="宋体" w:eastAsia="宋体" w:cs="宋体"/>
          <w:sz w:val="28"/>
          <w:szCs w:val="28"/>
          <w:lang w:val="zh-CN"/>
        </w:rPr>
      </w:pPr>
      <w:r>
        <w:rPr>
          <w:rFonts w:hint="eastAsia" w:ascii="宋体" w:hAnsi="宋体" w:eastAsia="宋体" w:cs="宋体"/>
          <w:sz w:val="28"/>
          <w:szCs w:val="28"/>
          <w:lang w:val="zh-CN"/>
        </w:rPr>
        <w:t xml:space="preserve">                        日期：</w:t>
      </w:r>
      <w:r>
        <w:rPr>
          <w:rFonts w:hint="eastAsia" w:ascii="宋体" w:hAnsi="宋体" w:eastAsia="宋体" w:cs="宋体"/>
          <w:sz w:val="28"/>
          <w:szCs w:val="28"/>
        </w:rPr>
        <w:t xml:space="preserve"> </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 xml:space="preserve">年 </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月</w:t>
      </w:r>
      <w:r>
        <w:rPr>
          <w:rFonts w:hint="eastAsia" w:ascii="宋体" w:hAnsi="宋体" w:eastAsia="宋体" w:cs="宋体"/>
          <w:sz w:val="28"/>
          <w:szCs w:val="28"/>
          <w:u w:val="single"/>
          <w:lang w:val="zh-CN"/>
        </w:rPr>
        <w:t xml:space="preserve">      </w:t>
      </w:r>
      <w:r>
        <w:rPr>
          <w:rFonts w:hint="eastAsia" w:ascii="宋体" w:hAnsi="宋体" w:eastAsia="宋体" w:cs="宋体"/>
          <w:sz w:val="28"/>
          <w:szCs w:val="28"/>
          <w:lang w:val="zh-CN"/>
        </w:rPr>
        <w:t>日</w:t>
      </w:r>
    </w:p>
    <w:p w14:paraId="5847EEB8">
      <w:pPr>
        <w:pStyle w:val="12"/>
        <w:spacing w:line="600" w:lineRule="exact"/>
        <w:ind w:firstLine="480"/>
        <w:rPr>
          <w:rFonts w:hint="eastAsia" w:ascii="宋体" w:hAnsi="宋体" w:eastAsia="宋体" w:cs="宋体"/>
          <w:b/>
          <w:bCs w:val="0"/>
          <w:sz w:val="24"/>
          <w:szCs w:val="24"/>
        </w:rPr>
      </w:pPr>
      <w:r>
        <w:rPr>
          <w:rFonts w:hint="eastAsia" w:ascii="宋体" w:hAnsi="宋体" w:eastAsia="宋体" w:cs="宋体"/>
          <w:b/>
          <w:bCs w:val="0"/>
          <w:sz w:val="24"/>
          <w:szCs w:val="24"/>
        </w:rPr>
        <w:t>注：从业人员、营业收入、资产总额填报上一年度数据，无上一年度数据的新成立企业可不填报。</w:t>
      </w:r>
    </w:p>
    <w:p w14:paraId="572CE262">
      <w:pPr>
        <w:rPr>
          <w:rFonts w:hint="eastAsia" w:ascii="宋体" w:hAnsi="宋体" w:eastAsia="宋体" w:cs="宋体"/>
          <w:color w:val="000000"/>
          <w:highlight w:val="none"/>
        </w:rPr>
      </w:pPr>
      <w:r>
        <w:rPr>
          <w:rFonts w:hint="eastAsia" w:ascii="宋体" w:hAnsi="宋体" w:eastAsia="宋体" w:cs="宋体"/>
          <w:color w:val="000000"/>
          <w:highlight w:val="none"/>
        </w:rPr>
        <w:br w:type="page" w:clear="all"/>
      </w:r>
    </w:p>
    <w:p w14:paraId="2656229A">
      <w:pPr>
        <w:pStyle w:val="4"/>
        <w:shd w:val="clear" w:color="auto" w:fill="FFFFFF"/>
        <w:spacing w:line="400" w:lineRule="exact"/>
        <w:ind w:left="0" w:firstLine="0"/>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rPr>
        <w:t>示范格式</w:t>
      </w:r>
      <w:r>
        <w:rPr>
          <w:rFonts w:hint="eastAsia" w:hAnsi="宋体" w:cs="宋体"/>
          <w:sz w:val="30"/>
          <w:szCs w:val="30"/>
          <w:highlight w:val="none"/>
          <w:lang w:val="en-US" w:eastAsia="zh-CN"/>
        </w:rPr>
        <w:t>五</w:t>
      </w:r>
    </w:p>
    <w:p w14:paraId="5F7968E4">
      <w:pPr>
        <w:spacing w:line="400" w:lineRule="exact"/>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残疾人福利性单位声明函</w:t>
      </w:r>
    </w:p>
    <w:p w14:paraId="3A99E289">
      <w:pPr>
        <w:spacing w:line="400" w:lineRule="exact"/>
        <w:ind w:firstLine="504"/>
        <w:rPr>
          <w:rFonts w:hint="eastAsia" w:ascii="宋体" w:hAnsi="宋体" w:eastAsia="宋体" w:cs="宋体"/>
          <w:color w:val="000000"/>
          <w:spacing w:val="6"/>
          <w:sz w:val="24"/>
          <w:highlight w:val="none"/>
        </w:rPr>
      </w:pPr>
    </w:p>
    <w:p w14:paraId="5F929061">
      <w:pPr>
        <w:pStyle w:val="12"/>
        <w:spacing w:line="640" w:lineRule="exact"/>
        <w:ind w:firstLine="560"/>
        <w:rPr>
          <w:rFonts w:hint="eastAsia" w:ascii="宋体" w:hAnsi="宋体" w:eastAsia="宋体" w:cs="宋体"/>
          <w:bCs/>
          <w:sz w:val="24"/>
          <w:szCs w:val="24"/>
        </w:rPr>
      </w:pPr>
      <w:r>
        <w:rPr>
          <w:rFonts w:hint="eastAsia" w:ascii="宋体" w:hAnsi="宋体" w:eastAsia="宋体" w:cs="宋体"/>
          <w:bCs/>
          <w:sz w:val="24"/>
          <w:szCs w:val="24"/>
        </w:rPr>
        <w:t xml:space="preserve">致 </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（采购人）</w:t>
      </w:r>
      <w:r>
        <w:rPr>
          <w:rFonts w:hint="eastAsia" w:ascii="宋体" w:hAnsi="宋体" w:eastAsia="宋体" w:cs="宋体"/>
          <w:bCs/>
          <w:sz w:val="24"/>
          <w:szCs w:val="24"/>
          <w:lang w:eastAsia="zh-CN"/>
        </w:rPr>
        <w:t>：</w:t>
      </w:r>
    </w:p>
    <w:p w14:paraId="558A63AC">
      <w:pPr>
        <w:pStyle w:val="12"/>
        <w:spacing w:line="640" w:lineRule="exact"/>
        <w:ind w:firstLine="560"/>
        <w:rPr>
          <w:rFonts w:hint="eastAsia" w:ascii="宋体" w:hAnsi="宋体" w:eastAsia="宋体" w:cs="宋体"/>
          <w:bCs/>
          <w:sz w:val="24"/>
          <w:szCs w:val="24"/>
        </w:rPr>
      </w:pPr>
      <w:r>
        <w:rPr>
          <w:rFonts w:hint="eastAsia" w:ascii="宋体" w:hAnsi="宋体" w:eastAsia="宋体" w:cs="宋体"/>
          <w:bCs/>
          <w:sz w:val="24"/>
          <w:szCs w:val="24"/>
        </w:rPr>
        <w:t>本单位郑重声明，根据《财政部 民政部 中国残疾人联合会关于促进残疾人就业政府采购政策的通知》（财库〔2017〕141 号）的规定，本单位为符合条件的残疾人福利性单位。即，本单位同时满足以下条件</w:t>
      </w:r>
      <w:r>
        <w:rPr>
          <w:rFonts w:hint="eastAsia" w:ascii="宋体" w:hAnsi="宋体" w:eastAsia="宋体" w:cs="宋体"/>
          <w:bCs/>
          <w:sz w:val="24"/>
          <w:szCs w:val="24"/>
          <w:lang w:eastAsia="zh-CN"/>
        </w:rPr>
        <w:t>：</w:t>
      </w:r>
    </w:p>
    <w:p w14:paraId="4FDA5278">
      <w:pPr>
        <w:pStyle w:val="12"/>
        <w:spacing w:line="640" w:lineRule="exact"/>
        <w:ind w:firstLine="560"/>
        <w:rPr>
          <w:rFonts w:hint="eastAsia" w:ascii="宋体" w:hAnsi="宋体" w:eastAsia="宋体" w:cs="宋体"/>
          <w:bCs/>
          <w:sz w:val="24"/>
          <w:szCs w:val="24"/>
        </w:rPr>
      </w:pPr>
      <w:r>
        <w:rPr>
          <w:rFonts w:hint="eastAsia" w:ascii="宋体" w:hAnsi="宋体" w:eastAsia="宋体" w:cs="宋体"/>
          <w:bCs/>
          <w:sz w:val="24"/>
          <w:szCs w:val="24"/>
        </w:rPr>
        <w:t>1、根据《财政部 民政部 中国残疾人联合会关于促进残疾人就业政府采购政策的通知》（财库〔2017〕141 号）规定的划分标准，本公司为残疾人福利性企业。</w:t>
      </w:r>
    </w:p>
    <w:p w14:paraId="1ED4AEB8">
      <w:pPr>
        <w:pStyle w:val="12"/>
        <w:spacing w:line="640" w:lineRule="exact"/>
        <w:ind w:firstLine="560"/>
        <w:rPr>
          <w:rFonts w:hint="eastAsia" w:ascii="宋体" w:hAnsi="宋体" w:eastAsia="宋体" w:cs="宋体"/>
          <w:bCs/>
          <w:sz w:val="24"/>
          <w:szCs w:val="24"/>
        </w:rPr>
      </w:pPr>
      <w:r>
        <w:rPr>
          <w:rFonts w:hint="eastAsia" w:ascii="宋体" w:hAnsi="宋体" w:eastAsia="宋体" w:cs="宋体"/>
          <w:bCs/>
          <w:sz w:val="24"/>
          <w:szCs w:val="24"/>
        </w:rPr>
        <w:t>2、本单位参加</w:t>
      </w:r>
      <w:r>
        <w:rPr>
          <w:rFonts w:hint="eastAsia" w:ascii="宋体" w:hAnsi="宋体" w:cs="宋体"/>
          <w:bCs/>
          <w:sz w:val="24"/>
          <w:szCs w:val="24"/>
          <w:lang w:val="en-US" w:eastAsia="zh-CN"/>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rPr>
        <w:t>（采购单位名称）的</w:t>
      </w:r>
      <w:r>
        <w:rPr>
          <w:rFonts w:hint="eastAsia" w:ascii="宋体" w:hAnsi="宋体" w:cs="宋体"/>
          <w:bCs/>
          <w:sz w:val="24"/>
          <w:szCs w:val="24"/>
          <w:lang w:val="en-US" w:eastAsia="zh-CN"/>
        </w:rPr>
        <w:t xml:space="preserve"> </w:t>
      </w:r>
      <w:r>
        <w:rPr>
          <w:rFonts w:hint="eastAsia" w:ascii="宋体" w:hAnsi="宋体" w:cs="宋体"/>
          <w:bCs/>
          <w:sz w:val="24"/>
          <w:szCs w:val="24"/>
          <w:u w:val="single"/>
          <w:lang w:val="en-US" w:eastAsia="zh-CN"/>
        </w:rPr>
        <w:t xml:space="preserve">      </w:t>
      </w:r>
      <w:r>
        <w:rPr>
          <w:rFonts w:hint="eastAsia" w:ascii="宋体" w:hAnsi="宋体" w:eastAsia="宋体" w:cs="宋体"/>
          <w:bCs/>
          <w:sz w:val="24"/>
          <w:szCs w:val="24"/>
          <w:u w:val="none"/>
        </w:rPr>
        <w:t>（</w:t>
      </w:r>
      <w:r>
        <w:rPr>
          <w:rFonts w:hint="eastAsia" w:ascii="宋体" w:hAnsi="宋体" w:eastAsia="宋体" w:cs="宋体"/>
          <w:bCs/>
          <w:sz w:val="24"/>
          <w:szCs w:val="24"/>
        </w:rPr>
        <w:t>采购项目名称）采购活动提供本企业制造的货物，由本企业承担工程、提供服务，或者提供其他残疾人福利性单位制造的货物不包括使用非残疾人福利性单位注册商标的货物。</w:t>
      </w:r>
    </w:p>
    <w:p w14:paraId="641BF654">
      <w:pPr>
        <w:pStyle w:val="12"/>
        <w:spacing w:line="640" w:lineRule="exact"/>
        <w:ind w:firstLine="560"/>
        <w:rPr>
          <w:rFonts w:hint="eastAsia" w:ascii="宋体" w:hAnsi="宋体" w:eastAsia="宋体" w:cs="宋体"/>
          <w:bCs/>
          <w:sz w:val="24"/>
          <w:szCs w:val="24"/>
        </w:rPr>
      </w:pPr>
      <w:r>
        <w:rPr>
          <w:rFonts w:hint="eastAsia" w:ascii="宋体" w:hAnsi="宋体" w:eastAsia="宋体" w:cs="宋体"/>
          <w:sz w:val="24"/>
          <w:szCs w:val="24"/>
        </w:rPr>
        <w:t>注</w:t>
      </w:r>
      <w:r>
        <w:rPr>
          <w:rFonts w:hint="eastAsia" w:ascii="宋体" w:hAnsi="宋体" w:cs="宋体"/>
          <w:sz w:val="24"/>
          <w:szCs w:val="24"/>
          <w:lang w:eastAsia="zh-CN"/>
        </w:rPr>
        <w:t>：</w:t>
      </w:r>
      <w:r>
        <w:rPr>
          <w:rFonts w:hint="eastAsia" w:ascii="宋体" w:hAnsi="宋体" w:eastAsia="宋体" w:cs="宋体"/>
          <w:bCs/>
          <w:sz w:val="24"/>
          <w:szCs w:val="24"/>
        </w:rPr>
        <w:t>本公司对上述声明的真实性负责。如有虚假，将依法承担相应责任。</w:t>
      </w:r>
    </w:p>
    <w:p w14:paraId="2465BC88">
      <w:pPr>
        <w:pStyle w:val="12"/>
        <w:spacing w:line="640" w:lineRule="exact"/>
        <w:ind w:firstLine="560"/>
        <w:rPr>
          <w:rFonts w:hint="eastAsia" w:ascii="宋体" w:hAnsi="宋体" w:eastAsia="宋体" w:cs="宋体"/>
          <w:sz w:val="24"/>
          <w:szCs w:val="24"/>
        </w:rPr>
      </w:pPr>
    </w:p>
    <w:p w14:paraId="1C74A391">
      <w:pPr>
        <w:spacing w:line="6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 xml:space="preserve">                    投标人</w:t>
      </w:r>
      <w:r>
        <w:rPr>
          <w:rFonts w:hint="eastAsia" w:ascii="宋体" w:hAnsi="宋体" w:cs="宋体"/>
          <w:sz w:val="24"/>
          <w:szCs w:val="24"/>
          <w:lang w:val="zh-CN"/>
        </w:rPr>
        <w:t>：</w:t>
      </w:r>
      <w:r>
        <w:rPr>
          <w:rFonts w:hint="eastAsia" w:ascii="宋体" w:hAnsi="宋体" w:eastAsia="宋体" w:cs="宋体"/>
          <w:sz w:val="24"/>
          <w:szCs w:val="24"/>
          <w:u w:val="single"/>
          <w:lang w:val="zh-CN"/>
        </w:rPr>
        <w:t xml:space="preserve">        （电子签章）     </w:t>
      </w:r>
    </w:p>
    <w:p w14:paraId="5010FF6B">
      <w:pPr>
        <w:spacing w:line="6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 xml:space="preserve">                          </w:t>
      </w:r>
      <w:r>
        <w:rPr>
          <w:rFonts w:hint="eastAsia" w:ascii="宋体" w:hAnsi="宋体" w:eastAsia="宋体" w:cs="宋体"/>
          <w:sz w:val="24"/>
          <w:szCs w:val="24"/>
        </w:rPr>
        <w:t>法定代表人</w:t>
      </w:r>
      <w:r>
        <w:rPr>
          <w:rFonts w:hint="eastAsia" w:ascii="宋体" w:hAnsi="宋体" w:cs="宋体"/>
          <w:sz w:val="24"/>
          <w:szCs w:val="24"/>
          <w:lang w:eastAsia="zh-CN"/>
        </w:rPr>
        <w:t>：</w:t>
      </w:r>
      <w:r>
        <w:rPr>
          <w:rFonts w:hint="eastAsia" w:ascii="宋体" w:hAnsi="宋体" w:eastAsia="宋体" w:cs="宋体"/>
          <w:sz w:val="24"/>
          <w:szCs w:val="22"/>
          <w:u w:val="single"/>
        </w:rPr>
        <w:t>（电子签章或电子签字）</w:t>
      </w:r>
    </w:p>
    <w:p w14:paraId="5A08A706">
      <w:pPr>
        <w:spacing w:line="6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 xml:space="preserve">                        日期</w:t>
      </w:r>
      <w:r>
        <w:rPr>
          <w:rFonts w:hint="eastAsia" w:ascii="宋体" w:hAnsi="宋体" w:cs="宋体"/>
          <w:sz w:val="24"/>
          <w:szCs w:val="24"/>
          <w:lang w:val="zh-CN"/>
        </w:rPr>
        <w:t>：</w:t>
      </w:r>
      <w:r>
        <w:rPr>
          <w:rFonts w:hint="eastAsia" w:ascii="宋体" w:hAnsi="宋体" w:eastAsia="宋体" w:cs="宋体"/>
          <w:sz w:val="24"/>
          <w:szCs w:val="24"/>
        </w:rPr>
        <w:t xml:space="preserve"> </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 xml:space="preserve">年 </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日</w:t>
      </w:r>
    </w:p>
    <w:p w14:paraId="43109D1C">
      <w:pPr>
        <w:spacing w:line="640" w:lineRule="exact"/>
        <w:ind w:firstLine="566"/>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cs="宋体"/>
          <w:sz w:val="24"/>
          <w:szCs w:val="24"/>
          <w:lang w:eastAsia="zh-CN"/>
        </w:rPr>
        <w:t>：</w:t>
      </w:r>
      <w:r>
        <w:rPr>
          <w:rFonts w:hint="eastAsia" w:ascii="宋体" w:hAnsi="宋体" w:eastAsia="宋体" w:cs="宋体"/>
          <w:sz w:val="24"/>
          <w:szCs w:val="24"/>
        </w:rPr>
        <w:t>非</w:t>
      </w:r>
      <w:r>
        <w:rPr>
          <w:rFonts w:hint="eastAsia" w:ascii="宋体" w:hAnsi="宋体" w:eastAsia="宋体" w:cs="宋体"/>
          <w:sz w:val="24"/>
          <w:szCs w:val="22"/>
        </w:rPr>
        <w:t>残疾人福利性单位不</w:t>
      </w:r>
      <w:r>
        <w:rPr>
          <w:rFonts w:hint="eastAsia" w:ascii="宋体" w:hAnsi="宋体" w:eastAsia="宋体" w:cs="宋体"/>
          <w:sz w:val="24"/>
          <w:szCs w:val="24"/>
        </w:rPr>
        <w:t>需提供此函。</w:t>
      </w:r>
    </w:p>
    <w:p w14:paraId="7046E7A1">
      <w:pPr>
        <w:pStyle w:val="190"/>
        <w:ind w:left="0" w:firstLine="0"/>
        <w:rPr>
          <w:rFonts w:hint="eastAsia" w:ascii="宋体" w:hAnsi="宋体" w:eastAsia="宋体" w:cs="宋体"/>
          <w:color w:val="000000"/>
          <w:sz w:val="24"/>
          <w:highlight w:val="none"/>
        </w:rPr>
      </w:pPr>
    </w:p>
    <w:p w14:paraId="62A37942">
      <w:pPr>
        <w:rPr>
          <w:rFonts w:hint="eastAsia" w:ascii="宋体" w:hAnsi="宋体" w:eastAsia="宋体" w:cs="宋体"/>
          <w:color w:val="000000"/>
          <w:sz w:val="24"/>
          <w:highlight w:val="none"/>
        </w:rPr>
      </w:pPr>
    </w:p>
    <w:p w14:paraId="6413206A">
      <w:pPr>
        <w:pStyle w:val="190"/>
        <w:rPr>
          <w:rFonts w:hint="eastAsia" w:ascii="宋体" w:hAnsi="宋体" w:eastAsia="宋体" w:cs="宋体"/>
          <w:color w:val="000000"/>
          <w:sz w:val="24"/>
          <w:highlight w:val="none"/>
        </w:rPr>
      </w:pPr>
    </w:p>
    <w:p w14:paraId="513F6C5F">
      <w:pPr>
        <w:rPr>
          <w:rFonts w:hint="eastAsia" w:ascii="宋体" w:hAnsi="宋体" w:eastAsia="宋体" w:cs="宋体"/>
          <w:color w:val="000000"/>
          <w:sz w:val="24"/>
          <w:highlight w:val="none"/>
        </w:rPr>
      </w:pPr>
    </w:p>
    <w:p w14:paraId="65FDFF83">
      <w:pPr>
        <w:pStyle w:val="190"/>
        <w:rPr>
          <w:rFonts w:hint="eastAsia" w:ascii="宋体" w:hAnsi="宋体" w:eastAsia="宋体" w:cs="宋体"/>
          <w:color w:val="000000"/>
          <w:sz w:val="24"/>
          <w:highlight w:val="none"/>
        </w:rPr>
      </w:pPr>
    </w:p>
    <w:p w14:paraId="7BF75F27">
      <w:pPr>
        <w:rPr>
          <w:rFonts w:hint="eastAsia" w:ascii="宋体" w:hAnsi="宋体" w:eastAsia="宋体" w:cs="宋体"/>
        </w:rPr>
      </w:pPr>
    </w:p>
    <w:p w14:paraId="3116D565"/>
    <w:sectPr>
      <w:pgSz w:w="11906" w:h="16838" w:orient="landscape"/>
      <w:pgMar w:top="1440" w:right="1474" w:bottom="1440" w:left="1474"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 w:name="Adobe 仿宋 Std R">
    <w:altName w:val="仿宋"/>
    <w:panose1 w:val="020B0604020202020204"/>
    <w:charset w:val="00"/>
    <w:family w:val="auto"/>
    <w:pitch w:val="default"/>
    <w:sig w:usb0="00000000" w:usb1="00000000" w:usb2="00000000" w:usb3="00000000" w:csb0="00000000" w:csb1="00000000"/>
  </w:font>
  <w:font w:name="方正仿宋简体">
    <w:altName w:val="微软雅黑"/>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4C3F3">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230C5">
    <w:pPr>
      <w:pStyle w:val="2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45415" cy="139065"/>
              <wp:effectExtent l="0" t="0" r="0" b="0"/>
              <wp:wrapNone/>
              <wp:docPr id="1" name="文本框 1025 3"/>
              <wp:cNvGraphicFramePr/>
              <a:graphic xmlns:a="http://schemas.openxmlformats.org/drawingml/2006/main">
                <a:graphicData uri="http://schemas.microsoft.com/office/word/2010/wordprocessingShape">
                  <wps:wsp>
                    <wps:cNvSpPr txBox="1"/>
                    <wps:spPr bwMode="auto">
                      <a:xfrm>
                        <a:off x="0" y="0"/>
                        <a:ext cx="145415" cy="139065"/>
                      </a:xfrm>
                      <a:prstGeom prst="rect">
                        <a:avLst/>
                      </a:prstGeom>
                      <a:noFill/>
                      <a:ln>
                        <a:noFill/>
                      </a:ln>
                    </wps:spPr>
                    <wps:txbx>
                      <w:txbxContent>
                        <w:p w14:paraId="76717E3F">
                          <w:pPr>
                            <w:pStyle w:val="24"/>
                          </w:pPr>
                          <w:r>
                            <w:fldChar w:fldCharType="begin"/>
                          </w:r>
                          <w:r>
                            <w:instrText xml:space="preserve"> PAGE  \* MERGEFORMAT </w:instrText>
                          </w:r>
                          <w:r>
                            <w:fldChar w:fldCharType="separate"/>
                          </w:r>
                          <w:r>
                            <w:t>39</w:t>
                          </w:r>
                          <w:r>
                            <w:fldChar w:fldCharType="end"/>
                          </w:r>
                        </w:p>
                      </w:txbxContent>
                    </wps:txbx>
                    <wps:bodyPr wrap="none" lIns="0" tIns="0" rIns="0" bIns="0" upright="1">
                      <a:spAutoFit/>
                    </wps:bodyPr>
                  </wps:wsp>
                </a:graphicData>
              </a:graphic>
            </wp:anchor>
          </w:drawing>
        </mc:Choice>
        <mc:Fallback>
          <w:pict>
            <v:shape id="文本框 1025 3" o:spid="_x0000_s1026" o:spt="202" type="#_x0000_t202" style="position:absolute;left:0pt;margin-top:0pt;height:10.95pt;width:11.45pt;mso-position-horizontal:center;mso-position-horizontal-relative:margin;mso-wrap-style:none;z-index:251660288;mso-width-relative:page;mso-height-relative:page;" filled="f" stroked="f" coordsize="21600,21600" o:gfxdata="UEsDBAoAAAAAAIdO4kAAAAAAAAAAAAAAAAAEAAAAZHJzL1BLAwQUAAAACACHTuJAp2cq0dAAAAAD&#10;AQAADwAAAGRycy9kb3ducmV2LnhtbE2PMU/DMBCFd6T+B+uQ2KiTDNCmcTpU6sJGQUhsbnyNI+xz&#10;ZLtp8u85WGC5p9M7vfdds5+9ExPGNARSUK4LEEhdMAP1Ct7fjo8bEClrMtoFQgULJti3q7tG1ybc&#10;6BWnU+4Fh1CqtQKb81hLmTqLXqd1GJHYu4TodeY19tJEfeNw72RVFE/S64G4weoRDxa7r9PVK3ie&#10;PwKOCQ/4eZm6aIdl414WpR7uy2IHIuOc/47hB5/RoWWmc7iSScIp4Efy72SvqrYgzqzlFmTbyP/s&#10;7TdQSwMEFAAAAAgAh07iQDWRi+XcAQAAqgMAAA4AAABkcnMvZTJvRG9jLnhtbK1TzY7TMBC+I/EO&#10;lu80SXe7gqjpClQVIfEnLTyA4ziNJdtj2W6TvgC8AScu3HmuPgdjJym7y2UPXKzx+PM3830er28H&#10;rchROC/BVLRY5JQIw6GRZl/Rr192L15S4gMzDVNgREVPwtPbzfNn696WYgkdqEY4giTGl72taBeC&#10;LbPM805o5hdghcHDFpxmAbdunzWO9ciuVbbM85usB9dYB1x4j9nteEgnRvcUQmhbycUW+EELE0ZW&#10;JxQLKMl30nq6Sd22reDhU9t6EYiqKCoNacUiGNdxzTZrVu4ds53kUwvsKS080qSZNFj0QrVlgZGD&#10;k/9QackdeGjDgoPORiHJEVRR5I+8ueuYFUkLWu3txXT//2j5x+NnR2SDk0CJYRof/Pzj+/nn7/Ov&#10;b6TIlytyFT3qrS8RemcRHIY3MET8lPcxWfcfoMHL7BAgGTG0TkdDUCJBNPp9uvgthkB4pLheXRcr&#10;SjgeFVev8ptV5MxYOV+2zoe3AjSJQUUdPmciZ8f3PozQGRJrGdhJpTDPSmUeJJAzZrKoI/Y7KgpD&#10;PUwiamhOKKPHSaiowcGnRL0zaHQcmjlwc1DPwcE6ue+wtSL15e1r1L+TqbdYa6SdCuMTJnXTuMUZ&#10;ub9PqL9fbPM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2cq0dAAAAADAQAADwAAAAAAAAABACAA&#10;AAAiAAAAZHJzL2Rvd25yZXYueG1sUEsBAhQAFAAAAAgAh07iQDWRi+XcAQAAqgMAAA4AAAAAAAAA&#10;AQAgAAAAHwEAAGRycy9lMm9Eb2MueG1sUEsFBgAAAAAGAAYAWQEAAG0FAAAAAA==&#10;">
              <v:fill on="f" focussize="0,0"/>
              <v:stroke on="f"/>
              <v:imagedata o:title=""/>
              <o:lock v:ext="edit" aspectratio="f"/>
              <v:textbox inset="0mm,0mm,0mm,0mm" style="mso-fit-shape-to-text:t;">
                <w:txbxContent>
                  <w:p w14:paraId="76717E3F">
                    <w:pPr>
                      <w:pStyle w:val="2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12E26">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553C0274">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XgwZNIBAACnAwAADgAAAGRycy9lMm9Eb2MueG1srVNLjtswDN0X6B0E&#10;7Rt5vCgCI85gBkGKAv0B0x5AluVYgCQKkhI7F2hv0FU33fdcOUcp2c60080suhEoknrke6Q2t6PR&#10;5CR9UGBrerMqKJFWQKvsoaZfPu9frSkJkduWa7CypmcZ6O325YvN4CpZQg+6lZ4giA3V4Grax+gq&#10;xoLopeFhBU5aDHbgDY949QfWej4gutGsLIrXbADfOg9ChoDe3RSkM6J/DiB0nRJyB+JopI0Tqpea&#10;R6QUeuUC3eZuu06K+LHrgoxE1xSZxnxiEbSbdLLthlcHz12vxNwCf04LTzgZriwWvULteOTk6NU/&#10;UEYJDwG6uBJg2EQkK4Isboon2jz03MnMBaUO7ip6+H+w4sPpkyeqrWlJieUGB375/u3y49fl51dS&#10;JnkGFyrMenCYF8d7GHFpFn9IzmZ4Dy2+48cIWYOx8yZpgewIZqPU56vUcoxEJIh1uV4XGBIYWy5Y&#10;jfFqee58iG8kGJKMmnqcZYbnp3chTqlLSqpmYa+0zvPU9i8HYiYPS0xSxxOnODbjTK+B9oxEBlyD&#10;mlrcekr0W4sqp41ZDL8YzWIcnVeHPq9UqhfcHSqwV7m3VGuCnQvj/DK7edfSgvx5z1mP/2v7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DZeDBk0gEAAKcDAAAOAAAAAAAAAAEAIAAAAB4BAABk&#10;cnMvZTJvRG9jLnhtbFBLBQYAAAAABgAGAFkBAABiBQAAAAA=&#10;">
              <v:fill on="f" focussize="0,0"/>
              <v:stroke on="f"/>
              <v:imagedata o:title=""/>
              <o:lock v:ext="edit" aspectratio="f"/>
              <v:textbox inset="0mm,0mm,0mm,0mm" style="mso-fit-shape-to-text:t;">
                <w:txbxContent>
                  <w:p w14:paraId="553C0274">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3"/>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0053208E"/>
    <w:multiLevelType w:val="multilevel"/>
    <w:tmpl w:val="0053208E"/>
    <w:lvl w:ilvl="0" w:tentative="0">
      <w:start w:val="1"/>
      <w:numFmt w:val="decimal"/>
      <w:pStyle w:val="210"/>
      <w:suff w:val="space"/>
      <w:lvlText w:val="%1"/>
      <w:lvlJc w:val="left"/>
      <w:pPr>
        <w:tabs>
          <w:tab w:val="left" w:pos="432"/>
        </w:tabs>
        <w:ind w:left="432" w:hanging="432"/>
      </w:pPr>
    </w:lvl>
    <w:lvl w:ilvl="1" w:tentative="0">
      <w:start w:val="1"/>
      <w:numFmt w:val="decimal"/>
      <w:suff w:val="space"/>
      <w:lvlText w:val="%1.%2"/>
      <w:lvlJc w:val="left"/>
      <w:pPr>
        <w:tabs>
          <w:tab w:val="left" w:pos="576"/>
        </w:tabs>
        <w:ind w:left="576" w:hanging="576"/>
      </w:pPr>
    </w:lvl>
    <w:lvl w:ilvl="2" w:tentative="0">
      <w:start w:val="1"/>
      <w:numFmt w:val="decimal"/>
      <w:suff w:val="space"/>
      <w:lvlText w:val="%1.%2.%3"/>
      <w:lvlJc w:val="left"/>
      <w:pPr>
        <w:tabs>
          <w:tab w:val="left" w:pos="720"/>
        </w:tabs>
        <w:ind w:left="720" w:hanging="720"/>
      </w:pPr>
    </w:lvl>
    <w:lvl w:ilvl="3" w:tentative="0">
      <w:start w:val="1"/>
      <w:numFmt w:val="decimal"/>
      <w:suff w:val="space"/>
      <w:lvlText w:val="%1.%2.%3.%4"/>
      <w:lvlJc w:val="left"/>
      <w:pPr>
        <w:tabs>
          <w:tab w:val="left" w:pos="864"/>
        </w:tabs>
        <w:ind w:left="864" w:hanging="864"/>
      </w:pPr>
    </w:lvl>
    <w:lvl w:ilvl="4" w:tentative="0">
      <w:start w:val="1"/>
      <w:numFmt w:val="decimal"/>
      <w:suff w:val="space"/>
      <w:lvlText w:val="%1.%2.%3.%4.%5"/>
      <w:lvlJc w:val="left"/>
      <w:pPr>
        <w:tabs>
          <w:tab w:val="left" w:pos="1008"/>
        </w:tabs>
        <w:ind w:left="1008" w:hanging="1008"/>
      </w:pPr>
    </w:lvl>
    <w:lvl w:ilvl="5" w:tentative="0">
      <w:start w:val="1"/>
      <w:numFmt w:val="decimal"/>
      <w:suff w:val="space"/>
      <w:lvlText w:val="%1.%2.%3.%4.%5.%6"/>
      <w:lvlJc w:val="left"/>
      <w:pPr>
        <w:tabs>
          <w:tab w:val="left" w:pos="1152"/>
        </w:tabs>
        <w:ind w:left="1152" w:hanging="1152"/>
      </w:pPr>
    </w:lvl>
    <w:lvl w:ilvl="6" w:tentative="0">
      <w:start w:val="1"/>
      <w:numFmt w:val="decimal"/>
      <w:suff w:val="space"/>
      <w:lvlText w:val="%1.%2.%3.%4.%5.%6.%7"/>
      <w:lvlJc w:val="left"/>
      <w:pPr>
        <w:tabs>
          <w:tab w:val="left" w:pos="1296"/>
        </w:tabs>
        <w:ind w:left="1296" w:hanging="1296"/>
      </w:pPr>
    </w:lvl>
    <w:lvl w:ilvl="7" w:tentative="0">
      <w:start w:val="1"/>
      <w:numFmt w:val="decimal"/>
      <w:suff w:val="space"/>
      <w:lvlText w:val="%1.%2.%3.%4.%5.%6.%7.%8"/>
      <w:lvlJc w:val="left"/>
      <w:pPr>
        <w:tabs>
          <w:tab w:val="left" w:pos="1440"/>
        </w:tabs>
        <w:ind w:left="1440" w:hanging="1440"/>
      </w:pPr>
    </w:lvl>
    <w:lvl w:ilvl="8" w:tentative="0">
      <w:start w:val="1"/>
      <w:numFmt w:val="decimal"/>
      <w:suff w:val="space"/>
      <w:lvlText w:val="%1.%2.%3.%4.%5.%6.%7.%8.%9"/>
      <w:lvlJc w:val="left"/>
      <w:pPr>
        <w:tabs>
          <w:tab w:val="left" w:pos="1584"/>
        </w:tabs>
        <w:ind w:left="1584" w:hanging="1584"/>
      </w:pPr>
    </w:lvl>
  </w:abstractNum>
  <w:abstractNum w:abstractNumId="2">
    <w:nsid w:val="59ADCABA"/>
    <w:multiLevelType w:val="multilevel"/>
    <w:tmpl w:val="59ADCABA"/>
    <w:lvl w:ilvl="0" w:tentative="0">
      <w:start w:val="4"/>
      <w:numFmt w:val="chineseCounting"/>
      <w:lvlText w:val="第%1章"/>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1MDU5NGU1Nzc4MWUxODY2OTQzMTk3ODlmNDIwMzIifQ=="/>
  </w:docVars>
  <w:rsids>
    <w:rsidRoot w:val="00000000"/>
    <w:rsid w:val="004E2611"/>
    <w:rsid w:val="009A5857"/>
    <w:rsid w:val="00D03026"/>
    <w:rsid w:val="01830099"/>
    <w:rsid w:val="01B42948"/>
    <w:rsid w:val="03B7227C"/>
    <w:rsid w:val="04365896"/>
    <w:rsid w:val="04842AA6"/>
    <w:rsid w:val="04D56E5D"/>
    <w:rsid w:val="05AC4062"/>
    <w:rsid w:val="063B3638"/>
    <w:rsid w:val="06691F53"/>
    <w:rsid w:val="075F6EB2"/>
    <w:rsid w:val="076B5857"/>
    <w:rsid w:val="07CF228A"/>
    <w:rsid w:val="08337AFF"/>
    <w:rsid w:val="08E6788B"/>
    <w:rsid w:val="094445B2"/>
    <w:rsid w:val="095234C9"/>
    <w:rsid w:val="098D41AA"/>
    <w:rsid w:val="099F7A3A"/>
    <w:rsid w:val="0A110938"/>
    <w:rsid w:val="0B2A3B4A"/>
    <w:rsid w:val="0B2E4F5D"/>
    <w:rsid w:val="0BE700D1"/>
    <w:rsid w:val="0CAA6E21"/>
    <w:rsid w:val="0E174AAD"/>
    <w:rsid w:val="0E5E6115"/>
    <w:rsid w:val="0F784FB5"/>
    <w:rsid w:val="101051ED"/>
    <w:rsid w:val="1045133B"/>
    <w:rsid w:val="109C2F25"/>
    <w:rsid w:val="10F66AD9"/>
    <w:rsid w:val="11290C5D"/>
    <w:rsid w:val="11513D10"/>
    <w:rsid w:val="11CE0501"/>
    <w:rsid w:val="123478B9"/>
    <w:rsid w:val="129A3494"/>
    <w:rsid w:val="12F708E7"/>
    <w:rsid w:val="13390EFF"/>
    <w:rsid w:val="13854144"/>
    <w:rsid w:val="13A46379"/>
    <w:rsid w:val="13CB5FFB"/>
    <w:rsid w:val="13DA7FEC"/>
    <w:rsid w:val="13E61511"/>
    <w:rsid w:val="14D709D0"/>
    <w:rsid w:val="158E72E0"/>
    <w:rsid w:val="15FA69A9"/>
    <w:rsid w:val="16781061"/>
    <w:rsid w:val="182C4B8E"/>
    <w:rsid w:val="1840688C"/>
    <w:rsid w:val="18954E2A"/>
    <w:rsid w:val="19632832"/>
    <w:rsid w:val="196D36B1"/>
    <w:rsid w:val="19801636"/>
    <w:rsid w:val="19D83220"/>
    <w:rsid w:val="19EA2F53"/>
    <w:rsid w:val="19EC6CCB"/>
    <w:rsid w:val="1A444411"/>
    <w:rsid w:val="1AAD645B"/>
    <w:rsid w:val="1ABA0B77"/>
    <w:rsid w:val="1AD82DAC"/>
    <w:rsid w:val="1B395F40"/>
    <w:rsid w:val="1BC872C4"/>
    <w:rsid w:val="1CDD28FB"/>
    <w:rsid w:val="1D3F35B6"/>
    <w:rsid w:val="1DAB47A7"/>
    <w:rsid w:val="1DCB6BF8"/>
    <w:rsid w:val="1DD71A40"/>
    <w:rsid w:val="1EB8600C"/>
    <w:rsid w:val="1EDD3086"/>
    <w:rsid w:val="1F503858"/>
    <w:rsid w:val="1F9951FF"/>
    <w:rsid w:val="1FB2006F"/>
    <w:rsid w:val="20D364EF"/>
    <w:rsid w:val="21951666"/>
    <w:rsid w:val="21C61BB0"/>
    <w:rsid w:val="23CE7442"/>
    <w:rsid w:val="2423153B"/>
    <w:rsid w:val="2426102C"/>
    <w:rsid w:val="24305A06"/>
    <w:rsid w:val="24C26FA6"/>
    <w:rsid w:val="25BA7C7E"/>
    <w:rsid w:val="276500BD"/>
    <w:rsid w:val="2943003F"/>
    <w:rsid w:val="2A0239A1"/>
    <w:rsid w:val="2B2A31B0"/>
    <w:rsid w:val="2B913769"/>
    <w:rsid w:val="2CA174A1"/>
    <w:rsid w:val="2CCB09C2"/>
    <w:rsid w:val="2CF717B7"/>
    <w:rsid w:val="2D6F57F1"/>
    <w:rsid w:val="2EE92CF0"/>
    <w:rsid w:val="2FC736C3"/>
    <w:rsid w:val="2FD8767E"/>
    <w:rsid w:val="2FE34275"/>
    <w:rsid w:val="303D3876"/>
    <w:rsid w:val="30590093"/>
    <w:rsid w:val="305D7B83"/>
    <w:rsid w:val="309A2B85"/>
    <w:rsid w:val="30A6152A"/>
    <w:rsid w:val="30C96FC7"/>
    <w:rsid w:val="31104BF6"/>
    <w:rsid w:val="31216E03"/>
    <w:rsid w:val="3135465C"/>
    <w:rsid w:val="313F1E9E"/>
    <w:rsid w:val="316D2048"/>
    <w:rsid w:val="31FD161E"/>
    <w:rsid w:val="33945FB2"/>
    <w:rsid w:val="34100830"/>
    <w:rsid w:val="348025C6"/>
    <w:rsid w:val="349F69BC"/>
    <w:rsid w:val="34DD5737"/>
    <w:rsid w:val="361C403D"/>
    <w:rsid w:val="36A75FFC"/>
    <w:rsid w:val="370C2303"/>
    <w:rsid w:val="389E6F8B"/>
    <w:rsid w:val="39AC56D7"/>
    <w:rsid w:val="39BA7DF4"/>
    <w:rsid w:val="39E62997"/>
    <w:rsid w:val="3A791A5E"/>
    <w:rsid w:val="3AD44EE6"/>
    <w:rsid w:val="3B89059D"/>
    <w:rsid w:val="3BAC5E63"/>
    <w:rsid w:val="3C7D77C9"/>
    <w:rsid w:val="3C8841DA"/>
    <w:rsid w:val="3CCB40C7"/>
    <w:rsid w:val="3CE55188"/>
    <w:rsid w:val="3CFE26EE"/>
    <w:rsid w:val="3D6674AD"/>
    <w:rsid w:val="3DB50FFF"/>
    <w:rsid w:val="3DCB6A74"/>
    <w:rsid w:val="3DEB4A20"/>
    <w:rsid w:val="3E523A4F"/>
    <w:rsid w:val="3EEF0540"/>
    <w:rsid w:val="3F214472"/>
    <w:rsid w:val="3F275F2C"/>
    <w:rsid w:val="3F397A0D"/>
    <w:rsid w:val="403421B1"/>
    <w:rsid w:val="404843AC"/>
    <w:rsid w:val="40F005A0"/>
    <w:rsid w:val="410B7187"/>
    <w:rsid w:val="41E9396D"/>
    <w:rsid w:val="424F183F"/>
    <w:rsid w:val="42E44134"/>
    <w:rsid w:val="42FE51F6"/>
    <w:rsid w:val="43050FC5"/>
    <w:rsid w:val="4387343D"/>
    <w:rsid w:val="440A1978"/>
    <w:rsid w:val="44C24001"/>
    <w:rsid w:val="44D04970"/>
    <w:rsid w:val="44F63EA4"/>
    <w:rsid w:val="46955E71"/>
    <w:rsid w:val="47AC2395"/>
    <w:rsid w:val="48BD7910"/>
    <w:rsid w:val="49311755"/>
    <w:rsid w:val="49FE1F7F"/>
    <w:rsid w:val="4A4200BE"/>
    <w:rsid w:val="4B3F45FD"/>
    <w:rsid w:val="4B5D4A84"/>
    <w:rsid w:val="4C120015"/>
    <w:rsid w:val="4C72455F"/>
    <w:rsid w:val="4C9E7102"/>
    <w:rsid w:val="4E2B0E69"/>
    <w:rsid w:val="4E41243B"/>
    <w:rsid w:val="4E8137E4"/>
    <w:rsid w:val="4EBB21ED"/>
    <w:rsid w:val="4FD43DC6"/>
    <w:rsid w:val="5051105B"/>
    <w:rsid w:val="52592449"/>
    <w:rsid w:val="53163E96"/>
    <w:rsid w:val="531719BC"/>
    <w:rsid w:val="53401237"/>
    <w:rsid w:val="536A5F90"/>
    <w:rsid w:val="541517DC"/>
    <w:rsid w:val="542720D3"/>
    <w:rsid w:val="543F11CA"/>
    <w:rsid w:val="559D089E"/>
    <w:rsid w:val="574F5BC8"/>
    <w:rsid w:val="57D305A7"/>
    <w:rsid w:val="57D32355"/>
    <w:rsid w:val="580C5867"/>
    <w:rsid w:val="58607961"/>
    <w:rsid w:val="5B0E7B48"/>
    <w:rsid w:val="5B5C4D58"/>
    <w:rsid w:val="5C412471"/>
    <w:rsid w:val="5DD9443E"/>
    <w:rsid w:val="5DDB6408"/>
    <w:rsid w:val="5E421FE3"/>
    <w:rsid w:val="5E5D6E1D"/>
    <w:rsid w:val="5E602469"/>
    <w:rsid w:val="5E741D96"/>
    <w:rsid w:val="5E9D190F"/>
    <w:rsid w:val="5F061262"/>
    <w:rsid w:val="5F7268F8"/>
    <w:rsid w:val="5FFB68ED"/>
    <w:rsid w:val="60C47FEF"/>
    <w:rsid w:val="61023CAB"/>
    <w:rsid w:val="6130435D"/>
    <w:rsid w:val="6154568C"/>
    <w:rsid w:val="621C0D9D"/>
    <w:rsid w:val="62B34D7B"/>
    <w:rsid w:val="62DF24F6"/>
    <w:rsid w:val="640B10C9"/>
    <w:rsid w:val="648F3AA8"/>
    <w:rsid w:val="65200BA4"/>
    <w:rsid w:val="65A05841"/>
    <w:rsid w:val="65EC0A86"/>
    <w:rsid w:val="669453A6"/>
    <w:rsid w:val="680C5410"/>
    <w:rsid w:val="6814255B"/>
    <w:rsid w:val="68490E04"/>
    <w:rsid w:val="684F3C7A"/>
    <w:rsid w:val="68972BB1"/>
    <w:rsid w:val="68BB2716"/>
    <w:rsid w:val="68FB170C"/>
    <w:rsid w:val="690B56C7"/>
    <w:rsid w:val="69AC0C58"/>
    <w:rsid w:val="69E95A08"/>
    <w:rsid w:val="6A277EFD"/>
    <w:rsid w:val="6A301889"/>
    <w:rsid w:val="6A793230"/>
    <w:rsid w:val="6AC36259"/>
    <w:rsid w:val="6B9A50B6"/>
    <w:rsid w:val="6BEB1F0C"/>
    <w:rsid w:val="6D415B5B"/>
    <w:rsid w:val="6E4800D4"/>
    <w:rsid w:val="6EE15EDA"/>
    <w:rsid w:val="6F0F4163"/>
    <w:rsid w:val="6F1D67A6"/>
    <w:rsid w:val="6F1E6154"/>
    <w:rsid w:val="6FC36CFC"/>
    <w:rsid w:val="717402AD"/>
    <w:rsid w:val="730B4C41"/>
    <w:rsid w:val="737C5B3F"/>
    <w:rsid w:val="740873D3"/>
    <w:rsid w:val="74681C20"/>
    <w:rsid w:val="748A603A"/>
    <w:rsid w:val="762A3631"/>
    <w:rsid w:val="76FD6F97"/>
    <w:rsid w:val="779422FF"/>
    <w:rsid w:val="779F437F"/>
    <w:rsid w:val="77CB44C9"/>
    <w:rsid w:val="78044C6A"/>
    <w:rsid w:val="782D446C"/>
    <w:rsid w:val="785C1A9B"/>
    <w:rsid w:val="788D434B"/>
    <w:rsid w:val="79B8124D"/>
    <w:rsid w:val="7BF13EA9"/>
    <w:rsid w:val="7C52743D"/>
    <w:rsid w:val="7C5F7DAC"/>
    <w:rsid w:val="7C776EA4"/>
    <w:rsid w:val="7DE44A0D"/>
    <w:rsid w:val="7E1B7E72"/>
    <w:rsid w:val="7E1F1C8A"/>
    <w:rsid w:val="7EE36ED9"/>
    <w:rsid w:val="7F484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0" w:semiHidden="0" w:name="toc 2"/>
    <w:lsdException w:qFormat="1" w:uiPriority="39" w:semiHidden="0" w:name="toc 3"/>
    <w:lsdException w:qFormat="1" w:uiPriority="39" w:semiHidden="0" w:name="toc 4"/>
    <w:lsdException w:qFormat="1" w:uiPriority="39" w:semiHidden="0" w:name="toc 5"/>
    <w:lsdException w:qFormat="1" w:unhideWhenUsed="0" w:uiPriority="0"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212"/>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209"/>
    <w:qFormat/>
    <w:uiPriority w:val="0"/>
    <w:pPr>
      <w:keepNext/>
      <w:keepLines/>
      <w:tabs>
        <w:tab w:val="left" w:pos="720"/>
      </w:tabs>
      <w:spacing w:before="260" w:after="260" w:line="410" w:lineRule="auto"/>
      <w:ind w:left="720" w:hanging="720"/>
      <w:outlineLvl w:val="2"/>
    </w:pPr>
    <w:rPr>
      <w:rFonts w:ascii="宋体"/>
      <w:b/>
      <w:color w:val="000000"/>
      <w:sz w:val="32"/>
      <w:szCs w:val="20"/>
    </w:rPr>
  </w:style>
  <w:style w:type="paragraph" w:styleId="5">
    <w:name w:val="heading 4"/>
    <w:basedOn w:val="1"/>
    <w:next w:val="1"/>
    <w:qFormat/>
    <w:uiPriority w:val="0"/>
    <w:pPr>
      <w:keepNext/>
      <w:keepLines/>
      <w:spacing w:before="280" w:after="290" w:line="372" w:lineRule="auto"/>
      <w:outlineLvl w:val="3"/>
    </w:pPr>
    <w:rPr>
      <w:rFonts w:ascii="Arial" w:hAnsi="Arial" w:eastAsia="黑体"/>
      <w:b/>
      <w:bCs/>
      <w:sz w:val="28"/>
      <w:szCs w:val="28"/>
    </w:rPr>
  </w:style>
  <w:style w:type="paragraph" w:styleId="6">
    <w:name w:val="heading 5"/>
    <w:basedOn w:val="1"/>
    <w:next w:val="1"/>
    <w:link w:val="47"/>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8"/>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9"/>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50"/>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51"/>
    <w:unhideWhenUsed/>
    <w:qFormat/>
    <w:uiPriority w:val="9"/>
    <w:pPr>
      <w:keepNext/>
      <w:keepLines/>
      <w:spacing w:before="320" w:after="200"/>
      <w:outlineLvl w:val="8"/>
    </w:pPr>
    <w:rPr>
      <w:rFonts w:ascii="Arial" w:hAnsi="Arial" w:eastAsia="Arial" w:cs="Arial"/>
      <w:i/>
      <w:iCs/>
      <w:sz w:val="21"/>
      <w:szCs w:val="21"/>
    </w:rPr>
  </w:style>
  <w:style w:type="character" w:default="1" w:styleId="38">
    <w:name w:val="Default Paragraph Font"/>
    <w:semiHidden/>
    <w:qFormat/>
    <w:uiPriority w:val="0"/>
  </w:style>
  <w:style w:type="table" w:default="1" w:styleId="36">
    <w:name w:val="Normal Table"/>
    <w:semiHidden/>
    <w:qFormat/>
    <w:uiPriority w:val="0"/>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spacing w:after="57"/>
      <w:ind w:left="1701" w:right="0" w:firstLine="0"/>
    </w:pPr>
  </w:style>
  <w:style w:type="paragraph" w:styleId="12">
    <w:name w:val="Normal Indent"/>
    <w:basedOn w:val="1"/>
    <w:qFormat/>
    <w:uiPriority w:val="0"/>
    <w:pPr>
      <w:ind w:firstLine="200"/>
    </w:pPr>
    <w:rPr>
      <w:sz w:val="20"/>
    </w:rPr>
  </w:style>
  <w:style w:type="paragraph" w:styleId="13">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4">
    <w:name w:val="Body Text"/>
    <w:basedOn w:val="1"/>
    <w:next w:val="15"/>
    <w:qFormat/>
    <w:uiPriority w:val="0"/>
    <w:pPr>
      <w:jc w:val="center"/>
    </w:pPr>
    <w:rPr>
      <w:rFonts w:eastAsia="仿宋_GB2312"/>
      <w:sz w:val="28"/>
    </w:rPr>
  </w:style>
  <w:style w:type="paragraph" w:styleId="15">
    <w:name w:val="Body Text First Indent"/>
    <w:basedOn w:val="14"/>
    <w:next w:val="16"/>
    <w:qFormat/>
    <w:uiPriority w:val="0"/>
    <w:pPr>
      <w:spacing w:after="120"/>
      <w:ind w:firstLine="420"/>
    </w:pPr>
    <w:rPr>
      <w:rFonts w:ascii="Calibri" w:hAnsi="Calibri" w:eastAsia="宋体"/>
      <w:sz w:val="21"/>
      <w:szCs w:val="20"/>
    </w:rPr>
  </w:style>
  <w:style w:type="paragraph" w:styleId="16">
    <w:name w:val="toc 6"/>
    <w:basedOn w:val="1"/>
    <w:next w:val="1"/>
    <w:qFormat/>
    <w:uiPriority w:val="0"/>
    <w:pPr>
      <w:ind w:left="1050"/>
      <w:jc w:val="left"/>
    </w:pPr>
    <w:rPr>
      <w:sz w:val="18"/>
      <w:szCs w:val="18"/>
    </w:rPr>
  </w:style>
  <w:style w:type="paragraph" w:styleId="17">
    <w:name w:val="Body Text Indent"/>
    <w:basedOn w:val="1"/>
    <w:qFormat/>
    <w:uiPriority w:val="0"/>
    <w:pPr>
      <w:spacing w:after="120"/>
      <w:ind w:left="420" w:leftChars="200"/>
    </w:pPr>
  </w:style>
  <w:style w:type="paragraph" w:styleId="18">
    <w:name w:val="toc 5"/>
    <w:basedOn w:val="1"/>
    <w:next w:val="1"/>
    <w:unhideWhenUsed/>
    <w:qFormat/>
    <w:uiPriority w:val="39"/>
    <w:pPr>
      <w:spacing w:after="57"/>
      <w:ind w:left="1134" w:right="0" w:firstLine="0"/>
    </w:pPr>
  </w:style>
  <w:style w:type="paragraph" w:styleId="19">
    <w:name w:val="toc 3"/>
    <w:basedOn w:val="1"/>
    <w:next w:val="1"/>
    <w:unhideWhenUsed/>
    <w:qFormat/>
    <w:uiPriority w:val="39"/>
    <w:pPr>
      <w:spacing w:after="57"/>
      <w:ind w:left="567" w:right="0" w:firstLine="0"/>
    </w:pPr>
  </w:style>
  <w:style w:type="paragraph" w:styleId="20">
    <w:name w:val="Plain Text"/>
    <w:basedOn w:val="1"/>
    <w:qFormat/>
    <w:uiPriority w:val="0"/>
    <w:rPr>
      <w:rFonts w:ascii="宋体"/>
      <w:szCs w:val="20"/>
    </w:rPr>
  </w:style>
  <w:style w:type="paragraph" w:styleId="21">
    <w:name w:val="toc 8"/>
    <w:basedOn w:val="1"/>
    <w:next w:val="1"/>
    <w:unhideWhenUsed/>
    <w:qFormat/>
    <w:uiPriority w:val="39"/>
    <w:pPr>
      <w:spacing w:after="57"/>
      <w:ind w:left="1984" w:right="0" w:firstLine="0"/>
    </w:pPr>
  </w:style>
  <w:style w:type="paragraph" w:styleId="22">
    <w:name w:val="Body Text Indent 2"/>
    <w:basedOn w:val="1"/>
    <w:qFormat/>
    <w:uiPriority w:val="0"/>
    <w:pPr>
      <w:tabs>
        <w:tab w:val="left" w:pos="9741"/>
      </w:tabs>
      <w:ind w:right="-1" w:firstLine="540"/>
    </w:pPr>
    <w:rPr>
      <w:rFonts w:eastAsia="仿宋_GB2312"/>
      <w:sz w:val="28"/>
    </w:rPr>
  </w:style>
  <w:style w:type="paragraph" w:styleId="23">
    <w:name w:val="endnote text"/>
    <w:basedOn w:val="1"/>
    <w:link w:val="188"/>
    <w:semiHidden/>
    <w:unhideWhenUsed/>
    <w:qFormat/>
    <w:uiPriority w:val="99"/>
    <w:pPr>
      <w:spacing w:after="0" w:line="240" w:lineRule="auto"/>
    </w:pPr>
    <w:rPr>
      <w:sz w:val="20"/>
    </w:rPr>
  </w:style>
  <w:style w:type="paragraph" w:styleId="24">
    <w:name w:val="footer"/>
    <w:basedOn w:val="1"/>
    <w:next w:val="1"/>
    <w:qFormat/>
    <w:uiPriority w:val="0"/>
    <w:pPr>
      <w:tabs>
        <w:tab w:val="center" w:pos="4153"/>
        <w:tab w:val="right" w:pos="8306"/>
      </w:tabs>
      <w:jc w:val="left"/>
    </w:pPr>
    <w:rPr>
      <w:rFonts w:ascii="Verdana" w:hAnsi="Verdana"/>
      <w:sz w:val="18"/>
      <w:szCs w:val="18"/>
    </w:rPr>
  </w:style>
  <w:style w:type="paragraph" w:styleId="25">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sz w:val="18"/>
    </w:rPr>
  </w:style>
  <w:style w:type="paragraph" w:styleId="26">
    <w:name w:val="toc 1"/>
    <w:basedOn w:val="1"/>
    <w:next w:val="1"/>
    <w:unhideWhenUsed/>
    <w:qFormat/>
    <w:uiPriority w:val="39"/>
    <w:pPr>
      <w:spacing w:after="57"/>
      <w:ind w:left="0" w:right="0" w:firstLine="0"/>
    </w:pPr>
  </w:style>
  <w:style w:type="paragraph" w:styleId="27">
    <w:name w:val="toc 4"/>
    <w:basedOn w:val="1"/>
    <w:next w:val="1"/>
    <w:unhideWhenUsed/>
    <w:qFormat/>
    <w:uiPriority w:val="39"/>
    <w:pPr>
      <w:spacing w:after="57"/>
      <w:ind w:left="850" w:right="0" w:firstLine="0"/>
    </w:pPr>
  </w:style>
  <w:style w:type="paragraph" w:styleId="28">
    <w:name w:val="Subtitle"/>
    <w:basedOn w:val="1"/>
    <w:next w:val="1"/>
    <w:link w:val="54"/>
    <w:qFormat/>
    <w:uiPriority w:val="11"/>
    <w:pPr>
      <w:spacing w:before="200" w:after="200"/>
    </w:pPr>
    <w:rPr>
      <w:sz w:val="24"/>
      <w:szCs w:val="24"/>
    </w:rPr>
  </w:style>
  <w:style w:type="paragraph" w:styleId="29">
    <w:name w:val="footnote text"/>
    <w:basedOn w:val="1"/>
    <w:link w:val="187"/>
    <w:semiHidden/>
    <w:unhideWhenUsed/>
    <w:qFormat/>
    <w:uiPriority w:val="99"/>
    <w:pPr>
      <w:spacing w:after="40" w:line="240" w:lineRule="auto"/>
    </w:pPr>
    <w:rPr>
      <w:sz w:val="18"/>
    </w:rPr>
  </w:style>
  <w:style w:type="paragraph" w:styleId="30">
    <w:name w:val="table of figures"/>
    <w:basedOn w:val="1"/>
    <w:next w:val="1"/>
    <w:unhideWhenUsed/>
    <w:qFormat/>
    <w:uiPriority w:val="99"/>
    <w:pPr>
      <w:spacing w:after="0" w:afterAutospacing="0"/>
    </w:pPr>
  </w:style>
  <w:style w:type="paragraph" w:styleId="31">
    <w:name w:val="toc 2"/>
    <w:basedOn w:val="1"/>
    <w:next w:val="1"/>
    <w:unhideWhenUsed/>
    <w:qFormat/>
    <w:uiPriority w:val="0"/>
    <w:pPr>
      <w:spacing w:after="57"/>
      <w:ind w:left="283"/>
    </w:pPr>
  </w:style>
  <w:style w:type="paragraph" w:styleId="32">
    <w:name w:val="toc 9"/>
    <w:basedOn w:val="1"/>
    <w:next w:val="1"/>
    <w:unhideWhenUsed/>
    <w:qFormat/>
    <w:uiPriority w:val="39"/>
    <w:pPr>
      <w:spacing w:after="57"/>
      <w:ind w:left="2268" w:right="0" w:firstLine="0"/>
    </w:pPr>
  </w:style>
  <w:style w:type="paragraph" w:styleId="33">
    <w:name w:val="Normal (Web)"/>
    <w:basedOn w:val="1"/>
    <w:qFormat/>
    <w:uiPriority w:val="0"/>
    <w:pPr>
      <w:spacing w:before="0" w:beforeAutospacing="1" w:after="0" w:afterAutospacing="1"/>
      <w:ind w:left="0" w:right="0"/>
      <w:jc w:val="left"/>
    </w:pPr>
    <w:rPr>
      <w:sz w:val="24"/>
      <w:lang w:val="en-US" w:eastAsia="zh-CN" w:bidi="ar"/>
    </w:rPr>
  </w:style>
  <w:style w:type="paragraph" w:styleId="34">
    <w:name w:val="Title"/>
    <w:basedOn w:val="1"/>
    <w:next w:val="1"/>
    <w:link w:val="53"/>
    <w:qFormat/>
    <w:uiPriority w:val="10"/>
    <w:pPr>
      <w:spacing w:before="300" w:after="200"/>
      <w:contextualSpacing/>
    </w:pPr>
    <w:rPr>
      <w:sz w:val="48"/>
      <w:szCs w:val="48"/>
    </w:rPr>
  </w:style>
  <w:style w:type="paragraph" w:styleId="35">
    <w:name w:val="Body Text First Indent 2"/>
    <w:basedOn w:val="17"/>
    <w:qFormat/>
    <w:uiPriority w:val="0"/>
    <w:pPr>
      <w:ind w:firstLine="420" w:firstLineChars="200"/>
    </w:pPr>
  </w:style>
  <w:style w:type="table" w:styleId="3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9">
    <w:name w:val="Strong"/>
    <w:basedOn w:val="38"/>
    <w:qFormat/>
    <w:uiPriority w:val="0"/>
    <w:rPr>
      <w:b/>
    </w:rPr>
  </w:style>
  <w:style w:type="character" w:styleId="40">
    <w:name w:val="endnote reference"/>
    <w:basedOn w:val="38"/>
    <w:semiHidden/>
    <w:unhideWhenUsed/>
    <w:qFormat/>
    <w:uiPriority w:val="99"/>
    <w:rPr>
      <w:vertAlign w:val="superscript"/>
    </w:rPr>
  </w:style>
  <w:style w:type="character" w:styleId="41">
    <w:name w:val="Hyperlink"/>
    <w:unhideWhenUsed/>
    <w:qFormat/>
    <w:uiPriority w:val="99"/>
    <w:rPr>
      <w:color w:val="0026E5" w:themeColor="hyperlink"/>
      <w:u w:val="single"/>
      <w14:textFill>
        <w14:solidFill>
          <w14:schemeClr w14:val="hlink"/>
        </w14:solidFill>
      </w14:textFill>
    </w:rPr>
  </w:style>
  <w:style w:type="character" w:styleId="42">
    <w:name w:val="footnote reference"/>
    <w:basedOn w:val="38"/>
    <w:unhideWhenUsed/>
    <w:qFormat/>
    <w:uiPriority w:val="99"/>
    <w:rPr>
      <w:vertAlign w:val="superscript"/>
    </w:rPr>
  </w:style>
  <w:style w:type="character" w:customStyle="1" w:styleId="43">
    <w:name w:val="Heading 1 Char"/>
    <w:basedOn w:val="38"/>
    <w:qFormat/>
    <w:uiPriority w:val="9"/>
    <w:rPr>
      <w:rFonts w:ascii="Arial" w:hAnsi="Arial" w:eastAsia="Arial" w:cs="Arial"/>
      <w:sz w:val="40"/>
      <w:szCs w:val="40"/>
    </w:rPr>
  </w:style>
  <w:style w:type="character" w:customStyle="1" w:styleId="44">
    <w:name w:val="Heading 2 Char"/>
    <w:basedOn w:val="38"/>
    <w:qFormat/>
    <w:uiPriority w:val="9"/>
    <w:rPr>
      <w:rFonts w:ascii="Arial" w:hAnsi="Arial" w:eastAsia="Arial" w:cs="Arial"/>
      <w:sz w:val="34"/>
    </w:rPr>
  </w:style>
  <w:style w:type="character" w:customStyle="1" w:styleId="45">
    <w:name w:val="Heading 3 Char"/>
    <w:basedOn w:val="38"/>
    <w:qFormat/>
    <w:uiPriority w:val="9"/>
    <w:rPr>
      <w:rFonts w:ascii="Arial" w:hAnsi="Arial" w:eastAsia="Arial" w:cs="Arial"/>
      <w:sz w:val="30"/>
      <w:szCs w:val="30"/>
    </w:rPr>
  </w:style>
  <w:style w:type="character" w:customStyle="1" w:styleId="46">
    <w:name w:val="Heading 4 Char"/>
    <w:basedOn w:val="38"/>
    <w:qFormat/>
    <w:uiPriority w:val="9"/>
    <w:rPr>
      <w:rFonts w:ascii="Arial" w:hAnsi="Arial" w:eastAsia="Arial" w:cs="Arial"/>
      <w:b/>
      <w:bCs/>
      <w:sz w:val="26"/>
      <w:szCs w:val="26"/>
    </w:rPr>
  </w:style>
  <w:style w:type="character" w:customStyle="1" w:styleId="47">
    <w:name w:val="Heading 5 Char"/>
    <w:basedOn w:val="38"/>
    <w:link w:val="6"/>
    <w:qFormat/>
    <w:uiPriority w:val="9"/>
    <w:rPr>
      <w:rFonts w:ascii="Arial" w:hAnsi="Arial" w:eastAsia="Arial" w:cs="Arial"/>
      <w:b/>
      <w:bCs/>
      <w:sz w:val="24"/>
      <w:szCs w:val="24"/>
    </w:rPr>
  </w:style>
  <w:style w:type="character" w:customStyle="1" w:styleId="48">
    <w:name w:val="Heading 6 Char"/>
    <w:basedOn w:val="38"/>
    <w:link w:val="7"/>
    <w:qFormat/>
    <w:uiPriority w:val="9"/>
    <w:rPr>
      <w:rFonts w:ascii="Arial" w:hAnsi="Arial" w:eastAsia="Arial" w:cs="Arial"/>
      <w:b/>
      <w:bCs/>
      <w:sz w:val="22"/>
      <w:szCs w:val="22"/>
    </w:rPr>
  </w:style>
  <w:style w:type="character" w:customStyle="1" w:styleId="49">
    <w:name w:val="Heading 7 Char"/>
    <w:basedOn w:val="38"/>
    <w:link w:val="8"/>
    <w:qFormat/>
    <w:uiPriority w:val="9"/>
    <w:rPr>
      <w:rFonts w:ascii="Arial" w:hAnsi="Arial" w:eastAsia="Arial" w:cs="Arial"/>
      <w:b/>
      <w:bCs/>
      <w:i/>
      <w:iCs/>
      <w:sz w:val="22"/>
      <w:szCs w:val="22"/>
    </w:rPr>
  </w:style>
  <w:style w:type="character" w:customStyle="1" w:styleId="50">
    <w:name w:val="Heading 8 Char"/>
    <w:basedOn w:val="38"/>
    <w:link w:val="9"/>
    <w:qFormat/>
    <w:uiPriority w:val="9"/>
    <w:rPr>
      <w:rFonts w:ascii="Arial" w:hAnsi="Arial" w:eastAsia="Arial" w:cs="Arial"/>
      <w:i/>
      <w:iCs/>
      <w:sz w:val="22"/>
      <w:szCs w:val="22"/>
    </w:rPr>
  </w:style>
  <w:style w:type="character" w:customStyle="1" w:styleId="51">
    <w:name w:val="Heading 9 Char"/>
    <w:basedOn w:val="38"/>
    <w:link w:val="10"/>
    <w:qFormat/>
    <w:uiPriority w:val="9"/>
    <w:rPr>
      <w:rFonts w:ascii="Arial" w:hAnsi="Arial" w:eastAsia="Arial" w:cs="Arial"/>
      <w:i/>
      <w:iCs/>
      <w:sz w:val="21"/>
      <w:szCs w:val="21"/>
    </w:rPr>
  </w:style>
  <w:style w:type="paragraph" w:styleId="52">
    <w:name w:val="No Spacing"/>
    <w:qFormat/>
    <w:uiPriority w:val="1"/>
    <w:pPr>
      <w:spacing w:before="0" w:after="0" w:line="240" w:lineRule="auto"/>
    </w:pPr>
    <w:rPr>
      <w:rFonts w:hint="default" w:ascii="Times New Roman" w:hAnsi="Times New Roman" w:eastAsia="宋体" w:cs="Times New Roman"/>
    </w:rPr>
  </w:style>
  <w:style w:type="character" w:customStyle="1" w:styleId="53">
    <w:name w:val="Title Char"/>
    <w:basedOn w:val="38"/>
    <w:link w:val="34"/>
    <w:qFormat/>
    <w:uiPriority w:val="10"/>
    <w:rPr>
      <w:sz w:val="48"/>
      <w:szCs w:val="48"/>
    </w:rPr>
  </w:style>
  <w:style w:type="character" w:customStyle="1" w:styleId="54">
    <w:name w:val="Subtitle Char"/>
    <w:basedOn w:val="38"/>
    <w:link w:val="28"/>
    <w:qFormat/>
    <w:uiPriority w:val="11"/>
    <w:rPr>
      <w:sz w:val="24"/>
      <w:szCs w:val="24"/>
    </w:rPr>
  </w:style>
  <w:style w:type="paragraph" w:styleId="55">
    <w:name w:val="Quote"/>
    <w:basedOn w:val="1"/>
    <w:next w:val="1"/>
    <w:link w:val="56"/>
    <w:qFormat/>
    <w:uiPriority w:val="29"/>
    <w:pPr>
      <w:ind w:left="720" w:right="720"/>
    </w:pPr>
    <w:rPr>
      <w:i/>
    </w:rPr>
  </w:style>
  <w:style w:type="character" w:customStyle="1" w:styleId="56">
    <w:name w:val="Quote Char"/>
    <w:link w:val="55"/>
    <w:qFormat/>
    <w:uiPriority w:val="29"/>
    <w:rPr>
      <w:i/>
    </w:rPr>
  </w:style>
  <w:style w:type="paragraph" w:styleId="57">
    <w:name w:val="Intense Quote"/>
    <w:basedOn w:val="1"/>
    <w:next w:val="1"/>
    <w:link w:val="5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8">
    <w:name w:val="Intense Quote Char"/>
    <w:link w:val="57"/>
    <w:qFormat/>
    <w:uiPriority w:val="30"/>
    <w:rPr>
      <w:i/>
    </w:rPr>
  </w:style>
  <w:style w:type="character" w:customStyle="1" w:styleId="59">
    <w:name w:val="Header Char"/>
    <w:basedOn w:val="38"/>
    <w:qFormat/>
    <w:uiPriority w:val="99"/>
  </w:style>
  <w:style w:type="character" w:customStyle="1" w:styleId="60">
    <w:name w:val="Footer Char"/>
    <w:basedOn w:val="38"/>
    <w:qFormat/>
    <w:uiPriority w:val="99"/>
  </w:style>
  <w:style w:type="character" w:customStyle="1" w:styleId="61">
    <w:name w:val="Caption Char"/>
    <w:qFormat/>
    <w:uiPriority w:val="99"/>
  </w:style>
  <w:style w:type="table" w:customStyle="1" w:styleId="62">
    <w:name w:val="Table Grid Light"/>
    <w:basedOn w:val="36"/>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63">
    <w:name w:val="Plain Table 1"/>
    <w:basedOn w:val="36"/>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4">
    <w:name w:val="Plain Table 2"/>
    <w:basedOn w:val="36"/>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65">
    <w:name w:val="Plain Table 3"/>
    <w:basedOn w:val="36"/>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6">
    <w:name w:val="Plain Table 4"/>
    <w:basedOn w:val="36"/>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7">
    <w:name w:val="Plain Table 5"/>
    <w:basedOn w:val="36"/>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8">
    <w:name w:val="Grid Table 1 Light"/>
    <w:basedOn w:val="36"/>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9">
    <w:name w:val="Grid Table 1 Light - Accent 1"/>
    <w:basedOn w:val="36"/>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StylePr w:type="neCell"/>
    <w:tblStylePr w:type="nwCell"/>
    <w:tblStylePr w:type="seCell"/>
    <w:tblStylePr w:type="swCell"/>
  </w:style>
  <w:style w:type="table" w:customStyle="1" w:styleId="70">
    <w:name w:val="Grid Table 1 Light - Accent 2"/>
    <w:basedOn w:val="36"/>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StylePr w:type="neCell"/>
    <w:tblStylePr w:type="nwCell"/>
    <w:tblStylePr w:type="seCell"/>
    <w:tblStylePr w:type="swCell"/>
  </w:style>
  <w:style w:type="table" w:customStyle="1" w:styleId="71">
    <w:name w:val="Grid Table 1 Light - Accent 3"/>
    <w:basedOn w:val="36"/>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StylePr w:type="neCell"/>
    <w:tblStylePr w:type="nwCell"/>
    <w:tblStylePr w:type="seCell"/>
    <w:tblStylePr w:type="swCell"/>
  </w:style>
  <w:style w:type="table" w:customStyle="1" w:styleId="72">
    <w:name w:val="Grid Table 1 Light - Accent 4"/>
    <w:basedOn w:val="36"/>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StylePr w:type="neCell"/>
    <w:tblStylePr w:type="nwCell"/>
    <w:tblStylePr w:type="seCell"/>
    <w:tblStylePr w:type="swCell"/>
  </w:style>
  <w:style w:type="table" w:customStyle="1" w:styleId="73">
    <w:name w:val="Grid Table 1 Light - Accent 5"/>
    <w:basedOn w:val="36"/>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StylePr w:type="neCell"/>
    <w:tblStylePr w:type="nwCell"/>
    <w:tblStylePr w:type="seCell"/>
    <w:tblStylePr w:type="swCell"/>
  </w:style>
  <w:style w:type="table" w:customStyle="1" w:styleId="74">
    <w:name w:val="Grid Table 1 Light - Accent 6"/>
    <w:basedOn w:val="36"/>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StylePr w:type="neCell"/>
    <w:tblStylePr w:type="nwCell"/>
    <w:tblStylePr w:type="seCell"/>
    <w:tblStylePr w:type="swCell"/>
  </w:style>
  <w:style w:type="table" w:customStyle="1" w:styleId="75">
    <w:name w:val="Grid Table 2"/>
    <w:basedOn w:val="36"/>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6">
    <w:name w:val="Grid Table 2 - Accent 1"/>
    <w:basedOn w:val="36"/>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2Vert"/>
    <w:tblStylePr w:type="band1Horz">
      <w:rPr>
        <w:rFonts w:ascii="Arial" w:hAnsi="Arial"/>
        <w:color w:val="404040"/>
        <w:sz w:val="22"/>
      </w:rPr>
      <w:tcPr>
        <w:shd w:val="clear" w:color="D9E2F4" w:themeColor="accent1" w:themeTint="34" w:fill="D9E2F4" w:themeFill="accent1" w:themeFillTint="34"/>
      </w:tcPr>
    </w:tblStylePr>
    <w:tblStylePr w:type="band2Horz"/>
    <w:tblStylePr w:type="neCell"/>
    <w:tblStylePr w:type="nwCell"/>
    <w:tblStylePr w:type="seCell"/>
    <w:tblStylePr w:type="swCell"/>
  </w:style>
  <w:style w:type="table" w:customStyle="1" w:styleId="77">
    <w:name w:val="Grid Table 2 - Accent 2"/>
    <w:basedOn w:val="36"/>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2Vert"/>
    <w:tblStylePr w:type="band1Horz">
      <w:rPr>
        <w:rFonts w:ascii="Arial" w:hAnsi="Arial"/>
        <w:color w:val="404040"/>
        <w:sz w:val="22"/>
      </w:rPr>
      <w:tcPr>
        <w:shd w:val="clear" w:color="FBE6D6" w:themeColor="accent2" w:themeTint="32" w:fill="FBE6D6" w:themeFill="accent2" w:themeFillTint="32"/>
      </w:tcPr>
    </w:tblStylePr>
    <w:tblStylePr w:type="band2Horz"/>
    <w:tblStylePr w:type="neCell"/>
    <w:tblStylePr w:type="nwCell"/>
    <w:tblStylePr w:type="seCell"/>
    <w:tblStylePr w:type="swCell"/>
  </w:style>
  <w:style w:type="table" w:customStyle="1" w:styleId="78">
    <w:name w:val="Grid Table 2 - Accent 3"/>
    <w:basedOn w:val="36"/>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2Vert"/>
    <w:tblStylePr w:type="band1Horz">
      <w:rPr>
        <w:rFonts w:ascii="Arial" w:hAnsi="Arial"/>
        <w:color w:val="404040"/>
        <w:sz w:val="22"/>
      </w:rPr>
      <w:tcPr>
        <w:shd w:val="clear" w:color="FEF2C9" w:themeColor="accent3" w:themeTint="34" w:fill="FEF2C9" w:themeFill="accent3" w:themeFillTint="34"/>
      </w:tcPr>
    </w:tblStylePr>
    <w:tblStylePr w:type="band2Horz"/>
    <w:tblStylePr w:type="neCell"/>
    <w:tblStylePr w:type="nwCell"/>
    <w:tblStylePr w:type="seCell"/>
    <w:tblStylePr w:type="swCell"/>
  </w:style>
  <w:style w:type="table" w:customStyle="1" w:styleId="79">
    <w:name w:val="Grid Table 2 - Accent 4"/>
    <w:basedOn w:val="36"/>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2Vert"/>
    <w:tblStylePr w:type="band1Horz">
      <w:rPr>
        <w:rFonts w:ascii="Arial" w:hAnsi="Arial"/>
        <w:color w:val="404040"/>
        <w:sz w:val="22"/>
      </w:rPr>
      <w:tcPr>
        <w:shd w:val="clear" w:color="E2F1D8" w:themeColor="accent4" w:themeTint="34" w:fill="E2F1D8" w:themeFill="accent4" w:themeFillTint="34"/>
      </w:tcPr>
    </w:tblStylePr>
    <w:tblStylePr w:type="band2Horz"/>
    <w:tblStylePr w:type="neCell"/>
    <w:tblStylePr w:type="nwCell"/>
    <w:tblStylePr w:type="seCell"/>
    <w:tblStylePr w:type="swCell"/>
  </w:style>
  <w:style w:type="table" w:customStyle="1" w:styleId="80">
    <w:name w:val="Grid Table 2 - Accent 5"/>
    <w:basedOn w:val="36"/>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2Vert"/>
    <w:tblStylePr w:type="band1Horz">
      <w:rPr>
        <w:rFonts w:ascii="Arial" w:hAnsi="Arial"/>
        <w:color w:val="404040"/>
        <w:sz w:val="22"/>
      </w:rPr>
      <w:tcPr>
        <w:shd w:val="clear" w:color="D2F3F1" w:themeColor="accent5" w:themeTint="34" w:fill="D2F3F1" w:themeFill="accent5" w:themeFillTint="34"/>
      </w:tcPr>
    </w:tblStylePr>
    <w:tblStylePr w:type="band2Horz"/>
    <w:tblStylePr w:type="neCell"/>
    <w:tblStylePr w:type="nwCell"/>
    <w:tblStylePr w:type="seCell"/>
    <w:tblStylePr w:type="swCell"/>
  </w:style>
  <w:style w:type="table" w:customStyle="1" w:styleId="81">
    <w:name w:val="Grid Table 2 - Accent 6"/>
    <w:basedOn w:val="36"/>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2Vert"/>
    <w:tblStylePr w:type="band1Horz">
      <w:rPr>
        <w:rFonts w:ascii="Arial" w:hAnsi="Arial"/>
        <w:color w:val="404040"/>
        <w:sz w:val="22"/>
      </w:rPr>
      <w:tcPr>
        <w:shd w:val="clear" w:color="F9DADE" w:themeColor="accent6" w:themeTint="34" w:fill="F9DADE" w:themeFill="accent6" w:themeFillTint="34"/>
      </w:tcPr>
    </w:tblStylePr>
    <w:tblStylePr w:type="band2Horz"/>
    <w:tblStylePr w:type="neCell"/>
    <w:tblStylePr w:type="nwCell"/>
    <w:tblStylePr w:type="seCell"/>
    <w:tblStylePr w:type="swCell"/>
  </w:style>
  <w:style w:type="table" w:customStyle="1" w:styleId="82">
    <w:name w:val="Grid Table 3"/>
    <w:basedOn w:val="36"/>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3">
    <w:name w:val="Grid Table 3 - Accent 1"/>
    <w:basedOn w:val="36"/>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2Vert"/>
    <w:tblStylePr w:type="band1Horz">
      <w:rPr>
        <w:rFonts w:ascii="Arial" w:hAnsi="Arial"/>
        <w:color w:val="404040"/>
        <w:sz w:val="22"/>
      </w:rPr>
      <w:tcPr>
        <w:shd w:val="clear" w:color="D9E2F4" w:themeColor="accent1" w:themeTint="34" w:fill="D9E2F4" w:themeFill="accent1" w:themeFillTint="34"/>
      </w:tcPr>
    </w:tblStylePr>
    <w:tblStylePr w:type="band2Horz"/>
    <w:tblStylePr w:type="neCell"/>
    <w:tblStylePr w:type="nwCell"/>
    <w:tblStylePr w:type="seCell"/>
    <w:tblStylePr w:type="swCell"/>
  </w:style>
  <w:style w:type="table" w:customStyle="1" w:styleId="84">
    <w:name w:val="Grid Table 3 - Accent 2"/>
    <w:basedOn w:val="36"/>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2Vert"/>
    <w:tblStylePr w:type="band1Horz">
      <w:rPr>
        <w:rFonts w:ascii="Arial" w:hAnsi="Arial"/>
        <w:color w:val="404040"/>
        <w:sz w:val="22"/>
      </w:rPr>
      <w:tcPr>
        <w:shd w:val="clear" w:color="FBE6D6" w:themeColor="accent2" w:themeTint="32" w:fill="FBE6D6" w:themeFill="accent2" w:themeFillTint="32"/>
      </w:tcPr>
    </w:tblStylePr>
    <w:tblStylePr w:type="band2Horz"/>
    <w:tblStylePr w:type="neCell"/>
    <w:tblStylePr w:type="nwCell"/>
    <w:tblStylePr w:type="seCell"/>
    <w:tblStylePr w:type="swCell"/>
  </w:style>
  <w:style w:type="table" w:customStyle="1" w:styleId="85">
    <w:name w:val="Grid Table 3 - Accent 3"/>
    <w:basedOn w:val="36"/>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2Vert"/>
    <w:tblStylePr w:type="band1Horz">
      <w:rPr>
        <w:rFonts w:ascii="Arial" w:hAnsi="Arial"/>
        <w:color w:val="404040"/>
        <w:sz w:val="22"/>
      </w:rPr>
      <w:tcPr>
        <w:shd w:val="clear" w:color="FEF2C9" w:themeColor="accent3" w:themeTint="34" w:fill="FEF2C9" w:themeFill="accent3" w:themeFillTint="34"/>
      </w:tcPr>
    </w:tblStylePr>
    <w:tblStylePr w:type="band2Horz"/>
    <w:tblStylePr w:type="neCell"/>
    <w:tblStylePr w:type="nwCell"/>
    <w:tblStylePr w:type="seCell"/>
    <w:tblStylePr w:type="swCell"/>
  </w:style>
  <w:style w:type="table" w:customStyle="1" w:styleId="86">
    <w:name w:val="Grid Table 3 - Accent 4"/>
    <w:basedOn w:val="36"/>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2Vert"/>
    <w:tblStylePr w:type="band1Horz">
      <w:rPr>
        <w:rFonts w:ascii="Arial" w:hAnsi="Arial"/>
        <w:color w:val="404040"/>
        <w:sz w:val="22"/>
      </w:rPr>
      <w:tcPr>
        <w:shd w:val="clear" w:color="E2F1D8" w:themeColor="accent4" w:themeTint="34" w:fill="E2F1D8" w:themeFill="accent4" w:themeFillTint="34"/>
      </w:tcPr>
    </w:tblStylePr>
    <w:tblStylePr w:type="band2Horz"/>
    <w:tblStylePr w:type="neCell"/>
    <w:tblStylePr w:type="nwCell"/>
    <w:tblStylePr w:type="seCell"/>
    <w:tblStylePr w:type="swCell"/>
  </w:style>
  <w:style w:type="table" w:customStyle="1" w:styleId="87">
    <w:name w:val="Grid Table 3 - Accent 5"/>
    <w:basedOn w:val="36"/>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2Vert"/>
    <w:tblStylePr w:type="band1Horz">
      <w:rPr>
        <w:rFonts w:ascii="Arial" w:hAnsi="Arial"/>
        <w:color w:val="404040"/>
        <w:sz w:val="22"/>
      </w:rPr>
      <w:tcPr>
        <w:shd w:val="clear" w:color="D2F3F1" w:themeColor="accent5" w:themeTint="34" w:fill="D2F3F1" w:themeFill="accent5" w:themeFillTint="34"/>
      </w:tcPr>
    </w:tblStylePr>
    <w:tblStylePr w:type="band2Horz"/>
    <w:tblStylePr w:type="neCell"/>
    <w:tblStylePr w:type="nwCell"/>
    <w:tblStylePr w:type="seCell"/>
    <w:tblStylePr w:type="swCell"/>
  </w:style>
  <w:style w:type="table" w:customStyle="1" w:styleId="88">
    <w:name w:val="Grid Table 3 - Accent 6"/>
    <w:basedOn w:val="36"/>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2Vert"/>
    <w:tblStylePr w:type="band1Horz">
      <w:rPr>
        <w:rFonts w:ascii="Arial" w:hAnsi="Arial"/>
        <w:color w:val="404040"/>
        <w:sz w:val="22"/>
      </w:rPr>
      <w:tcPr>
        <w:shd w:val="clear" w:color="F9DADE" w:themeColor="accent6" w:themeTint="34" w:fill="F9DADE" w:themeFill="accent6" w:themeFillTint="34"/>
      </w:tcPr>
    </w:tblStylePr>
    <w:tblStylePr w:type="band2Horz"/>
    <w:tblStylePr w:type="neCell"/>
    <w:tblStylePr w:type="nwCell"/>
    <w:tblStylePr w:type="seCell"/>
    <w:tblStylePr w:type="swCell"/>
  </w:style>
  <w:style w:type="table" w:customStyle="1" w:styleId="89">
    <w:name w:val="Grid Table 4"/>
    <w:basedOn w:val="36"/>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90">
    <w:name w:val="Grid Table 4 - Accent 1"/>
    <w:basedOn w:val="36"/>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2Vert"/>
    <w:tblStylePr w:type="band1Horz">
      <w:rPr>
        <w:rFonts w:ascii="Arial" w:hAnsi="Arial"/>
        <w:color w:val="404040"/>
        <w:sz w:val="22"/>
      </w:rPr>
      <w:tcPr>
        <w:shd w:val="clear" w:color="DBE3F4" w:themeColor="accent1" w:themeTint="32" w:fill="DBE3F4" w:themeFill="accent1" w:themeFillTint="32"/>
      </w:tcPr>
    </w:tblStylePr>
    <w:tblStylePr w:type="band2Horz"/>
    <w:tblStylePr w:type="neCell"/>
    <w:tblStylePr w:type="nwCell"/>
    <w:tblStylePr w:type="seCell"/>
    <w:tblStylePr w:type="swCell"/>
  </w:style>
  <w:style w:type="table" w:customStyle="1" w:styleId="91">
    <w:name w:val="Grid Table 4 - Accent 2"/>
    <w:basedOn w:val="36"/>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2Vert"/>
    <w:tblStylePr w:type="band1Horz">
      <w:rPr>
        <w:rFonts w:ascii="Arial" w:hAnsi="Arial"/>
        <w:color w:val="404040"/>
        <w:sz w:val="22"/>
      </w:rPr>
      <w:tcPr>
        <w:shd w:val="clear" w:color="FBE6D6" w:themeColor="accent2" w:themeTint="32" w:fill="FBE6D6" w:themeFill="accent2" w:themeFillTint="32"/>
      </w:tcPr>
    </w:tblStylePr>
    <w:tblStylePr w:type="band2Horz"/>
    <w:tblStylePr w:type="neCell"/>
    <w:tblStylePr w:type="nwCell"/>
    <w:tblStylePr w:type="seCell"/>
    <w:tblStylePr w:type="swCell"/>
  </w:style>
  <w:style w:type="table" w:customStyle="1" w:styleId="92">
    <w:name w:val="Grid Table 4 - Accent 3"/>
    <w:basedOn w:val="36"/>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2Vert"/>
    <w:tblStylePr w:type="band1Horz">
      <w:rPr>
        <w:rFonts w:ascii="Arial" w:hAnsi="Arial"/>
        <w:color w:val="404040"/>
        <w:sz w:val="22"/>
      </w:rPr>
      <w:tcPr>
        <w:shd w:val="clear" w:color="FEF2C9" w:themeColor="accent3" w:themeTint="34" w:fill="FEF2C9" w:themeFill="accent3" w:themeFillTint="34"/>
      </w:tcPr>
    </w:tblStylePr>
    <w:tblStylePr w:type="band2Horz"/>
    <w:tblStylePr w:type="neCell"/>
    <w:tblStylePr w:type="nwCell"/>
    <w:tblStylePr w:type="seCell"/>
    <w:tblStylePr w:type="swCell"/>
  </w:style>
  <w:style w:type="table" w:customStyle="1" w:styleId="93">
    <w:name w:val="Grid Table 4 - Accent 4"/>
    <w:basedOn w:val="36"/>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2Vert"/>
    <w:tblStylePr w:type="band1Horz">
      <w:rPr>
        <w:rFonts w:ascii="Arial" w:hAnsi="Arial"/>
        <w:color w:val="404040"/>
        <w:sz w:val="22"/>
      </w:rPr>
      <w:tcPr>
        <w:shd w:val="clear" w:color="E2F1D8" w:themeColor="accent4" w:themeTint="34" w:fill="E2F1D8" w:themeFill="accent4" w:themeFillTint="34"/>
      </w:tcPr>
    </w:tblStylePr>
    <w:tblStylePr w:type="band2Horz"/>
    <w:tblStylePr w:type="neCell"/>
    <w:tblStylePr w:type="nwCell"/>
    <w:tblStylePr w:type="seCell"/>
    <w:tblStylePr w:type="swCell"/>
  </w:style>
  <w:style w:type="table" w:customStyle="1" w:styleId="94">
    <w:name w:val="Grid Table 4 - Accent 5"/>
    <w:basedOn w:val="36"/>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2Vert"/>
    <w:tblStylePr w:type="band1Horz">
      <w:rPr>
        <w:rFonts w:ascii="Arial" w:hAnsi="Arial"/>
        <w:color w:val="404040"/>
        <w:sz w:val="22"/>
      </w:rPr>
      <w:tcPr>
        <w:shd w:val="clear" w:color="D2F3F1" w:themeColor="accent5" w:themeTint="34" w:fill="D2F3F1" w:themeFill="accent5" w:themeFillTint="34"/>
      </w:tcPr>
    </w:tblStylePr>
    <w:tblStylePr w:type="band2Horz"/>
    <w:tblStylePr w:type="neCell"/>
    <w:tblStylePr w:type="nwCell"/>
    <w:tblStylePr w:type="seCell"/>
    <w:tblStylePr w:type="swCell"/>
  </w:style>
  <w:style w:type="table" w:customStyle="1" w:styleId="95">
    <w:name w:val="Grid Table 4 - Accent 6"/>
    <w:basedOn w:val="36"/>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2Vert"/>
    <w:tblStylePr w:type="band1Horz">
      <w:rPr>
        <w:rFonts w:ascii="Arial" w:hAnsi="Arial"/>
        <w:color w:val="404040"/>
        <w:sz w:val="22"/>
      </w:rPr>
      <w:tcPr>
        <w:shd w:val="clear" w:color="F9DADE" w:themeColor="accent6" w:themeTint="34" w:fill="F9DADE" w:themeFill="accent6" w:themeFillTint="34"/>
      </w:tcPr>
    </w:tblStylePr>
    <w:tblStylePr w:type="band2Horz"/>
    <w:tblStylePr w:type="neCell"/>
    <w:tblStylePr w:type="nwCell"/>
    <w:tblStylePr w:type="seCell"/>
    <w:tblStylePr w:type="swCell"/>
  </w:style>
  <w:style w:type="table" w:customStyle="1" w:styleId="96">
    <w:name w:val="Grid Table 5 Dark"/>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7">
    <w:name w:val="Grid Table 5 Dark- Accent 1"/>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2Vert"/>
    <w:tblStylePr w:type="band1Horz">
      <w:tcPr>
        <w:shd w:val="clear" w:color="ABBFE7" w:themeColor="accent1" w:themeTint="75" w:fill="ABBFE7" w:themeFill="accent1" w:themeFillTint="75"/>
      </w:tcPr>
    </w:tblStylePr>
    <w:tblStylePr w:type="band2Horz"/>
    <w:tblStylePr w:type="neCell"/>
    <w:tblStylePr w:type="nwCell"/>
    <w:tblStylePr w:type="seCell"/>
    <w:tblStylePr w:type="swCell"/>
  </w:style>
  <w:style w:type="table" w:customStyle="1" w:styleId="98">
    <w:name w:val="Grid Table 5 Dark - Accent 2"/>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2Vert"/>
    <w:tblStylePr w:type="band1Horz">
      <w:tcPr>
        <w:shd w:val="clear" w:color="F7C59F" w:themeColor="accent2" w:themeTint="75" w:fill="F7C59F" w:themeFill="accent2" w:themeFillTint="75"/>
      </w:tcPr>
    </w:tblStylePr>
    <w:tblStylePr w:type="band2Horz"/>
    <w:tblStylePr w:type="neCell"/>
    <w:tblStylePr w:type="nwCell"/>
    <w:tblStylePr w:type="seCell"/>
    <w:tblStylePr w:type="swCell"/>
  </w:style>
  <w:style w:type="table" w:customStyle="1" w:styleId="99">
    <w:name w:val="Grid Table 5 Dark - Accent 3"/>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2Vert"/>
    <w:tblStylePr w:type="band1Horz">
      <w:tcPr>
        <w:shd w:val="clear" w:color="FDE185" w:themeColor="accent3" w:themeTint="75" w:fill="FDE185" w:themeFill="accent3" w:themeFillTint="75"/>
      </w:tcPr>
    </w:tblStylePr>
    <w:tblStylePr w:type="band2Horz"/>
    <w:tblStylePr w:type="neCell"/>
    <w:tblStylePr w:type="nwCell"/>
    <w:tblStylePr w:type="seCell"/>
    <w:tblStylePr w:type="swCell"/>
  </w:style>
  <w:style w:type="table" w:customStyle="1" w:styleId="100">
    <w:name w:val="Grid Table 5 Dark- Accent 4"/>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2Vert"/>
    <w:tblStylePr w:type="band1Horz">
      <w:tcPr>
        <w:shd w:val="clear" w:color="BFE0A8" w:themeColor="accent4" w:themeTint="75" w:fill="BFE0A8" w:themeFill="accent4" w:themeFillTint="75"/>
      </w:tcPr>
    </w:tblStylePr>
    <w:tblStylePr w:type="band2Horz"/>
    <w:tblStylePr w:type="neCell"/>
    <w:tblStylePr w:type="nwCell"/>
    <w:tblStylePr w:type="seCell"/>
    <w:tblStylePr w:type="swCell"/>
  </w:style>
  <w:style w:type="table" w:customStyle="1" w:styleId="101">
    <w:name w:val="Grid Table 5 Dark - Accent 5"/>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2Vert"/>
    <w:tblStylePr w:type="band1Horz">
      <w:tcPr>
        <w:shd w:val="clear" w:color="9BE6E0" w:themeColor="accent5" w:themeTint="75" w:fill="9BE6E0" w:themeFill="accent5" w:themeFillTint="75"/>
      </w:tcPr>
    </w:tblStylePr>
    <w:tblStylePr w:type="band2Horz"/>
    <w:tblStylePr w:type="neCell"/>
    <w:tblStylePr w:type="nwCell"/>
    <w:tblStylePr w:type="seCell"/>
    <w:tblStylePr w:type="swCell"/>
  </w:style>
  <w:style w:type="table" w:customStyle="1" w:styleId="102">
    <w:name w:val="Grid Table 5 Dark - Accent 6"/>
    <w:basedOn w:val="3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2Vert"/>
    <w:tblStylePr w:type="band1Horz">
      <w:tcPr>
        <w:shd w:val="clear" w:color="F3ACB5" w:themeColor="accent6" w:themeTint="75" w:fill="F3ACB5" w:themeFill="accent6" w:themeFillTint="75"/>
      </w:tcPr>
    </w:tblStylePr>
    <w:tblStylePr w:type="band2Horz"/>
    <w:tblStylePr w:type="neCell"/>
    <w:tblStylePr w:type="nwCell"/>
    <w:tblStylePr w:type="seCell"/>
    <w:tblStylePr w:type="swCell"/>
  </w:style>
  <w:style w:type="table" w:customStyle="1" w:styleId="103">
    <w:name w:val="Grid Table 6 Colorful"/>
    <w:basedOn w:val="36"/>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4">
    <w:name w:val="Grid Table 6 Colorful - Accent 1"/>
    <w:basedOn w:val="36"/>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2Vert"/>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5">
    <w:name w:val="Grid Table 6 Colorful - Accent 2"/>
    <w:basedOn w:val="36"/>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6">
    <w:name w:val="Grid Table 6 Colorful - Accent 3"/>
    <w:basedOn w:val="36"/>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2Vert"/>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7">
    <w:name w:val="Grid Table 6 Colorful - Accent 4"/>
    <w:basedOn w:val="36"/>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8">
    <w:name w:val="Grid Table 6 Colorful - Accent 5"/>
    <w:basedOn w:val="36"/>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2Vert"/>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09">
    <w:name w:val="Grid Table 6 Colorful - Accent 6"/>
    <w:basedOn w:val="36"/>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2Vert"/>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10">
    <w:name w:val="Grid Table 7 Colorful"/>
    <w:basedOn w:val="36"/>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11">
    <w:name w:val="Grid Table 7 Colorful - Accent 1"/>
    <w:basedOn w:val="36"/>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2Vert"/>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12">
    <w:name w:val="Grid Table 7 Colorful - Accent 2"/>
    <w:basedOn w:val="36"/>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3">
    <w:name w:val="Grid Table 7 Colorful - Accent 3"/>
    <w:basedOn w:val="36"/>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2Vert"/>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14">
    <w:name w:val="Grid Table 7 Colorful - Accent 4"/>
    <w:basedOn w:val="36"/>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5">
    <w:name w:val="Grid Table 7 Colorful - Accent 5"/>
    <w:basedOn w:val="36"/>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2Vert"/>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16">
    <w:name w:val="Grid Table 7 Colorful - Accent 6"/>
    <w:basedOn w:val="36"/>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2Vert"/>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tblStylePr w:type="neCell"/>
    <w:tblStylePr w:type="nwCell"/>
    <w:tblStylePr w:type="seCell"/>
    <w:tblStylePr w:type="swCell"/>
  </w:style>
  <w:style w:type="table" w:customStyle="1" w:styleId="117">
    <w:name w:val="List Table 1 Light"/>
    <w:basedOn w:val="36"/>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8">
    <w:name w:val="List Table 1 Light - Accent 1"/>
    <w:basedOn w:val="36"/>
    <w:qFormat/>
    <w:uiPriority w:val="99"/>
    <w:pPr>
      <w:spacing w:after="0" w:line="240" w:lineRule="auto"/>
    </w:p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2Vert"/>
    <w:tblStylePr w:type="band1Horz">
      <w:tcPr>
        <w:shd w:val="clear" w:color="D1DCF1" w:themeColor="accent1" w:themeTint="40" w:fill="D1DCF1" w:themeFill="accent1" w:themeFillTint="40"/>
      </w:tcPr>
    </w:tblStylePr>
    <w:tblStylePr w:type="band2Horz"/>
    <w:tblStylePr w:type="neCell"/>
    <w:tblStylePr w:type="nwCell"/>
    <w:tblStylePr w:type="seCell"/>
    <w:tblStylePr w:type="swCell"/>
  </w:style>
  <w:style w:type="table" w:customStyle="1" w:styleId="119">
    <w:name w:val="List Table 1 Light - Accent 2"/>
    <w:basedOn w:val="36"/>
    <w:qFormat/>
    <w:uiPriority w:val="99"/>
    <w:pPr>
      <w:spacing w:after="0" w:line="240" w:lineRule="auto"/>
    </w:p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2Vert"/>
    <w:tblStylePr w:type="band1Horz">
      <w:tcPr>
        <w:shd w:val="clear" w:color="FADFCA" w:themeColor="accent2" w:themeTint="40" w:fill="FADFCA" w:themeFill="accent2" w:themeFillTint="40"/>
      </w:tcPr>
    </w:tblStylePr>
    <w:tblStylePr w:type="band2Horz"/>
    <w:tblStylePr w:type="neCell"/>
    <w:tblStylePr w:type="nwCell"/>
    <w:tblStylePr w:type="seCell"/>
    <w:tblStylePr w:type="swCell"/>
  </w:style>
  <w:style w:type="table" w:customStyle="1" w:styleId="120">
    <w:name w:val="List Table 1 Light - Accent 3"/>
    <w:basedOn w:val="36"/>
    <w:qFormat/>
    <w:uiPriority w:val="99"/>
    <w:pPr>
      <w:spacing w:after="0" w:line="240" w:lineRule="auto"/>
    </w:p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2Vert"/>
    <w:tblStylePr w:type="band1Horz">
      <w:tcPr>
        <w:shd w:val="clear" w:color="FEEFBC" w:themeColor="accent3" w:themeTint="40" w:fill="FEEFBC" w:themeFill="accent3" w:themeFillTint="40"/>
      </w:tcPr>
    </w:tblStylePr>
    <w:tblStylePr w:type="band2Horz"/>
    <w:tblStylePr w:type="neCell"/>
    <w:tblStylePr w:type="nwCell"/>
    <w:tblStylePr w:type="seCell"/>
    <w:tblStylePr w:type="swCell"/>
  </w:style>
  <w:style w:type="table" w:customStyle="1" w:styleId="121">
    <w:name w:val="List Table 1 Light - Accent 4"/>
    <w:basedOn w:val="36"/>
    <w:qFormat/>
    <w:uiPriority w:val="99"/>
    <w:pPr>
      <w:spacing w:after="0" w:line="240" w:lineRule="auto"/>
    </w:p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2Vert"/>
    <w:tblStylePr w:type="band1Horz">
      <w:tcPr>
        <w:shd w:val="clear" w:color="DCEECF" w:themeColor="accent4" w:themeTint="40" w:fill="DCEECF" w:themeFill="accent4" w:themeFillTint="40"/>
      </w:tcPr>
    </w:tblStylePr>
    <w:tblStylePr w:type="band2Horz"/>
    <w:tblStylePr w:type="neCell"/>
    <w:tblStylePr w:type="nwCell"/>
    <w:tblStylePr w:type="seCell"/>
    <w:tblStylePr w:type="swCell"/>
  </w:style>
  <w:style w:type="table" w:customStyle="1" w:styleId="122">
    <w:name w:val="List Table 1 Light - Accent 5"/>
    <w:basedOn w:val="36"/>
    <w:qFormat/>
    <w:uiPriority w:val="99"/>
    <w:pPr>
      <w:spacing w:after="0" w:line="240" w:lineRule="auto"/>
    </w:p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2Vert"/>
    <w:tblStylePr w:type="band1Horz">
      <w:tcPr>
        <w:shd w:val="clear" w:color="C8F1EE" w:themeColor="accent5" w:themeTint="40" w:fill="C8F1EE" w:themeFill="accent5" w:themeFillTint="40"/>
      </w:tcPr>
    </w:tblStylePr>
    <w:tblStylePr w:type="band2Horz"/>
    <w:tblStylePr w:type="neCell"/>
    <w:tblStylePr w:type="nwCell"/>
    <w:tblStylePr w:type="seCell"/>
    <w:tblStylePr w:type="swCell"/>
  </w:style>
  <w:style w:type="table" w:customStyle="1" w:styleId="123">
    <w:name w:val="List Table 1 Light - Accent 6"/>
    <w:basedOn w:val="36"/>
    <w:qFormat/>
    <w:uiPriority w:val="99"/>
    <w:pPr>
      <w:spacing w:after="0" w:line="240" w:lineRule="auto"/>
    </w:p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2Vert"/>
    <w:tblStylePr w:type="band1Horz">
      <w:tcPr>
        <w:shd w:val="clear" w:color="F8D2D6" w:themeColor="accent6" w:themeTint="40" w:fill="F8D2D6" w:themeFill="accent6" w:themeFillTint="40"/>
      </w:tcPr>
    </w:tblStylePr>
    <w:tblStylePr w:type="band2Horz"/>
    <w:tblStylePr w:type="neCell"/>
    <w:tblStylePr w:type="nwCell"/>
    <w:tblStylePr w:type="seCell"/>
    <w:tblStylePr w:type="swCell"/>
  </w:style>
  <w:style w:type="table" w:customStyle="1" w:styleId="124">
    <w:name w:val="List Table 2"/>
    <w:basedOn w:val="36"/>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5">
    <w:name w:val="List Table 2 - Accent 1"/>
    <w:basedOn w:val="36"/>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2Vert"/>
    <w:tblStylePr w:type="band1Horz">
      <w:rPr>
        <w:rFonts w:ascii="Arial" w:hAnsi="Arial"/>
        <w:color w:val="404040"/>
        <w:sz w:val="22"/>
      </w:rPr>
      <w:tcPr>
        <w:shd w:val="clear" w:color="D1DCF1" w:themeColor="accent1" w:themeTint="40" w:fill="D1DCF1" w:themeFill="accent1" w:themeFillTint="40"/>
      </w:tcPr>
    </w:tblStylePr>
    <w:tblStylePr w:type="band2Horz"/>
    <w:tblStylePr w:type="neCell"/>
    <w:tblStylePr w:type="nwCell"/>
    <w:tblStylePr w:type="seCell"/>
    <w:tblStylePr w:type="swCell"/>
  </w:style>
  <w:style w:type="table" w:customStyle="1" w:styleId="126">
    <w:name w:val="List Table 2 - Accent 2"/>
    <w:basedOn w:val="36"/>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2Vert"/>
    <w:tblStylePr w:type="band1Horz">
      <w:rPr>
        <w:rFonts w:ascii="Arial" w:hAnsi="Arial"/>
        <w:color w:val="404040"/>
        <w:sz w:val="22"/>
      </w:rPr>
      <w:tcPr>
        <w:shd w:val="clear" w:color="FADFCA" w:themeColor="accent2" w:themeTint="40" w:fill="FADFCA" w:themeFill="accent2" w:themeFillTint="40"/>
      </w:tcPr>
    </w:tblStylePr>
    <w:tblStylePr w:type="band2Horz"/>
    <w:tblStylePr w:type="neCell"/>
    <w:tblStylePr w:type="nwCell"/>
    <w:tblStylePr w:type="seCell"/>
    <w:tblStylePr w:type="swCell"/>
  </w:style>
  <w:style w:type="table" w:customStyle="1" w:styleId="127">
    <w:name w:val="List Table 2 - Accent 3"/>
    <w:basedOn w:val="36"/>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2Vert"/>
    <w:tblStylePr w:type="band1Horz">
      <w:rPr>
        <w:rFonts w:ascii="Arial" w:hAnsi="Arial"/>
        <w:color w:val="404040"/>
        <w:sz w:val="22"/>
      </w:rPr>
      <w:tcPr>
        <w:shd w:val="clear" w:color="FEEFBC" w:themeColor="accent3" w:themeTint="40" w:fill="FEEFBC" w:themeFill="accent3" w:themeFillTint="40"/>
      </w:tcPr>
    </w:tblStylePr>
    <w:tblStylePr w:type="band2Horz"/>
    <w:tblStylePr w:type="neCell"/>
    <w:tblStylePr w:type="nwCell"/>
    <w:tblStylePr w:type="seCell"/>
    <w:tblStylePr w:type="swCell"/>
  </w:style>
  <w:style w:type="table" w:customStyle="1" w:styleId="128">
    <w:name w:val="List Table 2 - Accent 4"/>
    <w:basedOn w:val="36"/>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2Vert"/>
    <w:tblStylePr w:type="band1Horz">
      <w:rPr>
        <w:rFonts w:ascii="Arial" w:hAnsi="Arial"/>
        <w:color w:val="404040"/>
        <w:sz w:val="22"/>
      </w:rPr>
      <w:tcPr>
        <w:shd w:val="clear" w:color="DCEECF" w:themeColor="accent4" w:themeTint="40" w:fill="DCEECF" w:themeFill="accent4" w:themeFillTint="40"/>
      </w:tcPr>
    </w:tblStylePr>
    <w:tblStylePr w:type="band2Horz"/>
    <w:tblStylePr w:type="neCell"/>
    <w:tblStylePr w:type="nwCell"/>
    <w:tblStylePr w:type="seCell"/>
    <w:tblStylePr w:type="swCell"/>
  </w:style>
  <w:style w:type="table" w:customStyle="1" w:styleId="129">
    <w:name w:val="List Table 2 - Accent 5"/>
    <w:basedOn w:val="36"/>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2Vert"/>
    <w:tblStylePr w:type="band1Horz">
      <w:rPr>
        <w:rFonts w:ascii="Arial" w:hAnsi="Arial"/>
        <w:color w:val="404040"/>
        <w:sz w:val="22"/>
      </w:rPr>
      <w:tcPr>
        <w:shd w:val="clear" w:color="C8F1EE" w:themeColor="accent5" w:themeTint="40" w:fill="C8F1EE" w:themeFill="accent5" w:themeFillTint="40"/>
      </w:tcPr>
    </w:tblStylePr>
    <w:tblStylePr w:type="band2Horz"/>
    <w:tblStylePr w:type="neCell"/>
    <w:tblStylePr w:type="nwCell"/>
    <w:tblStylePr w:type="seCell"/>
    <w:tblStylePr w:type="swCell"/>
  </w:style>
  <w:style w:type="table" w:customStyle="1" w:styleId="130">
    <w:name w:val="List Table 2 - Accent 6"/>
    <w:basedOn w:val="36"/>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2Vert"/>
    <w:tblStylePr w:type="band1Horz">
      <w:rPr>
        <w:rFonts w:ascii="Arial" w:hAnsi="Arial"/>
        <w:color w:val="404040"/>
        <w:sz w:val="22"/>
      </w:rPr>
      <w:tcPr>
        <w:shd w:val="clear" w:color="F8D2D6" w:themeColor="accent6" w:themeTint="40" w:fill="F8D2D6" w:themeFill="accent6" w:themeFillTint="40"/>
      </w:tcPr>
    </w:tblStylePr>
    <w:tblStylePr w:type="band2Horz"/>
    <w:tblStylePr w:type="neCell"/>
    <w:tblStylePr w:type="nwCell"/>
    <w:tblStylePr w:type="seCell"/>
    <w:tblStylePr w:type="swCell"/>
  </w:style>
  <w:style w:type="table" w:customStyle="1" w:styleId="131">
    <w:name w:val="List Table 3"/>
    <w:basedOn w:val="3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32">
    <w:name w:val="List Table 3 - Accent 1"/>
    <w:basedOn w:val="36"/>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2Vert"/>
    <w:tblStylePr w:type="band1Horz">
      <w:rPr>
        <w:rFonts w:ascii="Arial" w:hAnsi="Arial"/>
        <w:color w:val="404040"/>
        <w:sz w:val="22"/>
      </w:rPr>
      <w:tcPr>
        <w:tcBorders>
          <w:top w:val="single" w:color="4874CB" w:themeColor="accent1" w:sz="4" w:space="0"/>
          <w:bottom w:val="single" w:color="4874CB" w:themeColor="accent1" w:sz="4" w:space="0"/>
        </w:tcBorders>
      </w:tcPr>
    </w:tblStylePr>
    <w:tblStylePr w:type="band2Horz"/>
    <w:tblStylePr w:type="neCell"/>
    <w:tblStylePr w:type="nwCell"/>
    <w:tblStylePr w:type="seCell"/>
    <w:tblStylePr w:type="swCell"/>
  </w:style>
  <w:style w:type="table" w:customStyle="1" w:styleId="133">
    <w:name w:val="List Table 3 - Accent 2"/>
    <w:basedOn w:val="36"/>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2Vert"/>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tblStylePr w:type="band2Horz"/>
    <w:tblStylePr w:type="neCell"/>
    <w:tblStylePr w:type="nwCell"/>
    <w:tblStylePr w:type="seCell"/>
    <w:tblStylePr w:type="swCell"/>
  </w:style>
  <w:style w:type="table" w:customStyle="1" w:styleId="134">
    <w:name w:val="List Table 3 - Accent 3"/>
    <w:basedOn w:val="36"/>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2Vert"/>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tblStylePr w:type="band2Horz"/>
    <w:tblStylePr w:type="neCell"/>
    <w:tblStylePr w:type="nwCell"/>
    <w:tblStylePr w:type="seCell"/>
    <w:tblStylePr w:type="swCell"/>
  </w:style>
  <w:style w:type="table" w:customStyle="1" w:styleId="135">
    <w:name w:val="List Table 3 - Accent 4"/>
    <w:basedOn w:val="36"/>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2Vert"/>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tblStylePr w:type="band2Horz"/>
    <w:tblStylePr w:type="neCell"/>
    <w:tblStylePr w:type="nwCell"/>
    <w:tblStylePr w:type="seCell"/>
    <w:tblStylePr w:type="swCell"/>
  </w:style>
  <w:style w:type="table" w:customStyle="1" w:styleId="136">
    <w:name w:val="List Table 3 - Accent 5"/>
    <w:basedOn w:val="36"/>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2Vert"/>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tblStylePr w:type="band2Horz"/>
    <w:tblStylePr w:type="neCell"/>
    <w:tblStylePr w:type="nwCell"/>
    <w:tblStylePr w:type="seCell"/>
    <w:tblStylePr w:type="swCell"/>
  </w:style>
  <w:style w:type="table" w:customStyle="1" w:styleId="137">
    <w:name w:val="List Table 3 - Accent 6"/>
    <w:basedOn w:val="36"/>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2Vert"/>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tblStylePr w:type="band2Horz"/>
    <w:tblStylePr w:type="neCell"/>
    <w:tblStylePr w:type="nwCell"/>
    <w:tblStylePr w:type="seCell"/>
    <w:tblStylePr w:type="swCell"/>
  </w:style>
  <w:style w:type="table" w:customStyle="1" w:styleId="138">
    <w:name w:val="List Table 4"/>
    <w:basedOn w:val="36"/>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9">
    <w:name w:val="List Table 4 - Accent 1"/>
    <w:basedOn w:val="36"/>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2Vert"/>
    <w:tblStylePr w:type="band1Horz">
      <w:rPr>
        <w:rFonts w:ascii="Arial" w:hAnsi="Arial"/>
        <w:color w:val="404040"/>
        <w:sz w:val="22"/>
      </w:rPr>
      <w:tcPr>
        <w:shd w:val="clear" w:color="D1DCF1" w:themeColor="accent1" w:themeTint="40" w:fill="D1DCF1" w:themeFill="accent1" w:themeFillTint="40"/>
      </w:tcPr>
    </w:tblStylePr>
    <w:tblStylePr w:type="band2Horz"/>
    <w:tblStylePr w:type="neCell"/>
    <w:tblStylePr w:type="nwCell"/>
    <w:tblStylePr w:type="seCell"/>
    <w:tblStylePr w:type="swCell"/>
  </w:style>
  <w:style w:type="table" w:customStyle="1" w:styleId="140">
    <w:name w:val="List Table 4 - Accent 2"/>
    <w:basedOn w:val="36"/>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2Vert"/>
    <w:tblStylePr w:type="band1Horz">
      <w:rPr>
        <w:rFonts w:ascii="Arial" w:hAnsi="Arial"/>
        <w:color w:val="404040"/>
        <w:sz w:val="22"/>
      </w:rPr>
      <w:tcPr>
        <w:shd w:val="clear" w:color="FADFCA" w:themeColor="accent2" w:themeTint="40" w:fill="FADFCA" w:themeFill="accent2" w:themeFillTint="40"/>
      </w:tcPr>
    </w:tblStylePr>
    <w:tblStylePr w:type="band2Horz"/>
    <w:tblStylePr w:type="neCell"/>
    <w:tblStylePr w:type="nwCell"/>
    <w:tblStylePr w:type="seCell"/>
    <w:tblStylePr w:type="swCell"/>
  </w:style>
  <w:style w:type="table" w:customStyle="1" w:styleId="141">
    <w:name w:val="List Table 4 - Accent 3"/>
    <w:basedOn w:val="36"/>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2Vert"/>
    <w:tblStylePr w:type="band1Horz">
      <w:rPr>
        <w:rFonts w:ascii="Arial" w:hAnsi="Arial"/>
        <w:color w:val="404040"/>
        <w:sz w:val="22"/>
      </w:rPr>
      <w:tcPr>
        <w:shd w:val="clear" w:color="FEEFBC" w:themeColor="accent3" w:themeTint="40" w:fill="FEEFBC" w:themeFill="accent3" w:themeFillTint="40"/>
      </w:tcPr>
    </w:tblStylePr>
    <w:tblStylePr w:type="band2Horz"/>
    <w:tblStylePr w:type="neCell"/>
    <w:tblStylePr w:type="nwCell"/>
    <w:tblStylePr w:type="seCell"/>
    <w:tblStylePr w:type="swCell"/>
  </w:style>
  <w:style w:type="table" w:customStyle="1" w:styleId="142">
    <w:name w:val="List Table 4 - Accent 4"/>
    <w:basedOn w:val="36"/>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2Vert"/>
    <w:tblStylePr w:type="band1Horz">
      <w:rPr>
        <w:rFonts w:ascii="Arial" w:hAnsi="Arial"/>
        <w:color w:val="404040"/>
        <w:sz w:val="22"/>
      </w:rPr>
      <w:tcPr>
        <w:shd w:val="clear" w:color="DCEECF" w:themeColor="accent4" w:themeTint="40" w:fill="DCEECF" w:themeFill="accent4" w:themeFillTint="40"/>
      </w:tcPr>
    </w:tblStylePr>
    <w:tblStylePr w:type="band2Horz"/>
    <w:tblStylePr w:type="neCell"/>
    <w:tblStylePr w:type="nwCell"/>
    <w:tblStylePr w:type="seCell"/>
    <w:tblStylePr w:type="swCell"/>
  </w:style>
  <w:style w:type="table" w:customStyle="1" w:styleId="143">
    <w:name w:val="List Table 4 - Accent 5"/>
    <w:basedOn w:val="36"/>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2Vert"/>
    <w:tblStylePr w:type="band1Horz">
      <w:rPr>
        <w:rFonts w:ascii="Arial" w:hAnsi="Arial"/>
        <w:color w:val="404040"/>
        <w:sz w:val="22"/>
      </w:rPr>
      <w:tcPr>
        <w:shd w:val="clear" w:color="C8F1EE" w:themeColor="accent5" w:themeTint="40" w:fill="C8F1EE" w:themeFill="accent5" w:themeFillTint="40"/>
      </w:tcPr>
    </w:tblStylePr>
    <w:tblStylePr w:type="band2Horz"/>
    <w:tblStylePr w:type="neCell"/>
    <w:tblStylePr w:type="nwCell"/>
    <w:tblStylePr w:type="seCell"/>
    <w:tblStylePr w:type="swCell"/>
  </w:style>
  <w:style w:type="table" w:customStyle="1" w:styleId="144">
    <w:name w:val="List Table 4 - Accent 6"/>
    <w:basedOn w:val="36"/>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2Vert"/>
    <w:tblStylePr w:type="band1Horz">
      <w:rPr>
        <w:rFonts w:ascii="Arial" w:hAnsi="Arial"/>
        <w:color w:val="404040"/>
        <w:sz w:val="22"/>
      </w:rPr>
      <w:tcPr>
        <w:shd w:val="clear" w:color="F8D2D6" w:themeColor="accent6" w:themeTint="40" w:fill="F8D2D6" w:themeFill="accent6" w:themeFillTint="40"/>
      </w:tcPr>
    </w:tblStylePr>
    <w:tblStylePr w:type="band2Horz"/>
    <w:tblStylePr w:type="neCell"/>
    <w:tblStylePr w:type="nwCell"/>
    <w:tblStylePr w:type="seCell"/>
    <w:tblStylePr w:type="swCell"/>
  </w:style>
  <w:style w:type="table" w:customStyle="1" w:styleId="145">
    <w:name w:val="List Table 5 Dark"/>
    <w:basedOn w:val="36"/>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46">
    <w:name w:val="List Table 5 Dark - Accent 1"/>
    <w:basedOn w:val="36"/>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tblStylePr w:type="neCell"/>
    <w:tblStylePr w:type="nwCell"/>
    <w:tblStylePr w:type="seCell"/>
    <w:tblStylePr w:type="swCell"/>
  </w:style>
  <w:style w:type="table" w:customStyle="1" w:styleId="147">
    <w:name w:val="List Table 5 Dark - Accent 2"/>
    <w:basedOn w:val="36"/>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neCell"/>
    <w:tblStylePr w:type="nwCell"/>
    <w:tblStylePr w:type="seCell"/>
    <w:tblStylePr w:type="swCell"/>
  </w:style>
  <w:style w:type="table" w:customStyle="1" w:styleId="148">
    <w:name w:val="List Table 5 Dark - Accent 3"/>
    <w:basedOn w:val="36"/>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neCell"/>
    <w:tblStylePr w:type="nwCell"/>
    <w:tblStylePr w:type="seCell"/>
    <w:tblStylePr w:type="swCell"/>
  </w:style>
  <w:style w:type="table" w:customStyle="1" w:styleId="149">
    <w:name w:val="List Table 5 Dark - Accent 4"/>
    <w:basedOn w:val="36"/>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neCell"/>
    <w:tblStylePr w:type="nwCell"/>
    <w:tblStylePr w:type="seCell"/>
    <w:tblStylePr w:type="swCell"/>
  </w:style>
  <w:style w:type="table" w:customStyle="1" w:styleId="150">
    <w:name w:val="List Table 5 Dark - Accent 5"/>
    <w:basedOn w:val="36"/>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neCell"/>
    <w:tblStylePr w:type="nwCell"/>
    <w:tblStylePr w:type="seCell"/>
    <w:tblStylePr w:type="swCell"/>
  </w:style>
  <w:style w:type="table" w:customStyle="1" w:styleId="151">
    <w:name w:val="List Table 5 Dark - Accent 6"/>
    <w:basedOn w:val="36"/>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neCell"/>
    <w:tblStylePr w:type="nwCell"/>
    <w:tblStylePr w:type="seCell"/>
    <w:tblStylePr w:type="swCell"/>
  </w:style>
  <w:style w:type="table" w:customStyle="1" w:styleId="152">
    <w:name w:val="List Table 6 Colorful"/>
    <w:basedOn w:val="36"/>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53">
    <w:name w:val="List Table 6 Colorful - Accent 1"/>
    <w:basedOn w:val="36"/>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2Vert"/>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tblStylePr w:type="neCell"/>
    <w:tblStylePr w:type="nwCell"/>
    <w:tblStylePr w:type="seCell"/>
    <w:tblStylePr w:type="swCell"/>
  </w:style>
  <w:style w:type="table" w:customStyle="1" w:styleId="154">
    <w:name w:val="List Table 6 Colorful - Accent 2"/>
    <w:basedOn w:val="36"/>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5">
    <w:name w:val="List Table 6 Colorful - Accent 3"/>
    <w:basedOn w:val="36"/>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2Vert"/>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6">
    <w:name w:val="List Table 6 Colorful - Accent 4"/>
    <w:basedOn w:val="36"/>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7">
    <w:name w:val="List Table 6 Colorful - Accent 5"/>
    <w:basedOn w:val="36"/>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2Vert"/>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8">
    <w:name w:val="List Table 6 Colorful - Accent 6"/>
    <w:basedOn w:val="36"/>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2Vert"/>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9">
    <w:name w:val="List Table 7 Colorful"/>
    <w:basedOn w:val="36"/>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60">
    <w:name w:val="List Table 7 Colorful - Accent 1"/>
    <w:basedOn w:val="36"/>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2Vert"/>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tblStylePr w:type="neCell"/>
    <w:tblStylePr w:type="nwCell"/>
    <w:tblStylePr w:type="seCell"/>
    <w:tblStylePr w:type="swCell"/>
  </w:style>
  <w:style w:type="table" w:customStyle="1" w:styleId="161">
    <w:name w:val="List Table 7 Colorful - Accent 2"/>
    <w:basedOn w:val="36"/>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62">
    <w:name w:val="List Table 7 Colorful - Accent 3"/>
    <w:basedOn w:val="36"/>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2Vert"/>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3">
    <w:name w:val="List Table 7 Colorful - Accent 4"/>
    <w:basedOn w:val="36"/>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64">
    <w:name w:val="List Table 7 Colorful - Accent 5"/>
    <w:basedOn w:val="36"/>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2Vert"/>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5">
    <w:name w:val="List Table 7 Colorful - Accent 6"/>
    <w:basedOn w:val="36"/>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2Vert"/>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6">
    <w:name w:val="Lined - Accent"/>
    <w:basedOn w:val="36"/>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7">
    <w:name w:val="Lined - Accent 1"/>
    <w:basedOn w:val="36"/>
    <w:qFormat/>
    <w:uiPriority w:val="99"/>
    <w:pPr>
      <w:spacing w:after="0" w:line="240" w:lineRule="auto"/>
    </w:pPr>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tblStylePr w:type="neCell"/>
    <w:tblStylePr w:type="nwCell"/>
    <w:tblStylePr w:type="seCell"/>
    <w:tblStylePr w:type="swCell"/>
  </w:style>
  <w:style w:type="table" w:customStyle="1" w:styleId="168">
    <w:name w:val="Lined - Accent 2"/>
    <w:basedOn w:val="36"/>
    <w:qFormat/>
    <w:uiPriority w:val="99"/>
    <w:pPr>
      <w:spacing w:after="0" w:line="240" w:lineRule="auto"/>
    </w:pPr>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tblStylePr w:type="neCell"/>
    <w:tblStylePr w:type="nwCell"/>
    <w:tblStylePr w:type="seCell"/>
    <w:tblStylePr w:type="swCell"/>
  </w:style>
  <w:style w:type="table" w:customStyle="1" w:styleId="169">
    <w:name w:val="Lined - Accent 3"/>
    <w:basedOn w:val="36"/>
    <w:qFormat/>
    <w:uiPriority w:val="99"/>
    <w:pPr>
      <w:spacing w:after="0" w:line="240" w:lineRule="auto"/>
    </w:pPr>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tblStylePr w:type="neCell"/>
    <w:tblStylePr w:type="nwCell"/>
    <w:tblStylePr w:type="seCell"/>
    <w:tblStylePr w:type="swCell"/>
  </w:style>
  <w:style w:type="table" w:customStyle="1" w:styleId="170">
    <w:name w:val="Lined - Accent 4"/>
    <w:basedOn w:val="36"/>
    <w:qFormat/>
    <w:uiPriority w:val="99"/>
    <w:pPr>
      <w:spacing w:after="0" w:line="240" w:lineRule="auto"/>
    </w:pPr>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tblStylePr w:type="neCell"/>
    <w:tblStylePr w:type="nwCell"/>
    <w:tblStylePr w:type="seCell"/>
    <w:tblStylePr w:type="swCell"/>
  </w:style>
  <w:style w:type="table" w:customStyle="1" w:styleId="171">
    <w:name w:val="Lined - Accent 5"/>
    <w:basedOn w:val="36"/>
    <w:qFormat/>
    <w:uiPriority w:val="99"/>
    <w:pPr>
      <w:spacing w:after="0" w:line="240" w:lineRule="auto"/>
    </w:pPr>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tblStylePr w:type="neCell"/>
    <w:tblStylePr w:type="nwCell"/>
    <w:tblStylePr w:type="seCell"/>
    <w:tblStylePr w:type="swCell"/>
  </w:style>
  <w:style w:type="table" w:customStyle="1" w:styleId="172">
    <w:name w:val="Lined - Accent 6"/>
    <w:basedOn w:val="36"/>
    <w:qFormat/>
    <w:uiPriority w:val="99"/>
    <w:pPr>
      <w:spacing w:after="0" w:line="240" w:lineRule="auto"/>
    </w:pPr>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tblStylePr w:type="neCell"/>
    <w:tblStylePr w:type="nwCell"/>
    <w:tblStylePr w:type="seCell"/>
    <w:tblStylePr w:type="swCell"/>
  </w:style>
  <w:style w:type="table" w:customStyle="1" w:styleId="173">
    <w:name w:val="Bordered &amp; Lined - Accent"/>
    <w:basedOn w:val="36"/>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74">
    <w:name w:val="Bordered &amp; Lined - Accent 1"/>
    <w:basedOn w:val="36"/>
    <w:qFormat/>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tblStylePr w:type="neCell"/>
    <w:tblStylePr w:type="nwCell"/>
    <w:tblStylePr w:type="seCell"/>
    <w:tblStylePr w:type="swCell"/>
  </w:style>
  <w:style w:type="table" w:customStyle="1" w:styleId="175">
    <w:name w:val="Bordered &amp; Lined - Accent 2"/>
    <w:basedOn w:val="36"/>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tblStylePr w:type="neCell"/>
    <w:tblStylePr w:type="nwCell"/>
    <w:tblStylePr w:type="seCell"/>
    <w:tblStylePr w:type="swCell"/>
  </w:style>
  <w:style w:type="table" w:customStyle="1" w:styleId="176">
    <w:name w:val="Bordered &amp; Lined - Accent 3"/>
    <w:basedOn w:val="36"/>
    <w:qFormat/>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tblStylePr w:type="neCell"/>
    <w:tblStylePr w:type="nwCell"/>
    <w:tblStylePr w:type="seCell"/>
    <w:tblStylePr w:type="swCell"/>
  </w:style>
  <w:style w:type="table" w:customStyle="1" w:styleId="177">
    <w:name w:val="Bordered &amp; Lined - Accent 4"/>
    <w:basedOn w:val="36"/>
    <w:qFormat/>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tblStylePr w:type="neCell"/>
    <w:tblStylePr w:type="nwCell"/>
    <w:tblStylePr w:type="seCell"/>
    <w:tblStylePr w:type="swCell"/>
  </w:style>
  <w:style w:type="table" w:customStyle="1" w:styleId="178">
    <w:name w:val="Bordered &amp; Lined - Accent 5"/>
    <w:basedOn w:val="36"/>
    <w:qFormat/>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tblStylePr w:type="neCell"/>
    <w:tblStylePr w:type="nwCell"/>
    <w:tblStylePr w:type="seCell"/>
    <w:tblStylePr w:type="swCell"/>
  </w:style>
  <w:style w:type="table" w:customStyle="1" w:styleId="179">
    <w:name w:val="Bordered &amp; Lined - Accent 6"/>
    <w:basedOn w:val="36"/>
    <w:qFormat/>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tblStylePr w:type="neCell"/>
    <w:tblStylePr w:type="nwCell"/>
    <w:tblStylePr w:type="seCell"/>
    <w:tblStylePr w:type="swCell"/>
  </w:style>
  <w:style w:type="table" w:customStyle="1" w:styleId="180">
    <w:name w:val="Bordered"/>
    <w:basedOn w:val="36"/>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81">
    <w:name w:val="Bordered - Accent 1"/>
    <w:basedOn w:val="36"/>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Vert"/>
    <w:tblStylePr w:type="band2Vert"/>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StylePr w:type="neCell"/>
    <w:tblStylePr w:type="nwCell"/>
    <w:tblStylePr w:type="seCell"/>
    <w:tblStylePr w:type="swCell"/>
  </w:style>
  <w:style w:type="table" w:customStyle="1" w:styleId="182">
    <w:name w:val="Bordered - Accent 2"/>
    <w:basedOn w:val="36"/>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Vert"/>
    <w:tblStylePr w:type="band2Vert"/>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StylePr w:type="neCell"/>
    <w:tblStylePr w:type="nwCell"/>
    <w:tblStylePr w:type="seCell"/>
    <w:tblStylePr w:type="swCell"/>
  </w:style>
  <w:style w:type="table" w:customStyle="1" w:styleId="183">
    <w:name w:val="Bordered - Accent 3"/>
    <w:basedOn w:val="36"/>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Vert"/>
    <w:tblStylePr w:type="band2Vert"/>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StylePr w:type="neCell"/>
    <w:tblStylePr w:type="nwCell"/>
    <w:tblStylePr w:type="seCell"/>
    <w:tblStylePr w:type="swCell"/>
  </w:style>
  <w:style w:type="table" w:customStyle="1" w:styleId="184">
    <w:name w:val="Bordered - Accent 4"/>
    <w:basedOn w:val="36"/>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Vert"/>
    <w:tblStylePr w:type="band2Vert"/>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StylePr w:type="neCell"/>
    <w:tblStylePr w:type="nwCell"/>
    <w:tblStylePr w:type="seCell"/>
    <w:tblStylePr w:type="swCell"/>
  </w:style>
  <w:style w:type="table" w:customStyle="1" w:styleId="185">
    <w:name w:val="Bordered - Accent 5"/>
    <w:basedOn w:val="36"/>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Vert"/>
    <w:tblStylePr w:type="band2Vert"/>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StylePr w:type="neCell"/>
    <w:tblStylePr w:type="nwCell"/>
    <w:tblStylePr w:type="seCell"/>
    <w:tblStylePr w:type="swCell"/>
  </w:style>
  <w:style w:type="table" w:customStyle="1" w:styleId="186">
    <w:name w:val="Bordered - Accent 6"/>
    <w:basedOn w:val="36"/>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Vert"/>
    <w:tblStylePr w:type="band2Vert"/>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StylePr w:type="neCell"/>
    <w:tblStylePr w:type="nwCell"/>
    <w:tblStylePr w:type="seCell"/>
    <w:tblStylePr w:type="swCell"/>
  </w:style>
  <w:style w:type="character" w:customStyle="1" w:styleId="187">
    <w:name w:val="Footnote Text Char"/>
    <w:link w:val="29"/>
    <w:qFormat/>
    <w:uiPriority w:val="99"/>
    <w:rPr>
      <w:sz w:val="18"/>
    </w:rPr>
  </w:style>
  <w:style w:type="character" w:customStyle="1" w:styleId="188">
    <w:name w:val="Endnote Text Char"/>
    <w:link w:val="23"/>
    <w:qFormat/>
    <w:uiPriority w:val="99"/>
    <w:rPr>
      <w:sz w:val="20"/>
    </w:rPr>
  </w:style>
  <w:style w:type="paragraph" w:customStyle="1" w:styleId="189">
    <w:name w:val="TOC Heading"/>
    <w:unhideWhenUsed/>
    <w:qFormat/>
    <w:uiPriority w:val="39"/>
    <w:rPr>
      <w:rFonts w:hint="default" w:ascii="Times New Roman" w:hAnsi="Times New Roman" w:eastAsia="宋体" w:cs="Times New Roman"/>
    </w:rPr>
  </w:style>
  <w:style w:type="paragraph" w:customStyle="1" w:styleId="190">
    <w:name w:val="正文1"/>
    <w:basedOn w:val="191"/>
    <w:next w:val="1"/>
    <w:qFormat/>
    <w:uiPriority w:val="0"/>
    <w:pPr>
      <w:tabs>
        <w:tab w:val="left" w:pos="1110"/>
      </w:tabs>
      <w:spacing w:before="120" w:after="120" w:line="180" w:lineRule="auto"/>
      <w:ind w:firstLine="200"/>
      <w:contextualSpacing/>
    </w:pPr>
    <w:rPr>
      <w:rFonts w:ascii="Times New Roman" w:hAnsi="Times New Roman" w:eastAsia="Adobe 仿宋 Std R" w:cs="Times New Roman"/>
      <w:sz w:val="21"/>
      <w:szCs w:val="21"/>
      <w:lang w:val="en-US" w:eastAsia="zh-CN" w:bidi="ar-SA"/>
    </w:rPr>
  </w:style>
  <w:style w:type="paragraph" w:customStyle="1" w:styleId="191">
    <w:name w:val="样式1"/>
    <w:basedOn w:val="1"/>
    <w:qFormat/>
    <w:uiPriority w:val="0"/>
    <w:pPr>
      <w:tabs>
        <w:tab w:val="left" w:pos="1110"/>
      </w:tabs>
      <w:ind w:left="432" w:firstLine="288"/>
    </w:pPr>
    <w:rPr>
      <w:rFonts w:ascii="宋体" w:hAnsi="宋体"/>
      <w:szCs w:val="21"/>
    </w:rPr>
  </w:style>
  <w:style w:type="paragraph" w:customStyle="1" w:styleId="192">
    <w:name w:val="段"/>
    <w:basedOn w:val="193"/>
    <w:next w:val="1"/>
    <w:qFormat/>
    <w:uiPriority w:val="0"/>
    <w:pPr>
      <w:ind w:firstLine="200"/>
      <w:jc w:val="both"/>
    </w:pPr>
    <w:rPr>
      <w:rFonts w:hint="default" w:ascii="宋体" w:hAnsi="Times New Roman" w:eastAsia="宋体" w:cs="Times New Roman"/>
      <w:sz w:val="21"/>
      <w:szCs w:val="22"/>
    </w:rPr>
  </w:style>
  <w:style w:type="paragraph" w:customStyle="1" w:styleId="193">
    <w:name w:val="正文13"/>
    <w:next w:val="194"/>
    <w:qFormat/>
    <w:uiPriority w:val="99"/>
    <w:pPr>
      <w:widowControl w:val="0"/>
      <w:jc w:val="both"/>
    </w:pPr>
    <w:rPr>
      <w:rFonts w:hint="default" w:ascii="Times New Roman" w:hAnsi="Times New Roman" w:eastAsia="宋体" w:cs="Times New Roman"/>
      <w:sz w:val="21"/>
      <w:szCs w:val="24"/>
      <w:lang w:val="en-US" w:eastAsia="zh-CN" w:bidi="ar-SA"/>
    </w:rPr>
  </w:style>
  <w:style w:type="paragraph" w:customStyle="1" w:styleId="194">
    <w:name w:val="正文首行缩进1"/>
    <w:basedOn w:val="195"/>
    <w:next w:val="198"/>
    <w:qFormat/>
    <w:uiPriority w:val="0"/>
    <w:pPr>
      <w:tabs>
        <w:tab w:val="left" w:pos="2020"/>
        <w:tab w:val="center" w:pos="4535"/>
      </w:tabs>
      <w:spacing w:after="120"/>
      <w:ind w:firstLine="420"/>
    </w:pPr>
    <w:rPr>
      <w:sz w:val="21"/>
    </w:rPr>
  </w:style>
  <w:style w:type="paragraph" w:customStyle="1" w:styleId="195">
    <w:name w:val="正文文本1"/>
    <w:basedOn w:val="1"/>
    <w:next w:val="196"/>
    <w:qFormat/>
    <w:uiPriority w:val="0"/>
    <w:pPr>
      <w:jc w:val="center"/>
    </w:pPr>
    <w:rPr>
      <w:rFonts w:eastAsia="仿宋_GB2312"/>
      <w:sz w:val="28"/>
    </w:rPr>
  </w:style>
  <w:style w:type="paragraph" w:customStyle="1" w:styleId="196">
    <w:name w:val="一级条标题"/>
    <w:basedOn w:val="197"/>
    <w:next w:val="192"/>
    <w:qFormat/>
    <w:uiPriority w:val="99"/>
    <w:pPr>
      <w:tabs>
        <w:tab w:val="left" w:pos="810"/>
        <w:tab w:val="left" w:pos="907"/>
        <w:tab w:val="left" w:pos="1265"/>
      </w:tabs>
      <w:spacing w:before="0" w:after="0"/>
      <w:ind w:left="907" w:hanging="907"/>
      <w:outlineLvl w:val="2"/>
    </w:pPr>
    <w:rPr>
      <w:rFonts w:hAnsi="宋体"/>
      <w:sz w:val="20"/>
      <w:szCs w:val="20"/>
    </w:rPr>
  </w:style>
  <w:style w:type="paragraph" w:customStyle="1" w:styleId="197">
    <w:name w:val="章标题"/>
    <w:basedOn w:val="1"/>
    <w:next w:val="1"/>
    <w:qFormat/>
    <w:uiPriority w:val="99"/>
    <w:pPr>
      <w:widowControl/>
      <w:spacing w:before="158" w:after="153" w:line="1292" w:lineRule="atLeast"/>
      <w:jc w:val="center"/>
    </w:pPr>
    <w:rPr>
      <w:rFonts w:ascii="Arial" w:eastAsia="黑体" w:cs="黑体"/>
      <w:sz w:val="31"/>
      <w:szCs w:val="22"/>
      <w:lang w:eastAsia="en-US"/>
    </w:rPr>
  </w:style>
  <w:style w:type="paragraph" w:customStyle="1" w:styleId="198">
    <w:name w:val="正文首行缩进 211"/>
    <w:basedOn w:val="199"/>
    <w:next w:val="200"/>
    <w:qFormat/>
    <w:uiPriority w:val="99"/>
    <w:pPr>
      <w:ind w:firstLine="420"/>
    </w:pPr>
    <w:rPr>
      <w:sz w:val="24"/>
    </w:rPr>
  </w:style>
  <w:style w:type="paragraph" w:customStyle="1" w:styleId="199">
    <w:name w:val="正文文本缩进11"/>
    <w:basedOn w:val="200"/>
    <w:next w:val="200"/>
    <w:qFormat/>
    <w:uiPriority w:val="99"/>
    <w:pPr>
      <w:ind w:firstLine="538"/>
    </w:pPr>
    <w:rPr>
      <w:sz w:val="28"/>
    </w:rPr>
  </w:style>
  <w:style w:type="paragraph" w:customStyle="1" w:styleId="200">
    <w:name w:val="正文112"/>
    <w:next w:val="194"/>
    <w:qFormat/>
    <w:uiPriority w:val="99"/>
    <w:pPr>
      <w:widowControl w:val="0"/>
      <w:jc w:val="both"/>
    </w:pPr>
    <w:rPr>
      <w:rFonts w:hint="default" w:ascii="Times New Roman" w:hAnsi="Times New Roman" w:eastAsia="宋体" w:cs="Times New Roman"/>
      <w:sz w:val="21"/>
      <w:szCs w:val="24"/>
      <w:lang w:val="en-US" w:eastAsia="zh-CN" w:bidi="ar-SA"/>
    </w:rPr>
  </w:style>
  <w:style w:type="paragraph" w:customStyle="1" w:styleId="201">
    <w:name w:val="[Normal]"/>
    <w:qFormat/>
    <w:uiPriority w:val="0"/>
    <w:rPr>
      <w:rFonts w:hint="default" w:ascii="方正仿宋简体" w:hAnsi="Times New Roman" w:eastAsia="方正仿宋简体" w:cs="Courier New"/>
      <w:sz w:val="24"/>
      <w:szCs w:val="22"/>
      <w:lang w:val="zh-CN" w:eastAsia="zh-CN" w:bidi="ar-SA"/>
    </w:rPr>
  </w:style>
  <w:style w:type="paragraph" w:customStyle="1" w:styleId="202">
    <w:name w:val="标题 21"/>
    <w:basedOn w:val="1"/>
    <w:next w:val="1"/>
    <w:qFormat/>
    <w:uiPriority w:val="0"/>
    <w:pPr>
      <w:keepNext/>
      <w:keepLines/>
      <w:spacing w:before="260" w:after="260" w:line="413" w:lineRule="auto"/>
      <w:outlineLvl w:val="1"/>
    </w:pPr>
    <w:rPr>
      <w:rFonts w:ascii="Arial" w:hAnsi="Arial" w:eastAsia="黑体"/>
      <w:b/>
      <w:sz w:val="32"/>
      <w:szCs w:val="20"/>
    </w:rPr>
  </w:style>
  <w:style w:type="paragraph" w:customStyle="1" w:styleId="203">
    <w:name w:val="正文格式"/>
    <w:qFormat/>
    <w:uiPriority w:val="0"/>
    <w:pPr>
      <w:spacing w:line="360" w:lineRule="auto"/>
      <w:ind w:firstLine="200"/>
    </w:pPr>
    <w:rPr>
      <w:rFonts w:hint="default" w:ascii="宋体" w:hAnsi="Times New Roman" w:eastAsia="宋体" w:cs="Times New Roman"/>
      <w:sz w:val="28"/>
      <w:szCs w:val="22"/>
      <w:lang w:val="en-US" w:eastAsia="zh-CN" w:bidi="ar-SA"/>
    </w:rPr>
  </w:style>
  <w:style w:type="paragraph" w:customStyle="1" w:styleId="204">
    <w:name w:val="Table Text"/>
    <w:basedOn w:val="1"/>
    <w:semiHidden/>
    <w:qFormat/>
    <w:uiPriority w:val="0"/>
    <w:rPr>
      <w:rFonts w:ascii="宋体" w:hAnsi="宋体" w:eastAsia="宋体" w:cs="宋体"/>
      <w:sz w:val="24"/>
      <w:szCs w:val="24"/>
      <w:lang w:val="en-US" w:eastAsia="en-US" w:bidi="ar-SA"/>
    </w:rPr>
  </w:style>
  <w:style w:type="table" w:customStyle="1" w:styleId="205">
    <w:name w:val="Table Normal"/>
    <w:unhideWhenUsed/>
    <w:qFormat/>
    <w:uiPriority w:val="0"/>
    <w:tblPr>
      <w:tblCellMar>
        <w:top w:w="0" w:type="dxa"/>
        <w:left w:w="0" w:type="dxa"/>
        <w:bottom w:w="0" w:type="dxa"/>
        <w:right w:w="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06">
    <w:name w:val="正文_0"/>
    <w:basedOn w:val="1"/>
    <w:qFormat/>
    <w:uiPriority w:val="0"/>
    <w:rPr>
      <w:rFonts w:ascii="Times New Roman" w:hAnsi="Times New Roman" w:eastAsia="宋体" w:cs="Times New Roman"/>
    </w:rPr>
  </w:style>
  <w:style w:type="paragraph" w:customStyle="1" w:styleId="207">
    <w:name w:val="List Paragraph"/>
    <w:basedOn w:val="1"/>
    <w:qFormat/>
    <w:uiPriority w:val="0"/>
    <w:pPr>
      <w:ind w:firstLine="200"/>
    </w:pPr>
    <w:rPr>
      <w:rFonts w:ascii="Calibri" w:hAnsi="Calibri"/>
      <w:szCs w:val="22"/>
    </w:rPr>
  </w:style>
  <w:style w:type="paragraph" w:customStyle="1" w:styleId="208">
    <w:name w:val="普通正文"/>
    <w:basedOn w:val="1"/>
    <w:qFormat/>
    <w:uiPriority w:val="0"/>
    <w:pPr>
      <w:spacing w:before="120" w:after="120" w:line="360" w:lineRule="auto"/>
      <w:ind w:firstLine="480"/>
      <w:jc w:val="left"/>
    </w:pPr>
    <w:rPr>
      <w:rFonts w:ascii="Arial" w:hAnsi="Arial"/>
      <w:sz w:val="24"/>
    </w:rPr>
  </w:style>
  <w:style w:type="character" w:customStyle="1" w:styleId="209">
    <w:name w:val="标题 3 Char"/>
    <w:basedOn w:val="38"/>
    <w:link w:val="4"/>
    <w:qFormat/>
    <w:uiPriority w:val="0"/>
    <w:rPr>
      <w:rFonts w:ascii="宋体"/>
      <w:b/>
      <w:color w:val="000000"/>
      <w:sz w:val="32"/>
      <w:szCs w:val="20"/>
    </w:rPr>
  </w:style>
  <w:style w:type="paragraph" w:customStyle="1" w:styleId="210">
    <w:name w:val="Heading 1"/>
    <w:basedOn w:val="1"/>
    <w:next w:val="1"/>
    <w:qFormat/>
    <w:uiPriority w:val="0"/>
    <w:pPr>
      <w:keepNext/>
      <w:keepLines/>
      <w:numPr>
        <w:ilvl w:val="0"/>
        <w:numId w:val="1"/>
      </w:numPr>
      <w:spacing w:before="340" w:after="330" w:line="578" w:lineRule="auto"/>
    </w:pPr>
    <w:rPr>
      <w:rFonts w:ascii="宋体"/>
      <w:b/>
      <w:color w:val="000000"/>
      <w:sz w:val="44"/>
      <w:szCs w:val="20"/>
    </w:rPr>
  </w:style>
  <w:style w:type="character" w:customStyle="1" w:styleId="211">
    <w:name w:val="NormalCharacter"/>
    <w:qFormat/>
    <w:uiPriority w:val="0"/>
  </w:style>
  <w:style w:type="character" w:customStyle="1" w:styleId="212">
    <w:name w:val="标题 2 Char"/>
    <w:link w:val="3"/>
    <w:qFormat/>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3295</Words>
  <Characters>3653</Characters>
  <TotalTime>195</TotalTime>
  <ScaleCrop>false</ScaleCrop>
  <LinksUpToDate>false</LinksUpToDate>
  <CharactersWithSpaces>3713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2024-03-14T00:27:00Z</dcterms:created>
  <dc:creator>Administrator</dc:creator>
  <cp:lastModifiedBy>尔尔.</cp:lastModifiedBy>
  <cp:lastPrinted>2024-09-19T02:42:00Z</cp:lastPrinted>
  <dcterms:modified xsi:type="dcterms:W3CDTF">2025-07-02T06:31:34Z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880A5866A93B4C3DB5ECE0023792494B_13</vt:lpwstr>
  </property>
  <property fmtid="{D5CDD505-2E9C-101B-9397-08002B2CF9AE}" pid="4" name="KSOTemplateDocerSaveRecord">
    <vt:lpwstr>eyJoZGlkIjoiNmVlOGE4ZDNlNjcyMTIzNGMwOGNkMDkyNjJjYmEzN2QiLCJ1c2VySWQiOiI0MzU0NjYxOTcifQ==</vt:lpwstr>
  </property>
</Properties>
</file>