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distribute"/>
        <w:rPr>
          <w:rFonts w:eastAsia="方正大标宋_GBK"/>
          <w:color w:val="FF0000"/>
          <w:w w:val="90"/>
          <w:sz w:val="110"/>
          <w:szCs w:val="110"/>
        </w:rPr>
      </w:pPr>
      <w:r>
        <w:rPr>
          <w:rFonts w:eastAsia="方正大标宋_GBK"/>
          <w:color w:val="FF0000"/>
          <w:w w:val="90"/>
          <w:sz w:val="110"/>
          <w:szCs w:val="110"/>
        </w:rPr>
        <w:t>淮安市财政局</w:t>
      </w:r>
    </w:p>
    <w:p>
      <w:pPr>
        <w:spacing w:line="1300" w:lineRule="exact"/>
        <w:jc w:val="distribute"/>
        <w:rPr>
          <w:rFonts w:eastAsia="方正大标宋_GBK"/>
          <w:color w:val="FF0000"/>
          <w:w w:val="90"/>
          <w:sz w:val="110"/>
          <w:szCs w:val="110"/>
        </w:rPr>
      </w:pPr>
      <w:r>
        <w:rPr>
          <w:rFonts w:eastAsia="方正大标宋_GBK"/>
          <w:color w:val="FF0000"/>
          <w:w w:val="90"/>
          <w:sz w:val="110"/>
          <w:szCs w:val="110"/>
        </w:rPr>
        <w:t>淮安市水利局</w:t>
      </w:r>
    </w:p>
    <w:p>
      <w:pPr>
        <w:spacing w:line="2200" w:lineRule="exact"/>
        <w:jc w:val="center"/>
        <w:rPr>
          <w:rFonts w:eastAsia="方正大标宋_GBK"/>
          <w:color w:val="FF0000"/>
          <w:w w:val="66"/>
          <w:sz w:val="144"/>
          <w:szCs w:val="144"/>
        </w:rPr>
      </w:pPr>
      <w:r>
        <w:rPr>
          <w:rFonts w:eastAsia="方正大标宋_GBK"/>
          <w:color w:val="FF0000"/>
          <w:w w:val="66"/>
          <w:sz w:val="144"/>
          <w:szCs w:val="144"/>
        </w:rPr>
        <w:t>文件</w:t>
      </w:r>
    </w:p>
    <w:p>
      <w:pPr>
        <w:spacing w:line="2200" w:lineRule="exact"/>
        <w:jc w:val="center"/>
        <w:rPr>
          <w:rFonts w:eastAsia="方正仿宋_GBK"/>
          <w:color w:val="FF0000"/>
          <w:w w:val="66"/>
          <w:sz w:val="144"/>
          <w:szCs w:val="144"/>
        </w:rPr>
        <w:sectPr>
          <w:footerReference r:id="rId3" w:type="default"/>
          <w:footerReference r:id="rId4" w:type="even"/>
          <w:type w:val="continuous"/>
          <w:pgSz w:w="11906" w:h="16838"/>
          <w:pgMar w:top="1701" w:right="1701" w:bottom="1701" w:left="1701" w:header="851" w:footer="992" w:gutter="0"/>
          <w:pgNumType w:fmt="numberInDash"/>
          <w:cols w:equalWidth="0" w:num="2">
            <w:col w:w="6300" w:space="105"/>
            <w:col w:w="2099"/>
          </w:cols>
          <w:docGrid w:type="lines" w:linePitch="312" w:charSpace="0"/>
        </w:sectPr>
      </w:pPr>
    </w:p>
    <w:p>
      <w:pPr>
        <w:jc w:val="center"/>
        <w:rPr>
          <w:rFonts w:eastAsia="方正仿宋_GBK"/>
          <w:sz w:val="32"/>
          <w:szCs w:val="32"/>
        </w:rPr>
      </w:pPr>
    </w:p>
    <w:p>
      <w:pPr>
        <w:pBdr>
          <w:bottom w:val="single" w:color="FF0000" w:sz="24" w:space="1"/>
        </w:pBdr>
        <w:jc w:val="center"/>
        <w:rPr>
          <w:rFonts w:eastAsia="方正仿宋_GBK"/>
          <w:sz w:val="32"/>
          <w:szCs w:val="32"/>
        </w:rPr>
      </w:pPr>
      <w:r>
        <w:rPr>
          <w:rFonts w:eastAsia="方正仿宋_GBK"/>
          <w:sz w:val="32"/>
          <w:szCs w:val="32"/>
        </w:rPr>
        <w:t>淮财规〔2023〕3号</w:t>
      </w:r>
    </w:p>
    <w:p>
      <w:pPr>
        <w:pStyle w:val="2"/>
        <w:rPr>
          <w:rFonts w:ascii="Times New Roman" w:hAnsi="Times New Roman" w:cs="Times New Roman"/>
          <w:sz w:val="32"/>
          <w:szCs w:val="32"/>
        </w:rPr>
      </w:pPr>
    </w:p>
    <w:p>
      <w:pPr>
        <w:spacing w:line="560" w:lineRule="exact"/>
        <w:jc w:val="center"/>
        <w:rPr>
          <w:rFonts w:eastAsia="方正小标宋_GBK"/>
          <w:sz w:val="44"/>
          <w:szCs w:val="44"/>
        </w:rPr>
      </w:pPr>
      <w:r>
        <w:rPr>
          <w:rFonts w:eastAsia="方正小标宋_GBK"/>
          <w:sz w:val="44"/>
          <w:szCs w:val="44"/>
        </w:rPr>
        <w:t>淮安市财政局  淮安市水利局关于印发</w:t>
      </w:r>
    </w:p>
    <w:p>
      <w:pPr>
        <w:spacing w:line="560" w:lineRule="exact"/>
        <w:jc w:val="center"/>
        <w:rPr>
          <w:rFonts w:eastAsia="方正小标宋_GBK"/>
          <w:sz w:val="44"/>
          <w:szCs w:val="44"/>
        </w:rPr>
      </w:pPr>
      <w:r>
        <w:rPr>
          <w:rFonts w:hint="eastAsia" w:eastAsia="方正小标宋_GBK"/>
          <w:sz w:val="44"/>
          <w:szCs w:val="44"/>
        </w:rPr>
        <w:t>《</w:t>
      </w:r>
      <w:r>
        <w:rPr>
          <w:rFonts w:eastAsia="方正小标宋_GBK"/>
          <w:sz w:val="44"/>
          <w:szCs w:val="44"/>
        </w:rPr>
        <w:t>淮安市市级水利工程维修养护专项资金</w:t>
      </w:r>
    </w:p>
    <w:p>
      <w:pPr>
        <w:spacing w:line="560" w:lineRule="exact"/>
        <w:jc w:val="center"/>
        <w:rPr>
          <w:rFonts w:eastAsia="方正小标宋_GBK"/>
          <w:sz w:val="44"/>
          <w:szCs w:val="44"/>
        </w:rPr>
      </w:pPr>
      <w:r>
        <w:rPr>
          <w:rFonts w:eastAsia="方正小标宋_GBK"/>
          <w:sz w:val="44"/>
          <w:szCs w:val="44"/>
        </w:rPr>
        <w:t>管理办法</w:t>
      </w:r>
      <w:r>
        <w:rPr>
          <w:rFonts w:hint="eastAsia" w:eastAsia="方正小标宋_GBK"/>
          <w:sz w:val="44"/>
          <w:szCs w:val="44"/>
        </w:rPr>
        <w:t>》</w:t>
      </w:r>
      <w:r>
        <w:rPr>
          <w:rFonts w:eastAsia="方正小标宋_GBK"/>
          <w:sz w:val="44"/>
          <w:szCs w:val="44"/>
        </w:rPr>
        <w:t>的通知</w:t>
      </w:r>
    </w:p>
    <w:p>
      <w:pPr>
        <w:spacing w:line="520" w:lineRule="exact"/>
        <w:ind w:firstLine="420" w:firstLineChars="200"/>
        <w:jc w:val="center"/>
        <w:rPr>
          <w:rFonts w:eastAsia="方正仿宋_GBK"/>
        </w:rPr>
      </w:pPr>
    </w:p>
    <w:p>
      <w:pPr>
        <w:spacing w:line="520" w:lineRule="exact"/>
        <w:rPr>
          <w:rFonts w:eastAsia="方正仿宋_GBK"/>
          <w:sz w:val="32"/>
          <w:szCs w:val="32"/>
        </w:rPr>
      </w:pPr>
      <w:r>
        <w:rPr>
          <w:rFonts w:eastAsia="方正仿宋_GBK"/>
          <w:sz w:val="32"/>
          <w:szCs w:val="32"/>
        </w:rPr>
        <w:t>各县（区）财政局、水利（水务、农水）局、经济技术开发区社会事业局，局属各有关工程管理单位：</w:t>
      </w:r>
    </w:p>
    <w:p>
      <w:pPr>
        <w:spacing w:line="520" w:lineRule="exact"/>
        <w:ind w:firstLine="640" w:firstLineChars="200"/>
        <w:rPr>
          <w:rFonts w:eastAsia="方正仿宋_GBK"/>
          <w:sz w:val="32"/>
          <w:szCs w:val="32"/>
        </w:rPr>
      </w:pPr>
      <w:r>
        <w:rPr>
          <w:rFonts w:eastAsia="方正仿宋_GBK"/>
          <w:sz w:val="32"/>
          <w:szCs w:val="32"/>
        </w:rPr>
        <w:t>为进一步规范全市市级水利工程维修养护专项资金使用管理，提高财政资金使用效益，市财政局、市水利局制定了《淮安市市级水利工程维修养护专项资金管理办法》。现印发给你们，请遵照执行。</w:t>
      </w:r>
    </w:p>
    <w:p>
      <w:pPr>
        <w:spacing w:line="520" w:lineRule="exact"/>
        <w:ind w:right="1280"/>
        <w:rPr>
          <w:rFonts w:eastAsia="方正仿宋_GBK"/>
          <w:sz w:val="32"/>
          <w:szCs w:val="32"/>
        </w:rPr>
      </w:pPr>
    </w:p>
    <w:p>
      <w:pPr>
        <w:spacing w:line="520" w:lineRule="exact"/>
        <w:ind w:firstLine="640" w:firstLineChars="200"/>
        <w:rPr>
          <w:rFonts w:eastAsia="方正仿宋_GBK"/>
          <w:sz w:val="32"/>
          <w:szCs w:val="32"/>
        </w:rPr>
      </w:pPr>
      <w:r>
        <w:rPr>
          <w:rFonts w:eastAsia="方正仿宋_GBK"/>
          <w:sz w:val="32"/>
          <w:szCs w:val="32"/>
        </w:rPr>
        <w:t>淮安市财政局                   淮安市水利局</w:t>
      </w:r>
    </w:p>
    <w:p>
      <w:pPr>
        <w:pStyle w:val="14"/>
        <w:spacing w:line="520" w:lineRule="exact"/>
        <w:ind w:firstLine="5385" w:firstLineChars="1683"/>
        <w:rPr>
          <w:rFonts w:eastAsia="方正仿宋_GBK"/>
        </w:rPr>
      </w:pPr>
      <w:r>
        <w:rPr>
          <w:rFonts w:eastAsia="方正仿宋_GBK"/>
        </w:rPr>
        <w:t>2023年6月16日</w:t>
      </w:r>
    </w:p>
    <w:p>
      <w:pPr>
        <w:overflowPunct w:val="0"/>
        <w:spacing w:line="520" w:lineRule="exact"/>
        <w:rPr>
          <w:rFonts w:eastAsia="方正仿宋_GBK"/>
          <w:sz w:val="32"/>
          <w:szCs w:val="32"/>
        </w:rPr>
      </w:pPr>
    </w:p>
    <w:p>
      <w:pPr>
        <w:pStyle w:val="2"/>
        <w:rPr>
          <w:rFonts w:ascii="Times New Roman" w:hAnsi="Times New Roman" w:eastAsia="方正小标宋_GBK" w:cs="Times New Roman"/>
          <w:sz w:val="32"/>
          <w:szCs w:val="32"/>
        </w:rPr>
      </w:pPr>
      <w:r>
        <w:rPr>
          <w:rFonts w:ascii="Times New Roman" w:hAnsi="Times New Roman" w:eastAsia="方正黑体_GBK" w:cs="Times New Roman"/>
          <w:sz w:val="32"/>
          <w:szCs w:val="32"/>
        </w:rPr>
        <w:t>信息公开选项：</w:t>
      </w:r>
      <w:r>
        <w:rPr>
          <w:rFonts w:ascii="Times New Roman" w:hAnsi="Times New Roman" w:eastAsia="方正小标宋_GBK" w:cs="Times New Roman"/>
          <w:sz w:val="32"/>
          <w:szCs w:val="32"/>
        </w:rPr>
        <w:t>主动公开</w:t>
      </w:r>
    </w:p>
    <w:p>
      <w:pPr>
        <w:pStyle w:val="2"/>
        <w:pBdr>
          <w:top w:val="single" w:color="auto" w:sz="6" w:space="1"/>
          <w:bottom w:val="single" w:color="auto" w:sz="6" w:space="1"/>
        </w:pBdr>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淮安市财政局办公室                   2023年6月16日印发</w:t>
      </w:r>
    </w:p>
    <w:p>
      <w:pPr>
        <w:overflowPunct w:val="0"/>
        <w:spacing w:line="560" w:lineRule="exact"/>
      </w:pPr>
    </w:p>
    <w:p>
      <w:pPr>
        <w:overflowPunct w:val="0"/>
        <w:spacing w:line="560" w:lineRule="exact"/>
        <w:jc w:val="center"/>
        <w:rPr>
          <w:rFonts w:eastAsia="方正小标宋简体"/>
          <w:sz w:val="44"/>
          <w:szCs w:val="44"/>
        </w:rPr>
      </w:pPr>
      <w:r>
        <w:rPr>
          <w:rFonts w:eastAsia="方正小标宋简体"/>
          <w:sz w:val="44"/>
          <w:szCs w:val="44"/>
        </w:rPr>
        <w:t>市级水利工程维修养护专项资金管理办法</w:t>
      </w:r>
    </w:p>
    <w:p>
      <w:pPr>
        <w:tabs>
          <w:tab w:val="left" w:pos="1080"/>
        </w:tabs>
        <w:overflowPunct w:val="0"/>
        <w:spacing w:line="560" w:lineRule="exact"/>
        <w:jc w:val="center"/>
        <w:rPr>
          <w:rFonts w:eastAsia="方正仿宋_GBK"/>
          <w:sz w:val="32"/>
          <w:szCs w:val="32"/>
        </w:rPr>
      </w:pPr>
    </w:p>
    <w:p>
      <w:pPr>
        <w:tabs>
          <w:tab w:val="left" w:pos="1080"/>
        </w:tabs>
        <w:overflowPunct w:val="0"/>
        <w:snapToGrid w:val="0"/>
        <w:spacing w:line="560" w:lineRule="exact"/>
        <w:jc w:val="center"/>
        <w:rPr>
          <w:rFonts w:eastAsia="黑体"/>
          <w:sz w:val="32"/>
          <w:szCs w:val="32"/>
        </w:rPr>
      </w:pPr>
      <w:r>
        <w:rPr>
          <w:rFonts w:eastAsia="黑体"/>
          <w:sz w:val="32"/>
          <w:szCs w:val="32"/>
        </w:rPr>
        <w:t>第一章　总则</w:t>
      </w:r>
    </w:p>
    <w:p>
      <w:pPr>
        <w:overflowPunct w:val="0"/>
        <w:snapToGrid w:val="0"/>
        <w:spacing w:line="560" w:lineRule="exact"/>
        <w:ind w:firstLine="640" w:firstLineChars="200"/>
        <w:rPr>
          <w:rFonts w:eastAsia="方正黑体_GBK"/>
          <w:sz w:val="32"/>
          <w:szCs w:val="32"/>
        </w:rPr>
      </w:pPr>
    </w:p>
    <w:p>
      <w:pPr>
        <w:overflowPunct w:val="0"/>
        <w:snapToGrid w:val="0"/>
        <w:spacing w:line="560" w:lineRule="exact"/>
        <w:ind w:firstLine="640" w:firstLineChars="200"/>
        <w:rPr>
          <w:rFonts w:eastAsia="方正仿宋_GBK"/>
          <w:sz w:val="32"/>
          <w:szCs w:val="32"/>
        </w:rPr>
      </w:pPr>
      <w:r>
        <w:rPr>
          <w:rFonts w:eastAsia="方正黑体_GBK"/>
          <w:bCs/>
          <w:sz w:val="32"/>
          <w:szCs w:val="32"/>
        </w:rPr>
        <w:t>第一条</w:t>
      </w:r>
      <w:r>
        <w:rPr>
          <w:rFonts w:eastAsia="方正仿宋_GBK"/>
          <w:sz w:val="32"/>
          <w:szCs w:val="32"/>
        </w:rPr>
        <w:t xml:space="preserve">  为加强和规范市级水利工程维修养护专项资金管理，维护水利工程完整完好，确保水利工程良性运行，提高财政资金使用效益，根据《中华人民共和国预算法》 《江苏省省级水利发展资金管理办法》（苏财规〔2019〕8号） 《淮安市市级财政专项资金管理办法》（淮政规〔2022〕6号）等有关规定，制定本办法。</w:t>
      </w:r>
    </w:p>
    <w:p>
      <w:pPr>
        <w:overflowPunct w:val="0"/>
        <w:snapToGrid w:val="0"/>
        <w:spacing w:line="560" w:lineRule="exact"/>
        <w:ind w:firstLine="640" w:firstLineChars="200"/>
        <w:rPr>
          <w:rFonts w:eastAsia="方正仿宋_GBK"/>
          <w:sz w:val="32"/>
          <w:szCs w:val="32"/>
        </w:rPr>
      </w:pPr>
      <w:r>
        <w:rPr>
          <w:rFonts w:eastAsia="方正黑体_GBK"/>
          <w:bCs/>
          <w:sz w:val="32"/>
          <w:szCs w:val="32"/>
        </w:rPr>
        <w:t xml:space="preserve">第二条  </w:t>
      </w:r>
      <w:r>
        <w:rPr>
          <w:rFonts w:eastAsia="方正仿宋_GBK"/>
          <w:sz w:val="32"/>
          <w:szCs w:val="32"/>
        </w:rPr>
        <w:t>本办法所称市级水利工程维修养护专项资金（以下简称“专项资金”）是指由市财政设立，纳入市级财政预算管理，主要用于市管水利工程、水库工程、骨干河道堤防、泵站、涵闸和水电站等维修养护，河湖网格化管理的财政专项资金。</w:t>
      </w:r>
    </w:p>
    <w:p>
      <w:pPr>
        <w:overflowPunct w:val="0"/>
        <w:snapToGrid w:val="0"/>
        <w:spacing w:line="560" w:lineRule="exact"/>
        <w:ind w:firstLine="640" w:firstLineChars="200"/>
        <w:rPr>
          <w:rFonts w:eastAsia="方正仿宋_GBK"/>
          <w:sz w:val="32"/>
          <w:szCs w:val="32"/>
        </w:rPr>
      </w:pPr>
      <w:r>
        <w:rPr>
          <w:rFonts w:eastAsia="方正黑体_GBK"/>
          <w:bCs/>
          <w:sz w:val="32"/>
          <w:szCs w:val="32"/>
        </w:rPr>
        <w:t xml:space="preserve">第三条  </w:t>
      </w:r>
      <w:r>
        <w:rPr>
          <w:rFonts w:eastAsia="方正仿宋_GBK"/>
          <w:sz w:val="32"/>
          <w:szCs w:val="32"/>
        </w:rPr>
        <w:t>专项资金由市财政局会同市水利局按照各自职能分工共同管理，按照“科学规范、公开透明、统筹兼顾、突出重点、强化监督”的原则分配、使用和管理。</w:t>
      </w:r>
    </w:p>
    <w:p>
      <w:pPr>
        <w:tabs>
          <w:tab w:val="left" w:pos="1080"/>
        </w:tabs>
        <w:overflowPunct w:val="0"/>
        <w:snapToGrid w:val="0"/>
        <w:spacing w:line="560" w:lineRule="exact"/>
        <w:jc w:val="center"/>
        <w:rPr>
          <w:rFonts w:eastAsia="黑体"/>
          <w:sz w:val="32"/>
          <w:szCs w:val="32"/>
        </w:rPr>
      </w:pPr>
    </w:p>
    <w:p>
      <w:pPr>
        <w:tabs>
          <w:tab w:val="left" w:pos="1080"/>
        </w:tabs>
        <w:overflowPunct w:val="0"/>
        <w:snapToGrid w:val="0"/>
        <w:spacing w:line="560" w:lineRule="exact"/>
        <w:jc w:val="center"/>
        <w:rPr>
          <w:rFonts w:eastAsia="黑体"/>
          <w:sz w:val="32"/>
          <w:szCs w:val="32"/>
        </w:rPr>
      </w:pPr>
      <w:r>
        <w:rPr>
          <w:rFonts w:eastAsia="黑体"/>
          <w:sz w:val="32"/>
          <w:szCs w:val="32"/>
        </w:rPr>
        <w:t>第二章　管理职责</w:t>
      </w:r>
    </w:p>
    <w:p>
      <w:pPr>
        <w:overflowPunct w:val="0"/>
        <w:snapToGrid w:val="0"/>
        <w:spacing w:line="560" w:lineRule="exact"/>
        <w:ind w:firstLine="640" w:firstLineChars="200"/>
        <w:rPr>
          <w:rFonts w:eastAsia="方正黑体_GBK"/>
          <w:sz w:val="32"/>
          <w:szCs w:val="32"/>
        </w:rPr>
      </w:pPr>
    </w:p>
    <w:p>
      <w:pPr>
        <w:overflowPunct w:val="0"/>
        <w:snapToGrid w:val="0"/>
        <w:spacing w:line="560" w:lineRule="exact"/>
        <w:ind w:firstLine="640" w:firstLineChars="200"/>
        <w:rPr>
          <w:rFonts w:eastAsia="方正仿宋_GBK"/>
          <w:sz w:val="32"/>
          <w:szCs w:val="32"/>
        </w:rPr>
      </w:pPr>
      <w:r>
        <w:rPr>
          <w:rFonts w:eastAsia="方正黑体_GBK"/>
          <w:bCs/>
          <w:sz w:val="32"/>
          <w:szCs w:val="32"/>
        </w:rPr>
        <w:t>第四条  市财政局职责：</w:t>
      </w:r>
      <w:r>
        <w:rPr>
          <w:rFonts w:eastAsia="方正仿宋_GBK"/>
          <w:sz w:val="32"/>
          <w:szCs w:val="32"/>
        </w:rPr>
        <w:t>会同市水利局制定和完善专项资金管理办法；组织专项资金预算的编制和执行；组织开展预算绩效管理；对专项资金政策执行情况进行监督，指导县（区）加强资金管理；依法依规公开专项资金相关信息等。</w:t>
      </w:r>
    </w:p>
    <w:p>
      <w:pPr>
        <w:overflowPunct w:val="0"/>
        <w:adjustRightInd w:val="0"/>
        <w:snapToGrid w:val="0"/>
        <w:spacing w:line="560" w:lineRule="exact"/>
        <w:ind w:firstLine="640"/>
        <w:rPr>
          <w:rFonts w:eastAsia="方正仿宋_GBK"/>
          <w:sz w:val="32"/>
          <w:szCs w:val="32"/>
        </w:rPr>
      </w:pPr>
      <w:r>
        <w:rPr>
          <w:rFonts w:eastAsia="方正黑体_GBK"/>
          <w:bCs/>
          <w:sz w:val="32"/>
          <w:szCs w:val="32"/>
        </w:rPr>
        <w:t>第五条  市水利局职责：</w:t>
      </w:r>
      <w:r>
        <w:rPr>
          <w:rFonts w:eastAsia="方正仿宋_GBK"/>
          <w:sz w:val="32"/>
          <w:szCs w:val="32"/>
        </w:rPr>
        <w:t>会同市财政局制定年度专项资金实施方案；</w:t>
      </w:r>
      <w:r>
        <w:rPr>
          <w:rFonts w:eastAsia="方正仿宋_GBK"/>
          <w:sz w:val="32"/>
        </w:rPr>
        <w:t>负责提出资金分配建议计划；对资金使用、执行情况进行监督；指导县（区）水利部门做好资金管理和绩效评价；负责组织</w:t>
      </w:r>
      <w:r>
        <w:rPr>
          <w:rFonts w:eastAsia="方正仿宋_GBK"/>
          <w:sz w:val="32"/>
          <w:szCs w:val="32"/>
        </w:rPr>
        <w:t>市河湖网格化管理单位对相关市管水利工程养护项目实施监督等。</w:t>
      </w:r>
    </w:p>
    <w:p>
      <w:pPr>
        <w:overflowPunct w:val="0"/>
        <w:snapToGrid w:val="0"/>
        <w:spacing w:line="560" w:lineRule="exact"/>
        <w:ind w:firstLine="640" w:firstLineChars="200"/>
        <w:rPr>
          <w:rFonts w:eastAsia="方正黑体_GBK"/>
          <w:bCs/>
          <w:sz w:val="32"/>
          <w:szCs w:val="32"/>
        </w:rPr>
      </w:pPr>
      <w:r>
        <w:rPr>
          <w:rFonts w:eastAsia="方正黑体_GBK"/>
          <w:bCs/>
          <w:sz w:val="32"/>
          <w:szCs w:val="32"/>
        </w:rPr>
        <w:t xml:space="preserve">第六条 </w:t>
      </w:r>
      <w:r>
        <w:rPr>
          <w:rFonts w:eastAsia="方正仿宋_GBK"/>
          <w:sz w:val="32"/>
        </w:rPr>
        <w:t>县区财政、</w:t>
      </w:r>
      <w:r>
        <w:rPr>
          <w:rFonts w:eastAsia="方正仿宋_GBK"/>
          <w:sz w:val="32"/>
          <w:szCs w:val="32"/>
        </w:rPr>
        <w:t>水利部门在项目实施过程中的职责，由各地依据本办法，结合实际工作需要，参照市财政局、市水利局分工，按照权责对等的原则，具体落实资金和任务清单分解下达、资金使用管理、项目实施管理、绩效管理、监督等监管工作。</w:t>
      </w:r>
    </w:p>
    <w:p>
      <w:pPr>
        <w:overflowPunct w:val="0"/>
        <w:snapToGrid w:val="0"/>
        <w:spacing w:line="560" w:lineRule="exact"/>
        <w:ind w:firstLine="640" w:firstLineChars="200"/>
        <w:rPr>
          <w:rFonts w:eastAsia="方正黑体_GBK"/>
          <w:bCs/>
          <w:sz w:val="32"/>
          <w:szCs w:val="32"/>
        </w:rPr>
      </w:pPr>
      <w:r>
        <w:rPr>
          <w:rFonts w:eastAsia="方正黑体_GBK"/>
          <w:bCs/>
          <w:sz w:val="32"/>
          <w:szCs w:val="32"/>
        </w:rPr>
        <w:t>第七条  项目实施单位职责：</w:t>
      </w:r>
    </w:p>
    <w:p>
      <w:pPr>
        <w:overflowPunct w:val="0"/>
        <w:snapToGrid w:val="0"/>
        <w:spacing w:line="560" w:lineRule="exact"/>
        <w:ind w:firstLine="640" w:firstLineChars="200"/>
        <w:rPr>
          <w:rFonts w:eastAsia="方正仿宋_GBK"/>
          <w:sz w:val="32"/>
          <w:szCs w:val="32"/>
        </w:rPr>
      </w:pPr>
      <w:r>
        <w:rPr>
          <w:rFonts w:eastAsia="方正仿宋_GBK"/>
          <w:sz w:val="32"/>
          <w:szCs w:val="32"/>
        </w:rPr>
        <w:t>（一）在同级财政、水利部门指导下开展项目申报和实施工作，对项目申报的真实性、合规性和合理性负责，是项目实施的质量、进度、安全、档案管理和资金使用的责任主体；</w:t>
      </w:r>
    </w:p>
    <w:p>
      <w:pPr>
        <w:overflowPunct w:val="0"/>
        <w:snapToGrid w:val="0"/>
        <w:spacing w:line="560" w:lineRule="exact"/>
        <w:ind w:firstLine="640" w:firstLineChars="200"/>
        <w:rPr>
          <w:rFonts w:eastAsia="方正仿宋_GBK"/>
          <w:sz w:val="32"/>
          <w:szCs w:val="32"/>
        </w:rPr>
      </w:pPr>
      <w:r>
        <w:rPr>
          <w:rFonts w:eastAsia="方正仿宋_GBK"/>
          <w:sz w:val="32"/>
          <w:szCs w:val="32"/>
        </w:rPr>
        <w:t>（二）编制项目实施方案，建立健全项目实施管理制度，依法组织项目实施；</w:t>
      </w:r>
    </w:p>
    <w:p>
      <w:pPr>
        <w:overflowPunct w:val="0"/>
        <w:snapToGrid w:val="0"/>
        <w:spacing w:line="560" w:lineRule="exact"/>
        <w:ind w:firstLine="640" w:firstLineChars="200"/>
        <w:rPr>
          <w:rFonts w:eastAsia="方正仿宋_GBK"/>
          <w:sz w:val="32"/>
          <w:szCs w:val="32"/>
        </w:rPr>
      </w:pPr>
      <w:r>
        <w:rPr>
          <w:rFonts w:eastAsia="方正仿宋_GBK"/>
          <w:sz w:val="32"/>
          <w:szCs w:val="32"/>
        </w:rPr>
        <w:t>（三）项目实施完成后，按照规定需要实施项目验收的，向本级业务主管部门提交项目验收申请；</w:t>
      </w:r>
    </w:p>
    <w:p>
      <w:pPr>
        <w:overflowPunct w:val="0"/>
        <w:snapToGrid w:val="0"/>
        <w:spacing w:line="560" w:lineRule="exact"/>
        <w:ind w:firstLine="640" w:firstLineChars="200"/>
        <w:rPr>
          <w:rFonts w:eastAsia="方正仿宋_GBK"/>
          <w:sz w:val="32"/>
          <w:szCs w:val="32"/>
        </w:rPr>
      </w:pPr>
      <w:r>
        <w:rPr>
          <w:rFonts w:eastAsia="方正仿宋_GBK"/>
          <w:sz w:val="32"/>
          <w:szCs w:val="32"/>
        </w:rPr>
        <w:t>（四）主动接受和配合项目绩效评价、检查审计；</w:t>
      </w:r>
    </w:p>
    <w:p>
      <w:pPr>
        <w:overflowPunct w:val="0"/>
        <w:snapToGrid w:val="0"/>
        <w:spacing w:line="560" w:lineRule="exact"/>
        <w:ind w:firstLine="640" w:firstLineChars="200"/>
        <w:rPr>
          <w:rFonts w:eastAsia="方正仿宋_GBK"/>
          <w:sz w:val="32"/>
          <w:szCs w:val="32"/>
        </w:rPr>
      </w:pPr>
      <w:r>
        <w:rPr>
          <w:rFonts w:eastAsia="方正仿宋_GBK"/>
          <w:sz w:val="32"/>
          <w:szCs w:val="32"/>
        </w:rPr>
        <w:t>（五）法律、法规、规章等规定的其他职责。</w:t>
      </w:r>
    </w:p>
    <w:p>
      <w:pPr>
        <w:overflowPunct w:val="0"/>
        <w:snapToGrid w:val="0"/>
        <w:spacing w:line="560" w:lineRule="exact"/>
        <w:ind w:firstLine="640" w:firstLineChars="200"/>
        <w:rPr>
          <w:rFonts w:eastAsia="方正仿宋_GBK"/>
          <w:sz w:val="32"/>
          <w:szCs w:val="32"/>
        </w:rPr>
      </w:pPr>
    </w:p>
    <w:p>
      <w:pPr>
        <w:tabs>
          <w:tab w:val="left" w:pos="1080"/>
        </w:tabs>
        <w:overflowPunct w:val="0"/>
        <w:snapToGrid w:val="0"/>
        <w:spacing w:line="560" w:lineRule="exact"/>
        <w:jc w:val="center"/>
        <w:rPr>
          <w:rFonts w:eastAsia="黑体"/>
          <w:sz w:val="32"/>
          <w:szCs w:val="32"/>
        </w:rPr>
      </w:pPr>
      <w:r>
        <w:rPr>
          <w:rFonts w:eastAsia="黑体"/>
          <w:sz w:val="32"/>
          <w:szCs w:val="32"/>
        </w:rPr>
        <w:t>第三章　资金使用范围和方式</w:t>
      </w:r>
    </w:p>
    <w:p>
      <w:pPr>
        <w:overflowPunct w:val="0"/>
        <w:snapToGrid w:val="0"/>
        <w:spacing w:line="560" w:lineRule="exact"/>
        <w:ind w:firstLine="640" w:firstLineChars="200"/>
        <w:rPr>
          <w:rFonts w:eastAsia="方正黑体_GBK"/>
          <w:sz w:val="32"/>
          <w:szCs w:val="32"/>
        </w:rPr>
      </w:pPr>
    </w:p>
    <w:p>
      <w:pPr>
        <w:overflowPunct w:val="0"/>
        <w:snapToGrid w:val="0"/>
        <w:spacing w:line="560" w:lineRule="exact"/>
        <w:ind w:firstLine="640" w:firstLineChars="200"/>
        <w:rPr>
          <w:rFonts w:eastAsia="方正黑体_GBK"/>
          <w:bCs/>
          <w:sz w:val="32"/>
          <w:szCs w:val="32"/>
        </w:rPr>
      </w:pPr>
      <w:r>
        <w:rPr>
          <w:rFonts w:eastAsia="方正黑体_GBK"/>
          <w:bCs/>
          <w:sz w:val="32"/>
          <w:szCs w:val="32"/>
        </w:rPr>
        <w:t>第八条　专项资金用于以下范围：</w:t>
      </w:r>
    </w:p>
    <w:p>
      <w:pPr>
        <w:overflowPunct w:val="0"/>
        <w:snapToGrid w:val="0"/>
        <w:spacing w:line="560" w:lineRule="exact"/>
        <w:ind w:firstLine="640" w:firstLineChars="200"/>
        <w:rPr>
          <w:rFonts w:eastAsia="方正仿宋_GBK"/>
          <w:sz w:val="32"/>
          <w:szCs w:val="32"/>
        </w:rPr>
      </w:pPr>
      <w:r>
        <w:rPr>
          <w:rFonts w:eastAsia="方正仿宋_GBK"/>
          <w:sz w:val="32"/>
          <w:szCs w:val="32"/>
        </w:rPr>
        <w:t>（一）市管水利工程、泵站、涵闸、水电站、水库工程及工程附属设施的维修养护、白蚁防治、水土保持、安全鉴定、划界确权、检测监测、动力及材料消耗、水库管护等；</w:t>
      </w:r>
    </w:p>
    <w:p>
      <w:pPr>
        <w:overflowPunct w:val="0"/>
        <w:snapToGrid w:val="0"/>
        <w:spacing w:line="560" w:lineRule="exact"/>
        <w:ind w:firstLine="640" w:firstLineChars="200"/>
        <w:rPr>
          <w:rFonts w:eastAsia="方正仿宋_GBK"/>
          <w:sz w:val="32"/>
          <w:szCs w:val="32"/>
        </w:rPr>
      </w:pPr>
      <w:r>
        <w:rPr>
          <w:rFonts w:eastAsia="方正仿宋_GBK"/>
          <w:sz w:val="32"/>
          <w:szCs w:val="32"/>
        </w:rPr>
        <w:t>（二）市管河湖堤防工程维修养护、湖泊管理与保护、网格化管理补助经费，河湖管理范围划定成果复核、运用及维护等。</w:t>
      </w:r>
    </w:p>
    <w:p>
      <w:pPr>
        <w:overflowPunct w:val="0"/>
        <w:adjustRightInd w:val="0"/>
        <w:snapToGrid w:val="0"/>
        <w:spacing w:line="560" w:lineRule="exact"/>
        <w:ind w:firstLine="640" w:firstLineChars="200"/>
        <w:rPr>
          <w:rFonts w:eastAsia="方正仿宋_GBK"/>
          <w:sz w:val="32"/>
        </w:rPr>
      </w:pPr>
      <w:r>
        <w:rPr>
          <w:rFonts w:eastAsia="方正黑体_GBK"/>
          <w:bCs/>
          <w:sz w:val="32"/>
          <w:szCs w:val="32"/>
        </w:rPr>
        <w:t>第九条　</w:t>
      </w:r>
      <w:r>
        <w:rPr>
          <w:rFonts w:eastAsia="方正仿宋_GBK"/>
          <w:sz w:val="32"/>
          <w:szCs w:val="32"/>
        </w:rPr>
        <w:t>专项资金不得</w:t>
      </w:r>
      <w:r>
        <w:rPr>
          <w:rFonts w:eastAsia="方正仿宋_GBK"/>
          <w:sz w:val="32"/>
        </w:rPr>
        <w:t>截留、挤占或挪用，不得用于兴建楼堂馆所、征地移民、城市景观、财政补助单位人员经费和运转经费、交通工具和办公设备购置等与维修养护无关的支出。</w:t>
      </w:r>
    </w:p>
    <w:p>
      <w:pPr>
        <w:pStyle w:val="3"/>
        <w:overflowPunct w:val="0"/>
        <w:spacing w:line="560" w:lineRule="exact"/>
        <w:rPr>
          <w:rFonts w:hint="default" w:ascii="Times New Roman" w:hAnsi="Times New Roman"/>
        </w:rPr>
      </w:pPr>
    </w:p>
    <w:p>
      <w:pPr>
        <w:tabs>
          <w:tab w:val="left" w:pos="1080"/>
        </w:tabs>
        <w:overflowPunct w:val="0"/>
        <w:snapToGrid w:val="0"/>
        <w:spacing w:line="560" w:lineRule="exact"/>
        <w:jc w:val="center"/>
        <w:rPr>
          <w:rFonts w:eastAsia="黑体"/>
          <w:sz w:val="32"/>
          <w:szCs w:val="32"/>
        </w:rPr>
      </w:pPr>
      <w:r>
        <w:rPr>
          <w:rFonts w:eastAsia="黑体"/>
          <w:sz w:val="32"/>
          <w:szCs w:val="32"/>
        </w:rPr>
        <w:t>第四章　资金分配和下达</w:t>
      </w:r>
    </w:p>
    <w:p>
      <w:pPr>
        <w:overflowPunct w:val="0"/>
        <w:snapToGrid w:val="0"/>
        <w:spacing w:line="560" w:lineRule="exact"/>
        <w:ind w:firstLine="640" w:firstLineChars="200"/>
        <w:rPr>
          <w:rFonts w:eastAsia="方正黑体_GBK"/>
          <w:bCs/>
          <w:sz w:val="32"/>
          <w:szCs w:val="32"/>
        </w:rPr>
      </w:pPr>
    </w:p>
    <w:p>
      <w:pPr>
        <w:overflowPunct w:val="0"/>
        <w:snapToGrid w:val="0"/>
        <w:spacing w:line="560" w:lineRule="exact"/>
        <w:ind w:firstLine="640" w:firstLineChars="200"/>
        <w:rPr>
          <w:rFonts w:eastAsia="方正仿宋_GBK"/>
          <w:sz w:val="32"/>
          <w:szCs w:val="32"/>
        </w:rPr>
      </w:pPr>
      <w:r>
        <w:rPr>
          <w:rFonts w:eastAsia="方正黑体_GBK"/>
          <w:bCs/>
          <w:sz w:val="32"/>
          <w:szCs w:val="32"/>
        </w:rPr>
        <w:t xml:space="preserve">第十条 </w:t>
      </w:r>
      <w:r>
        <w:rPr>
          <w:rFonts w:eastAsia="方正仿宋_GBK"/>
          <w:sz w:val="32"/>
          <w:szCs w:val="32"/>
        </w:rPr>
        <w:t xml:space="preserve"> 专项资金按因素法和项目法进行分配。水利工程维修项目采用项目法分配，其他采用因素法分配；分配因素为工程设施数量、类型、资产价值、年度工作任务及完成情况等。流域性河道和湖泊的管控、监测评估、规划编制，市级堤防工程维修采用项目法分配；其他按因素法分配，分配因素为河道长度、湖泊面积、年度工作目标任务及河湖管理保护成效等。</w:t>
      </w:r>
    </w:p>
    <w:p>
      <w:pPr>
        <w:overflowPunct w:val="0"/>
        <w:snapToGrid w:val="0"/>
        <w:spacing w:line="560" w:lineRule="exact"/>
        <w:ind w:firstLine="640" w:firstLineChars="200"/>
        <w:rPr>
          <w:rFonts w:eastAsia="方正仿宋_GBK"/>
          <w:sz w:val="32"/>
          <w:szCs w:val="32"/>
        </w:rPr>
      </w:pPr>
      <w:r>
        <w:rPr>
          <w:rFonts w:eastAsia="方正黑体_GBK"/>
          <w:bCs/>
          <w:sz w:val="32"/>
          <w:szCs w:val="32"/>
        </w:rPr>
        <w:t xml:space="preserve">第十一条  </w:t>
      </w:r>
      <w:r>
        <w:rPr>
          <w:rFonts w:eastAsia="方正仿宋_GBK"/>
          <w:sz w:val="32"/>
          <w:szCs w:val="32"/>
        </w:rPr>
        <w:t>专项资金应当在市人大批准预算后60日内正式下达。市水利局在专项资金预算批准后，制定专项实施意见，提出资金分配计划和任务清单，会同市财政局报市政府审批后下达资金和任务清单。</w:t>
      </w:r>
    </w:p>
    <w:p>
      <w:pPr>
        <w:overflowPunct w:val="0"/>
        <w:snapToGrid w:val="0"/>
        <w:spacing w:line="560" w:lineRule="exact"/>
        <w:rPr>
          <w:rFonts w:eastAsia="方正仿宋_GBK"/>
          <w:sz w:val="32"/>
          <w:szCs w:val="32"/>
        </w:rPr>
      </w:pPr>
    </w:p>
    <w:p>
      <w:pPr>
        <w:tabs>
          <w:tab w:val="left" w:pos="1080"/>
        </w:tabs>
        <w:overflowPunct w:val="0"/>
        <w:snapToGrid w:val="0"/>
        <w:spacing w:line="560" w:lineRule="exact"/>
        <w:jc w:val="center"/>
        <w:rPr>
          <w:rFonts w:eastAsia="黑体"/>
          <w:sz w:val="32"/>
          <w:szCs w:val="32"/>
        </w:rPr>
      </w:pPr>
      <w:r>
        <w:rPr>
          <w:rFonts w:eastAsia="黑体"/>
          <w:sz w:val="32"/>
          <w:szCs w:val="32"/>
        </w:rPr>
        <w:t>第五章　资金使用和管理</w:t>
      </w:r>
    </w:p>
    <w:p>
      <w:pPr>
        <w:overflowPunct w:val="0"/>
        <w:snapToGrid w:val="0"/>
        <w:spacing w:line="560" w:lineRule="exact"/>
        <w:ind w:firstLine="640" w:firstLineChars="200"/>
        <w:rPr>
          <w:rFonts w:eastAsia="方正黑体_GBK"/>
          <w:sz w:val="32"/>
          <w:szCs w:val="32"/>
        </w:rPr>
      </w:pPr>
    </w:p>
    <w:p>
      <w:pPr>
        <w:overflowPunct w:val="0"/>
        <w:snapToGrid w:val="0"/>
        <w:spacing w:line="560" w:lineRule="exact"/>
        <w:ind w:firstLine="640" w:firstLineChars="200"/>
        <w:rPr>
          <w:rFonts w:eastAsia="方正仿宋_GBK"/>
          <w:sz w:val="32"/>
          <w:szCs w:val="32"/>
        </w:rPr>
      </w:pPr>
      <w:r>
        <w:rPr>
          <w:rFonts w:eastAsia="方正黑体_GBK"/>
          <w:bCs/>
          <w:sz w:val="32"/>
          <w:szCs w:val="32"/>
        </w:rPr>
        <w:t xml:space="preserve">第十二条 </w:t>
      </w:r>
      <w:r>
        <w:rPr>
          <w:rFonts w:eastAsia="方正仿宋_GBK"/>
          <w:sz w:val="32"/>
          <w:szCs w:val="32"/>
        </w:rPr>
        <w:t xml:space="preserve"> 项目实施单位要加强资金核算和管理，严格按照规定用途使用资金。未经批准，不得变更项目实施内容或者调整预算。在项目执行期限内，项目实施单位提出变更申请的，由负责方案批复的部门审批。未经批准变更项目，涉及的项目资金一律收回财政。</w:t>
      </w:r>
    </w:p>
    <w:p>
      <w:pPr>
        <w:overflowPunct w:val="0"/>
        <w:spacing w:line="560" w:lineRule="exact"/>
        <w:ind w:firstLine="640" w:firstLineChars="200"/>
        <w:rPr>
          <w:rFonts w:eastAsia="方正仿宋_GBK"/>
          <w:sz w:val="32"/>
        </w:rPr>
      </w:pPr>
      <w:r>
        <w:rPr>
          <w:rFonts w:eastAsia="方正黑体_GBK"/>
          <w:bCs/>
          <w:sz w:val="32"/>
          <w:szCs w:val="32"/>
        </w:rPr>
        <w:t>第十三条</w:t>
      </w:r>
      <w:r>
        <w:rPr>
          <w:rFonts w:eastAsia="方正仿宋_GBK"/>
          <w:sz w:val="32"/>
          <w:szCs w:val="32"/>
        </w:rPr>
        <w:t xml:space="preserve">  结转结余资金，按照《中华人民共和国预算法》和其他</w:t>
      </w:r>
      <w:r>
        <w:rPr>
          <w:rFonts w:eastAsia="方正仿宋_GBK"/>
          <w:sz w:val="32"/>
        </w:rPr>
        <w:t>有关结转结余资金管理的相关规定处理执行。</w:t>
      </w:r>
    </w:p>
    <w:p>
      <w:pPr>
        <w:pStyle w:val="3"/>
        <w:overflowPunct w:val="0"/>
        <w:spacing w:line="560" w:lineRule="exact"/>
        <w:rPr>
          <w:rFonts w:hint="default" w:ascii="Times New Roman" w:hAnsi="Times New Roman"/>
        </w:rPr>
      </w:pPr>
    </w:p>
    <w:p>
      <w:pPr>
        <w:tabs>
          <w:tab w:val="left" w:pos="1080"/>
        </w:tabs>
        <w:overflowPunct w:val="0"/>
        <w:snapToGrid w:val="0"/>
        <w:spacing w:line="560" w:lineRule="exact"/>
        <w:jc w:val="center"/>
        <w:rPr>
          <w:rFonts w:eastAsia="黑体"/>
          <w:sz w:val="32"/>
          <w:szCs w:val="32"/>
        </w:rPr>
      </w:pPr>
      <w:r>
        <w:rPr>
          <w:rFonts w:eastAsia="黑体"/>
          <w:sz w:val="32"/>
          <w:szCs w:val="32"/>
        </w:rPr>
        <w:t>第六章　绩效管理和监督检查</w:t>
      </w:r>
    </w:p>
    <w:p>
      <w:pPr>
        <w:overflowPunct w:val="0"/>
        <w:snapToGrid w:val="0"/>
        <w:spacing w:line="560" w:lineRule="exact"/>
        <w:rPr>
          <w:rFonts w:eastAsia="方正黑体_GBK"/>
          <w:sz w:val="32"/>
          <w:szCs w:val="32"/>
        </w:rPr>
      </w:pPr>
    </w:p>
    <w:p>
      <w:pPr>
        <w:overflowPunct w:val="0"/>
        <w:snapToGrid w:val="0"/>
        <w:spacing w:line="560" w:lineRule="exact"/>
        <w:ind w:firstLine="640" w:firstLineChars="200"/>
        <w:rPr>
          <w:rFonts w:eastAsia="方正仿宋_GBK"/>
          <w:sz w:val="32"/>
          <w:szCs w:val="32"/>
        </w:rPr>
      </w:pPr>
      <w:r>
        <w:rPr>
          <w:rFonts w:eastAsia="方正黑体_GBK"/>
          <w:bCs/>
          <w:sz w:val="32"/>
          <w:szCs w:val="32"/>
        </w:rPr>
        <w:t>第十四条</w:t>
      </w:r>
      <w:r>
        <w:rPr>
          <w:rFonts w:eastAsia="方正仿宋_GBK"/>
          <w:sz w:val="32"/>
          <w:szCs w:val="32"/>
        </w:rPr>
        <w:t xml:space="preserve">  市财政局、市水利局应当加强专项资金预算绩效管理，按照职责分工，建立绩效评估、绩效目标、绩效运行监控、绩效评价和绩效管理成果应用等全过程预算绩效管理体系。绩效评价结果作为资金预算安排和调整的重要依据。</w:t>
      </w:r>
    </w:p>
    <w:p>
      <w:pPr>
        <w:overflowPunct w:val="0"/>
        <w:spacing w:line="560" w:lineRule="exact"/>
        <w:ind w:firstLine="640" w:firstLineChars="200"/>
        <w:rPr>
          <w:rFonts w:eastAsia="方正仿宋_GBK"/>
          <w:sz w:val="32"/>
        </w:rPr>
      </w:pPr>
      <w:r>
        <w:rPr>
          <w:rFonts w:eastAsia="方正黑体_GBK"/>
          <w:bCs/>
          <w:sz w:val="32"/>
          <w:szCs w:val="32"/>
        </w:rPr>
        <w:t>第十五条</w:t>
      </w:r>
      <w:r>
        <w:rPr>
          <w:rFonts w:eastAsia="方正仿宋_GBK"/>
          <w:sz w:val="32"/>
          <w:szCs w:val="32"/>
        </w:rPr>
        <w:t xml:space="preserve">  </w:t>
      </w:r>
      <w:r>
        <w:rPr>
          <w:rFonts w:eastAsia="方正仿宋_GBK"/>
          <w:sz w:val="32"/>
        </w:rPr>
        <w:t>市水利局对专项资金预算绩效目标实现程度和预算执行进度进行监控。预算支出绩效运行与设定绩效目标发生偏离的，应当及时采取措施予以纠正；情况严重的，应当调整、暂缓或者停止该管护行为的执行，并将监控结果及时报市财政部门。</w:t>
      </w:r>
    </w:p>
    <w:p>
      <w:pPr>
        <w:overflowPunct w:val="0"/>
        <w:spacing w:line="560" w:lineRule="exact"/>
        <w:ind w:firstLine="640" w:firstLineChars="200"/>
        <w:rPr>
          <w:rFonts w:eastAsia="方正仿宋_GBK"/>
          <w:sz w:val="32"/>
        </w:rPr>
      </w:pPr>
      <w:r>
        <w:rPr>
          <w:rFonts w:eastAsia="方正黑体_GBK"/>
          <w:bCs/>
          <w:sz w:val="32"/>
          <w:szCs w:val="32"/>
        </w:rPr>
        <w:t xml:space="preserve">第十六条  </w:t>
      </w:r>
      <w:r>
        <w:rPr>
          <w:rFonts w:eastAsia="方正仿宋_GBK"/>
          <w:sz w:val="32"/>
        </w:rPr>
        <w:t>财政部门对专项资金政策执行情况、预算编制、管理情况和绩效等实施跟踪监督。</w:t>
      </w:r>
    </w:p>
    <w:p>
      <w:pPr>
        <w:overflowPunct w:val="0"/>
        <w:spacing w:line="560" w:lineRule="exact"/>
        <w:ind w:firstLine="640" w:firstLineChars="200"/>
        <w:rPr>
          <w:rFonts w:eastAsia="方正仿宋_GBK"/>
          <w:sz w:val="32"/>
        </w:rPr>
      </w:pPr>
      <w:r>
        <w:rPr>
          <w:rFonts w:eastAsia="方正仿宋_GBK"/>
          <w:sz w:val="32"/>
        </w:rPr>
        <w:t>水利部门应当督促项目实施单位加强项目资金财务管理，按照规定用途使用专项资金，并按照规定向财政部门报告项目实施以及资金使用情况。</w:t>
      </w:r>
    </w:p>
    <w:p>
      <w:pPr>
        <w:overflowPunct w:val="0"/>
        <w:snapToGrid w:val="0"/>
        <w:spacing w:line="560" w:lineRule="exact"/>
        <w:ind w:firstLine="640" w:firstLineChars="200"/>
        <w:rPr>
          <w:rFonts w:eastAsia="方正仿宋_GBK"/>
          <w:sz w:val="32"/>
          <w:szCs w:val="32"/>
        </w:rPr>
      </w:pPr>
      <w:r>
        <w:rPr>
          <w:rFonts w:eastAsia="方正黑体_GBK"/>
          <w:bCs/>
          <w:sz w:val="32"/>
          <w:szCs w:val="32"/>
        </w:rPr>
        <w:t>第十七条</w:t>
      </w:r>
      <w:r>
        <w:rPr>
          <w:rFonts w:eastAsia="方正仿宋_GBK"/>
          <w:sz w:val="32"/>
          <w:szCs w:val="32"/>
        </w:rPr>
        <w:t xml:space="preserve">  财政、水利部门及其工作人员在专项补助资金管理工作中，存在违反规定分配资金、向不符合条件的单位、个人（或项目）分配资金，以及其他滥用职权、玩忽职守、徇私舞弊等违法违纪行为的，依照《中华人民共和国预算法》《财政违法行为处罚处分条例》等有关规定追究相应责任；涉嫌犯罪的，移交有关部门处理。</w:t>
      </w:r>
    </w:p>
    <w:p>
      <w:pPr>
        <w:overflowPunct w:val="0"/>
        <w:snapToGrid w:val="0"/>
        <w:spacing w:line="560" w:lineRule="exact"/>
        <w:ind w:firstLine="640" w:firstLineChars="200"/>
        <w:rPr>
          <w:rFonts w:eastAsia="方正仿宋_GBK"/>
          <w:sz w:val="32"/>
          <w:szCs w:val="32"/>
        </w:rPr>
      </w:pPr>
      <w:r>
        <w:rPr>
          <w:rFonts w:eastAsia="方正黑体_GBK"/>
          <w:bCs/>
          <w:sz w:val="32"/>
          <w:szCs w:val="32"/>
        </w:rPr>
        <w:t xml:space="preserve">第十八条 </w:t>
      </w:r>
      <w:r>
        <w:rPr>
          <w:rFonts w:eastAsia="方正仿宋_GBK"/>
          <w:sz w:val="32"/>
          <w:szCs w:val="32"/>
        </w:rPr>
        <w:t xml:space="preserve"> 资金使用单位和个人存在虚报冒领、骗取套取、挤占挪用专项资金，以及其他违反</w:t>
      </w:r>
      <w:r>
        <w:rPr>
          <w:rFonts w:hint="eastAsia" w:eastAsia="方正仿宋_GBK"/>
          <w:sz w:val="32"/>
          <w:szCs w:val="32"/>
          <w:lang w:val="en-US" w:eastAsia="zh-CN"/>
        </w:rPr>
        <w:t>本办法</w:t>
      </w:r>
      <w:bookmarkStart w:id="0" w:name="_GoBack"/>
      <w:bookmarkEnd w:id="0"/>
      <w:r>
        <w:rPr>
          <w:rFonts w:eastAsia="方正仿宋_GBK"/>
          <w:sz w:val="32"/>
          <w:szCs w:val="32"/>
        </w:rPr>
        <w:t>规定行为的，依照《中华人民共和国预算法》《财政违法行为处罚处分条例》等有关规定追究相应责任；涉嫌犯罪的，移交有关部门处理。</w:t>
      </w:r>
    </w:p>
    <w:p>
      <w:pPr>
        <w:overflowPunct w:val="0"/>
        <w:snapToGrid w:val="0"/>
        <w:spacing w:line="560" w:lineRule="exact"/>
        <w:ind w:firstLine="640" w:firstLineChars="200"/>
        <w:rPr>
          <w:rFonts w:eastAsia="方正仿宋_GBK"/>
          <w:sz w:val="32"/>
          <w:szCs w:val="32"/>
        </w:rPr>
      </w:pPr>
    </w:p>
    <w:p>
      <w:pPr>
        <w:tabs>
          <w:tab w:val="left" w:pos="1080"/>
        </w:tabs>
        <w:overflowPunct w:val="0"/>
        <w:snapToGrid w:val="0"/>
        <w:spacing w:line="560" w:lineRule="exact"/>
        <w:jc w:val="center"/>
        <w:rPr>
          <w:rFonts w:eastAsia="黑体"/>
          <w:sz w:val="32"/>
          <w:szCs w:val="32"/>
        </w:rPr>
      </w:pPr>
      <w:r>
        <w:rPr>
          <w:rFonts w:eastAsia="黑体"/>
          <w:sz w:val="32"/>
          <w:szCs w:val="32"/>
        </w:rPr>
        <w:t>第七章　附则</w:t>
      </w:r>
    </w:p>
    <w:p>
      <w:pPr>
        <w:overflowPunct w:val="0"/>
        <w:snapToGrid w:val="0"/>
        <w:spacing w:line="560" w:lineRule="exact"/>
        <w:ind w:firstLine="640" w:firstLineChars="200"/>
        <w:rPr>
          <w:rFonts w:eastAsia="方正黑体_GBK"/>
          <w:sz w:val="32"/>
          <w:szCs w:val="32"/>
        </w:rPr>
      </w:pPr>
    </w:p>
    <w:p>
      <w:pPr>
        <w:overflowPunct w:val="0"/>
        <w:snapToGrid w:val="0"/>
        <w:spacing w:line="560" w:lineRule="exact"/>
        <w:ind w:left="644"/>
        <w:rPr>
          <w:rFonts w:eastAsia="方正仿宋_GBK"/>
          <w:sz w:val="32"/>
          <w:szCs w:val="32"/>
        </w:rPr>
      </w:pPr>
      <w:r>
        <w:rPr>
          <w:rFonts w:eastAsia="方正黑体_GBK"/>
          <w:bCs/>
          <w:sz w:val="32"/>
          <w:szCs w:val="32"/>
        </w:rPr>
        <w:t xml:space="preserve">第十九条  </w:t>
      </w:r>
      <w:r>
        <w:rPr>
          <w:rFonts w:eastAsia="方正仿宋_GBK"/>
          <w:sz w:val="32"/>
          <w:szCs w:val="32"/>
        </w:rPr>
        <w:t>本办法由市财政局会市水利局负责解释。</w:t>
      </w:r>
    </w:p>
    <w:p>
      <w:pPr>
        <w:overflowPunct w:val="0"/>
        <w:snapToGrid w:val="0"/>
        <w:spacing w:line="560" w:lineRule="exact"/>
        <w:ind w:firstLine="640" w:firstLineChars="200"/>
        <w:jc w:val="left"/>
        <w:rPr>
          <w:rFonts w:eastAsia="方正仿宋_GBK"/>
          <w:sz w:val="32"/>
          <w:szCs w:val="32"/>
        </w:rPr>
      </w:pPr>
      <w:r>
        <w:rPr>
          <w:rFonts w:eastAsia="方正黑体_GBK"/>
          <w:bCs/>
          <w:sz w:val="32"/>
          <w:szCs w:val="32"/>
        </w:rPr>
        <w:t xml:space="preserve">第二十条  </w:t>
      </w:r>
      <w:r>
        <w:rPr>
          <w:rFonts w:eastAsia="方正仿宋_GBK"/>
          <w:sz w:val="32"/>
          <w:szCs w:val="32"/>
        </w:rPr>
        <w:t>本办法自2023年7月18日起施行，有效期至2028年7月17日。</w:t>
      </w:r>
    </w:p>
    <w:sectPr>
      <w:type w:val="continuous"/>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4920843"/>
    </w:sdtPr>
    <w:sdtEndPr>
      <w:rPr>
        <w:rFonts w:ascii="宋体" w:hAnsi="宋体"/>
        <w:sz w:val="28"/>
        <w:szCs w:val="28"/>
      </w:rPr>
    </w:sdtEndPr>
    <w:sdt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2044802"/>
    </w:sdtPr>
    <w:sdtEndPr>
      <w:rPr>
        <w:rFonts w:ascii="宋体" w:hAnsi="宋体"/>
        <w:sz w:val="28"/>
        <w:szCs w:val="28"/>
      </w:rPr>
    </w:sdtEndPr>
    <w:sdtContent>
      <w:p>
        <w:pPr>
          <w:pStyle w:val="6"/>
          <w:jc w:val="both"/>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NDRjMDc1MTljMWRjNmQ2NTE3NzA0MDY0NDJiYjIifQ=="/>
  </w:docVars>
  <w:rsids>
    <w:rsidRoot w:val="00C90620"/>
    <w:rsid w:val="00035433"/>
    <w:rsid w:val="000371F1"/>
    <w:rsid w:val="000770B3"/>
    <w:rsid w:val="000A0560"/>
    <w:rsid w:val="000D69E4"/>
    <w:rsid w:val="000E3634"/>
    <w:rsid w:val="000F7465"/>
    <w:rsid w:val="00125CE2"/>
    <w:rsid w:val="00190F48"/>
    <w:rsid w:val="001C36FC"/>
    <w:rsid w:val="002225EF"/>
    <w:rsid w:val="00240FCB"/>
    <w:rsid w:val="00280832"/>
    <w:rsid w:val="002B2F55"/>
    <w:rsid w:val="002E39F8"/>
    <w:rsid w:val="0030302F"/>
    <w:rsid w:val="00362623"/>
    <w:rsid w:val="003724FA"/>
    <w:rsid w:val="004203E7"/>
    <w:rsid w:val="00451731"/>
    <w:rsid w:val="0047311C"/>
    <w:rsid w:val="00525BB5"/>
    <w:rsid w:val="00534C1B"/>
    <w:rsid w:val="00596AD8"/>
    <w:rsid w:val="005B50BC"/>
    <w:rsid w:val="005D6E1E"/>
    <w:rsid w:val="005F4470"/>
    <w:rsid w:val="00646F9A"/>
    <w:rsid w:val="00656F1B"/>
    <w:rsid w:val="007D6837"/>
    <w:rsid w:val="00852538"/>
    <w:rsid w:val="00903D65"/>
    <w:rsid w:val="00912765"/>
    <w:rsid w:val="009D03DD"/>
    <w:rsid w:val="00A2109B"/>
    <w:rsid w:val="00A24F2F"/>
    <w:rsid w:val="00A31EC9"/>
    <w:rsid w:val="00A54757"/>
    <w:rsid w:val="00A67A1A"/>
    <w:rsid w:val="00AC6DAE"/>
    <w:rsid w:val="00AD2879"/>
    <w:rsid w:val="00AD5CB2"/>
    <w:rsid w:val="00AF158D"/>
    <w:rsid w:val="00B84693"/>
    <w:rsid w:val="00BA30F3"/>
    <w:rsid w:val="00BC6A55"/>
    <w:rsid w:val="00BE4458"/>
    <w:rsid w:val="00BE62B0"/>
    <w:rsid w:val="00BF3646"/>
    <w:rsid w:val="00C273CF"/>
    <w:rsid w:val="00C87C85"/>
    <w:rsid w:val="00C90620"/>
    <w:rsid w:val="00CB6D51"/>
    <w:rsid w:val="00D125E6"/>
    <w:rsid w:val="00D87436"/>
    <w:rsid w:val="00D90C1F"/>
    <w:rsid w:val="00E335B9"/>
    <w:rsid w:val="00E457EF"/>
    <w:rsid w:val="00E56532"/>
    <w:rsid w:val="00EC0907"/>
    <w:rsid w:val="00EC3C10"/>
    <w:rsid w:val="00F35C79"/>
    <w:rsid w:val="00F957DF"/>
    <w:rsid w:val="03377ABC"/>
    <w:rsid w:val="038D123B"/>
    <w:rsid w:val="045D0A3A"/>
    <w:rsid w:val="05955520"/>
    <w:rsid w:val="08225057"/>
    <w:rsid w:val="09E34BE0"/>
    <w:rsid w:val="0E195216"/>
    <w:rsid w:val="0E683D90"/>
    <w:rsid w:val="0FB54D97"/>
    <w:rsid w:val="102C212E"/>
    <w:rsid w:val="105079A9"/>
    <w:rsid w:val="107E36B1"/>
    <w:rsid w:val="10902CAE"/>
    <w:rsid w:val="10903EDB"/>
    <w:rsid w:val="119B519C"/>
    <w:rsid w:val="157F651E"/>
    <w:rsid w:val="16294361"/>
    <w:rsid w:val="16A008F3"/>
    <w:rsid w:val="16ED410F"/>
    <w:rsid w:val="1ACB68E1"/>
    <w:rsid w:val="1B10525F"/>
    <w:rsid w:val="1BE70E24"/>
    <w:rsid w:val="1CE807AA"/>
    <w:rsid w:val="1CF6363D"/>
    <w:rsid w:val="1EBA308E"/>
    <w:rsid w:val="20263A33"/>
    <w:rsid w:val="2153208F"/>
    <w:rsid w:val="22460F19"/>
    <w:rsid w:val="234469D7"/>
    <w:rsid w:val="251B2BA7"/>
    <w:rsid w:val="265E1E0E"/>
    <w:rsid w:val="27047F8D"/>
    <w:rsid w:val="277D7BBD"/>
    <w:rsid w:val="27DF170B"/>
    <w:rsid w:val="289F7A1F"/>
    <w:rsid w:val="2B76024E"/>
    <w:rsid w:val="2CC7187A"/>
    <w:rsid w:val="2DEC60C8"/>
    <w:rsid w:val="301F3BD0"/>
    <w:rsid w:val="315036E7"/>
    <w:rsid w:val="34F472DA"/>
    <w:rsid w:val="35351494"/>
    <w:rsid w:val="38090A06"/>
    <w:rsid w:val="381F2AD4"/>
    <w:rsid w:val="3A1B1AD9"/>
    <w:rsid w:val="3BEE209E"/>
    <w:rsid w:val="3DB01E73"/>
    <w:rsid w:val="3DFC567C"/>
    <w:rsid w:val="415B3E6D"/>
    <w:rsid w:val="419C40E2"/>
    <w:rsid w:val="4315290E"/>
    <w:rsid w:val="46FD60E9"/>
    <w:rsid w:val="47494902"/>
    <w:rsid w:val="495A4FFC"/>
    <w:rsid w:val="4A2D016F"/>
    <w:rsid w:val="4A951665"/>
    <w:rsid w:val="4B6F7129"/>
    <w:rsid w:val="4E77360E"/>
    <w:rsid w:val="4F734A2E"/>
    <w:rsid w:val="4FEB0AC0"/>
    <w:rsid w:val="51560817"/>
    <w:rsid w:val="51E85E5F"/>
    <w:rsid w:val="53B316E5"/>
    <w:rsid w:val="54337E7F"/>
    <w:rsid w:val="5444247B"/>
    <w:rsid w:val="54670E64"/>
    <w:rsid w:val="552E0533"/>
    <w:rsid w:val="56520B7B"/>
    <w:rsid w:val="57834CDE"/>
    <w:rsid w:val="5A791E90"/>
    <w:rsid w:val="5C3D368B"/>
    <w:rsid w:val="5C58107B"/>
    <w:rsid w:val="5D966032"/>
    <w:rsid w:val="5FF13235"/>
    <w:rsid w:val="610116FA"/>
    <w:rsid w:val="62765DF3"/>
    <w:rsid w:val="62BA3CE9"/>
    <w:rsid w:val="62EF65E7"/>
    <w:rsid w:val="634C7EB4"/>
    <w:rsid w:val="6514037D"/>
    <w:rsid w:val="656F7AD3"/>
    <w:rsid w:val="66940B64"/>
    <w:rsid w:val="6A7E26CA"/>
    <w:rsid w:val="6A8C07C7"/>
    <w:rsid w:val="6ABB2C52"/>
    <w:rsid w:val="6F8D4EAA"/>
    <w:rsid w:val="72D952B1"/>
    <w:rsid w:val="7426230D"/>
    <w:rsid w:val="749B6A70"/>
    <w:rsid w:val="74F368F0"/>
    <w:rsid w:val="767379E7"/>
    <w:rsid w:val="77D10AA2"/>
    <w:rsid w:val="7AA06C1B"/>
    <w:rsid w:val="7B990AD8"/>
    <w:rsid w:val="7C997922"/>
    <w:rsid w:val="7F3B7298"/>
    <w:rsid w:val="7F56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w:basedOn w:val="1"/>
    <w:next w:val="1"/>
    <w:unhideWhenUsed/>
    <w:qFormat/>
    <w:uiPriority w:val="1"/>
    <w:pPr>
      <w:ind w:left="120"/>
    </w:pPr>
    <w:rPr>
      <w:rFonts w:hint="eastAsia" w:ascii="宋体" w:hAnsi="宋体"/>
      <w:sz w:val="31"/>
    </w:rPr>
  </w:style>
  <w:style w:type="paragraph" w:styleId="4">
    <w:name w:val="Body Text Indent"/>
    <w:basedOn w:val="1"/>
    <w:qFormat/>
    <w:uiPriority w:val="0"/>
    <w:pPr>
      <w:adjustRightInd w:val="0"/>
      <w:spacing w:line="360" w:lineRule="auto"/>
      <w:ind w:firstLine="636"/>
    </w:pPr>
    <w:rPr>
      <w:rFonts w:ascii="仿宋_GB2312" w:eastAsia="仿宋_GB2312"/>
      <w:sz w:val="30"/>
      <w:szCs w:val="20"/>
      <w:u w:val="single"/>
    </w:rPr>
  </w:style>
  <w:style w:type="paragraph" w:styleId="5">
    <w:name w:val="Balloon Text"/>
    <w:basedOn w:val="1"/>
    <w:link w:val="12"/>
    <w:semiHidden/>
    <w:unhideWhenUsed/>
    <w:qFormat/>
    <w:uiPriority w:val="99"/>
    <w:rPr>
      <w:sz w:val="18"/>
      <w:szCs w:val="18"/>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脚 字符"/>
    <w:basedOn w:val="9"/>
    <w:link w:val="6"/>
    <w:qFormat/>
    <w:uiPriority w:val="99"/>
    <w:rPr>
      <w:rFonts w:ascii="Times New Roman" w:hAnsi="Times New Roman" w:eastAsia="宋体" w:cs="Times New Roman"/>
      <w:sz w:val="18"/>
      <w:szCs w:val="18"/>
    </w:rPr>
  </w:style>
  <w:style w:type="character" w:customStyle="1" w:styleId="11">
    <w:name w:val="fontstyle01"/>
    <w:basedOn w:val="9"/>
    <w:qFormat/>
    <w:uiPriority w:val="0"/>
    <w:rPr>
      <w:rFonts w:hint="eastAsia" w:ascii="方正仿宋_GBK" w:eastAsia="方正仿宋_GBK"/>
      <w:color w:val="000000"/>
      <w:sz w:val="32"/>
      <w:szCs w:val="32"/>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页眉 字符"/>
    <w:basedOn w:val="9"/>
    <w:link w:val="7"/>
    <w:qFormat/>
    <w:uiPriority w:val="99"/>
    <w:rPr>
      <w:kern w:val="2"/>
      <w:sz w:val="18"/>
      <w:szCs w:val="18"/>
    </w:rPr>
  </w:style>
  <w:style w:type="paragraph" w:customStyle="1" w:styleId="14">
    <w:name w:val="列表段落1"/>
    <w:basedOn w:val="1"/>
    <w:qFormat/>
    <w:uiPriority w:val="99"/>
    <w:pPr>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6</Pages>
  <Words>2417</Words>
  <Characters>2443</Characters>
  <Lines>18</Lines>
  <Paragraphs>5</Paragraphs>
  <TotalTime>5</TotalTime>
  <ScaleCrop>false</ScaleCrop>
  <LinksUpToDate>false</LinksUpToDate>
  <CharactersWithSpaces>2529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2023-07-07T02:36:00Z</dcterms:created>
  <dc:creator>谭芬</dc:creator>
  <cp:lastModifiedBy>asus</cp:lastModifiedBy>
  <cp:lastPrinted>2023-03-06T04:57:00Z</cp:lastPrinted>
  <dcterms:modified xsi:type="dcterms:W3CDTF">2023-07-17T03:33:27Z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27F9B3302CB24AA69B6561A24DD6C222_13</vt:lpwstr>
  </property>
</Properties>
</file>