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jc w:val="center"/>
        <w:rPr>
          <w:rFonts w:eastAsia="方正小标宋简体"/>
          <w:sz w:val="44"/>
          <w:szCs w:val="44"/>
        </w:rPr>
      </w:pPr>
      <w:r>
        <w:rPr>
          <w:rFonts w:hint="eastAsia" w:eastAsia="方正小标宋简体"/>
          <w:sz w:val="44"/>
          <w:szCs w:val="44"/>
        </w:rPr>
        <w:t>淮安市洪泽湖治理保护市级财政资金奖补</w:t>
      </w:r>
    </w:p>
    <w:p>
      <w:pPr>
        <w:overflowPunct w:val="0"/>
        <w:spacing w:line="700" w:lineRule="exact"/>
        <w:jc w:val="center"/>
        <w:rPr>
          <w:rFonts w:eastAsia="方正小标宋简体"/>
          <w:sz w:val="44"/>
          <w:szCs w:val="44"/>
        </w:rPr>
      </w:pPr>
      <w:r>
        <w:rPr>
          <w:rFonts w:hint="eastAsia" w:eastAsia="方正小标宋简体"/>
          <w:sz w:val="44"/>
          <w:szCs w:val="44"/>
        </w:rPr>
        <w:t>办法</w:t>
      </w:r>
      <w:bookmarkStart w:id="0" w:name="_GoBack"/>
      <w:bookmarkEnd w:id="0"/>
    </w:p>
    <w:p>
      <w:pPr>
        <w:overflowPunct w:val="0"/>
        <w:spacing w:line="700" w:lineRule="exact"/>
        <w:jc w:val="center"/>
        <w:rPr>
          <w:rFonts w:eastAsia="仿宋_GB2312"/>
          <w:szCs w:val="32"/>
        </w:rPr>
      </w:pPr>
      <w:r>
        <w:rPr>
          <w:rFonts w:hint="eastAsia" w:eastAsia="方正小标宋简体"/>
          <w:szCs w:val="32"/>
        </w:rPr>
        <w:t>（</w:t>
      </w:r>
      <w:r>
        <w:rPr>
          <w:rFonts w:hint="eastAsia" w:eastAsia="方正小标宋简体"/>
          <w:szCs w:val="32"/>
          <w:lang w:eastAsia="zh-CN"/>
        </w:rPr>
        <w:t>征求意见稿</w:t>
      </w:r>
      <w:r>
        <w:rPr>
          <w:rFonts w:hint="eastAsia" w:eastAsia="方正小标宋简体"/>
          <w:szCs w:val="32"/>
        </w:rPr>
        <w:t>）</w:t>
      </w:r>
    </w:p>
    <w:p>
      <w:pPr>
        <w:tabs>
          <w:tab w:val="left" w:pos="1080"/>
        </w:tabs>
        <w:overflowPunct w:val="0"/>
        <w:spacing w:line="578" w:lineRule="exact"/>
        <w:jc w:val="center"/>
        <w:rPr>
          <w:rFonts w:eastAsia="仿宋_GB2312"/>
          <w:szCs w:val="32"/>
        </w:rPr>
      </w:pPr>
    </w:p>
    <w:p>
      <w:pPr>
        <w:tabs>
          <w:tab w:val="left" w:pos="1080"/>
        </w:tabs>
        <w:overflowPunct w:val="0"/>
        <w:spacing w:line="578" w:lineRule="exact"/>
        <w:jc w:val="center"/>
        <w:rPr>
          <w:rFonts w:eastAsia="黑体"/>
          <w:szCs w:val="32"/>
        </w:rPr>
      </w:pPr>
      <w:r>
        <w:rPr>
          <w:rFonts w:hint="eastAsia" w:hAnsi="黑体" w:eastAsia="黑体"/>
          <w:szCs w:val="32"/>
        </w:rPr>
        <w:t>第一章　总则</w:t>
      </w:r>
    </w:p>
    <w:p>
      <w:pPr>
        <w:overflowPunct w:val="0"/>
        <w:spacing w:line="578" w:lineRule="exact"/>
        <w:ind w:firstLine="632" w:firstLineChars="200"/>
        <w:rPr>
          <w:rFonts w:eastAsia="仿宋_GB2312"/>
          <w:szCs w:val="32"/>
        </w:rPr>
      </w:pPr>
    </w:p>
    <w:p>
      <w:pPr>
        <w:shd w:val="clear" w:color="auto" w:fill="FFFFFF"/>
        <w:spacing w:line="585" w:lineRule="atLeast"/>
        <w:rPr>
          <w:rFonts w:eastAsia="仿宋_GB2312"/>
          <w:szCs w:val="32"/>
        </w:rPr>
      </w:pPr>
      <w:r>
        <w:rPr>
          <w:rFonts w:hint="eastAsia" w:eastAsia="仿宋_GB2312"/>
          <w:szCs w:val="32"/>
        </w:rPr>
        <w:t xml:space="preserve">    </w:t>
      </w:r>
      <w:r>
        <w:rPr>
          <w:rFonts w:hint="eastAsia" w:eastAsia="仿宋_GB2312"/>
          <w:b/>
          <w:szCs w:val="32"/>
        </w:rPr>
        <w:t xml:space="preserve">第一条 </w:t>
      </w:r>
      <w:r>
        <w:rPr>
          <w:rFonts w:hint="eastAsia" w:eastAsia="仿宋_GB2312"/>
          <w:szCs w:val="32"/>
        </w:rPr>
        <w:t xml:space="preserve"> 为规范洪泽湖治理保护市级财政奖补资金管理和使用，提高资金使用效益，根据《淮安市市级财政专项资金管理办法》（淮政规〔2022〕6号）和洪泽湖治理保护工作实际，制定本办法。</w:t>
      </w:r>
    </w:p>
    <w:p>
      <w:pPr>
        <w:shd w:val="clear" w:color="auto" w:fill="FFFFFF"/>
        <w:spacing w:line="585" w:lineRule="atLeast"/>
        <w:ind w:firstLine="632" w:firstLineChars="200"/>
        <w:rPr>
          <w:rFonts w:eastAsia="仿宋_GB2312"/>
          <w:szCs w:val="32"/>
        </w:rPr>
      </w:pPr>
      <w:r>
        <w:rPr>
          <w:rFonts w:hint="eastAsia" w:eastAsia="仿宋_GB2312"/>
          <w:b/>
          <w:szCs w:val="32"/>
        </w:rPr>
        <w:t>第二条</w:t>
      </w:r>
      <w:r>
        <w:rPr>
          <w:rFonts w:hint="eastAsia" w:eastAsia="仿宋_GB2312"/>
          <w:szCs w:val="32"/>
        </w:rPr>
        <w:t xml:space="preserve">  本办法所称淮安市洪泽湖治理保护市级奖补资金（以下简称“奖补资金”）是指用于支持我市沿湖县区开展洪泽湖治理保护工作的专项资金。</w:t>
      </w:r>
    </w:p>
    <w:p>
      <w:pPr>
        <w:shd w:val="clear" w:color="auto" w:fill="FFFFFF"/>
        <w:spacing w:line="585" w:lineRule="atLeast"/>
        <w:ind w:firstLine="632" w:firstLineChars="200"/>
        <w:rPr>
          <w:rFonts w:eastAsia="仿宋_GB2312"/>
          <w:szCs w:val="32"/>
        </w:rPr>
      </w:pPr>
      <w:r>
        <w:rPr>
          <w:rFonts w:hint="eastAsia" w:eastAsia="仿宋_GB2312"/>
          <w:b/>
          <w:szCs w:val="32"/>
        </w:rPr>
        <w:t>第三条</w:t>
      </w:r>
      <w:r>
        <w:rPr>
          <w:rFonts w:hint="eastAsia" w:eastAsia="仿宋_GB2312"/>
          <w:szCs w:val="32"/>
        </w:rPr>
        <w:t xml:space="preserve">  按照《江苏省省对市县专项转移支付管理办法》（苏财农〔2016〕28号）、《关于印发江苏省省级水利发展资金管理办法的通知》（苏财规〔2019〕8号）等文件规定，市财政局会同市</w:t>
      </w:r>
      <w:r>
        <w:rPr>
          <w:rFonts w:hint="eastAsia" w:eastAsia="仿宋_GB2312" w:cs="宋体"/>
          <w:szCs w:val="32"/>
        </w:rPr>
        <w:t>洪泽湖管委会办公室</w:t>
      </w:r>
      <w:r>
        <w:rPr>
          <w:rFonts w:hint="eastAsia" w:eastAsia="仿宋_GB2312"/>
          <w:szCs w:val="32"/>
        </w:rPr>
        <w:t>共同负责奖补资金的使用管理。</w:t>
      </w:r>
    </w:p>
    <w:p>
      <w:pPr>
        <w:shd w:val="clear" w:color="auto" w:fill="FFFFFF"/>
        <w:spacing w:line="585" w:lineRule="atLeast"/>
        <w:ind w:firstLine="632" w:firstLineChars="200"/>
        <w:rPr>
          <w:rFonts w:eastAsia="仿宋_GB2312"/>
          <w:szCs w:val="32"/>
        </w:rPr>
      </w:pPr>
      <w:r>
        <w:rPr>
          <w:rFonts w:hint="eastAsia" w:eastAsia="仿宋_GB2312"/>
          <w:b/>
          <w:szCs w:val="32"/>
        </w:rPr>
        <w:t>第四条</w:t>
      </w:r>
      <w:r>
        <w:rPr>
          <w:rFonts w:hint="eastAsia" w:eastAsia="仿宋_GB2312"/>
          <w:szCs w:val="32"/>
        </w:rPr>
        <w:t xml:space="preserve">  市级年度奖补资金总额为省级奖补我市年度资金的20%，奖补年限暂定2023年-2025年，原则上与省级补助资金同步。</w:t>
      </w:r>
    </w:p>
    <w:p>
      <w:pPr>
        <w:overflowPunct w:val="0"/>
        <w:spacing w:line="578" w:lineRule="exact"/>
        <w:ind w:firstLine="630"/>
        <w:jc w:val="left"/>
        <w:rPr>
          <w:rFonts w:eastAsia="仿宋_GB2312"/>
          <w:szCs w:val="32"/>
        </w:rPr>
      </w:pPr>
    </w:p>
    <w:p>
      <w:pPr>
        <w:tabs>
          <w:tab w:val="left" w:pos="1080"/>
        </w:tabs>
        <w:overflowPunct w:val="0"/>
        <w:spacing w:line="578" w:lineRule="exact"/>
        <w:jc w:val="center"/>
        <w:rPr>
          <w:rFonts w:eastAsia="黑体"/>
          <w:szCs w:val="32"/>
        </w:rPr>
      </w:pPr>
      <w:r>
        <w:rPr>
          <w:rFonts w:hint="eastAsia" w:hAnsi="黑体" w:eastAsia="黑体"/>
          <w:szCs w:val="32"/>
        </w:rPr>
        <w:t>第二章　管理职责</w:t>
      </w:r>
    </w:p>
    <w:p>
      <w:pPr>
        <w:overflowPunct w:val="0"/>
        <w:spacing w:line="578" w:lineRule="exact"/>
        <w:ind w:firstLine="632" w:firstLineChars="200"/>
        <w:rPr>
          <w:rFonts w:eastAsia="仿宋_GB2312"/>
          <w:szCs w:val="32"/>
        </w:rPr>
      </w:pPr>
    </w:p>
    <w:p>
      <w:pPr>
        <w:overflowPunct w:val="0"/>
        <w:spacing w:line="578" w:lineRule="exact"/>
        <w:ind w:firstLine="632" w:firstLineChars="200"/>
        <w:rPr>
          <w:rFonts w:eastAsia="仿宋_GB2312"/>
          <w:szCs w:val="32"/>
        </w:rPr>
      </w:pPr>
      <w:r>
        <w:rPr>
          <w:rFonts w:hint="eastAsia" w:eastAsia="仿宋_GB2312"/>
          <w:b/>
          <w:szCs w:val="32"/>
        </w:rPr>
        <w:t>第五条</w:t>
      </w:r>
      <w:r>
        <w:rPr>
          <w:rFonts w:hint="eastAsia" w:eastAsia="仿宋_GB2312"/>
          <w:szCs w:val="32"/>
        </w:rPr>
        <w:t xml:space="preserve">  市财政局负责奖补资金预算安排、资金拨付，加强资金监督管理工作。</w:t>
      </w:r>
    </w:p>
    <w:p>
      <w:pPr>
        <w:overflowPunct w:val="0"/>
        <w:spacing w:line="578" w:lineRule="exact"/>
        <w:ind w:firstLine="632" w:firstLineChars="200"/>
        <w:rPr>
          <w:rFonts w:eastAsia="仿宋_GB2312"/>
          <w:szCs w:val="32"/>
        </w:rPr>
      </w:pPr>
      <w:r>
        <w:rPr>
          <w:rFonts w:hint="eastAsia" w:eastAsia="仿宋_GB2312"/>
          <w:b/>
          <w:szCs w:val="32"/>
        </w:rPr>
        <w:t>第六条</w:t>
      </w:r>
      <w:r>
        <w:rPr>
          <w:rFonts w:hint="eastAsia" w:eastAsia="仿宋_GB2312"/>
          <w:szCs w:val="32"/>
        </w:rPr>
        <w:t xml:space="preserve">  市洪泽湖管委会办公室牵头做好洪泽湖治理保护项目进展和投入资金的统计、确认工作，定期督查项目实施情况。</w:t>
      </w:r>
    </w:p>
    <w:p>
      <w:pPr>
        <w:overflowPunct w:val="0"/>
        <w:spacing w:line="578" w:lineRule="exact"/>
        <w:ind w:firstLine="632" w:firstLineChars="200"/>
        <w:rPr>
          <w:rFonts w:eastAsia="仿宋_GB2312"/>
          <w:szCs w:val="32"/>
        </w:rPr>
      </w:pPr>
      <w:r>
        <w:rPr>
          <w:rFonts w:hint="eastAsia" w:eastAsia="仿宋_GB2312"/>
          <w:b/>
          <w:szCs w:val="32"/>
        </w:rPr>
        <w:t>第七条</w:t>
      </w:r>
      <w:r>
        <w:rPr>
          <w:rFonts w:hint="eastAsia" w:eastAsia="仿宋_GB2312"/>
          <w:szCs w:val="32"/>
        </w:rPr>
        <w:t xml:space="preserve">  县区政府负责多方筹集资金，组织实施洪泽湖治理保护重点项目。每年5月、11月分两次上报项目完成情况及资金投入量，并对数据的真实性负责。</w:t>
      </w:r>
    </w:p>
    <w:p>
      <w:pPr>
        <w:overflowPunct w:val="0"/>
        <w:spacing w:line="578" w:lineRule="exact"/>
        <w:ind w:firstLine="632" w:firstLineChars="200"/>
        <w:rPr>
          <w:rFonts w:eastAsia="仿宋_GB2312"/>
          <w:szCs w:val="32"/>
        </w:rPr>
      </w:pPr>
    </w:p>
    <w:p>
      <w:pPr>
        <w:tabs>
          <w:tab w:val="left" w:pos="1080"/>
        </w:tabs>
        <w:overflowPunct w:val="0"/>
        <w:spacing w:line="578" w:lineRule="exact"/>
        <w:jc w:val="center"/>
        <w:rPr>
          <w:rFonts w:eastAsia="黑体"/>
          <w:szCs w:val="32"/>
        </w:rPr>
      </w:pPr>
      <w:r>
        <w:rPr>
          <w:rFonts w:hint="eastAsia" w:hAnsi="黑体" w:eastAsia="黑体"/>
          <w:szCs w:val="32"/>
        </w:rPr>
        <w:t>第三章　资金使用范围</w:t>
      </w:r>
    </w:p>
    <w:p>
      <w:pPr>
        <w:overflowPunct w:val="0"/>
        <w:spacing w:line="578" w:lineRule="exact"/>
        <w:ind w:firstLine="632" w:firstLineChars="200"/>
        <w:rPr>
          <w:rFonts w:eastAsia="仿宋_GB2312"/>
          <w:szCs w:val="32"/>
        </w:rPr>
      </w:pPr>
    </w:p>
    <w:p>
      <w:pPr>
        <w:overflowPunct w:val="0"/>
        <w:spacing w:line="578" w:lineRule="exact"/>
        <w:ind w:firstLine="632" w:firstLineChars="200"/>
        <w:rPr>
          <w:rFonts w:eastAsia="仿宋_GB2312"/>
          <w:szCs w:val="32"/>
        </w:rPr>
      </w:pPr>
      <w:r>
        <w:rPr>
          <w:rFonts w:hint="eastAsia" w:eastAsia="仿宋_GB2312"/>
          <w:b/>
          <w:szCs w:val="32"/>
        </w:rPr>
        <w:t>第八条</w:t>
      </w:r>
      <w:r>
        <w:rPr>
          <w:rFonts w:hint="eastAsia" w:eastAsia="仿宋_GB2312"/>
          <w:szCs w:val="32"/>
        </w:rPr>
        <w:t>　奖补资金的使用范围，主要包括以下方向：</w:t>
      </w:r>
    </w:p>
    <w:p>
      <w:pPr>
        <w:overflowPunct w:val="0"/>
        <w:spacing w:line="578" w:lineRule="exact"/>
        <w:ind w:firstLine="632" w:firstLineChars="200"/>
        <w:rPr>
          <w:rFonts w:eastAsia="仿宋_GB2312"/>
          <w:szCs w:val="32"/>
        </w:rPr>
      </w:pPr>
      <w:r>
        <w:rPr>
          <w:rFonts w:hint="eastAsia" w:eastAsia="仿宋_GB2312"/>
          <w:szCs w:val="32"/>
        </w:rPr>
        <w:t>（一）洪泽湖退圩还湖；</w:t>
      </w:r>
    </w:p>
    <w:p>
      <w:pPr>
        <w:overflowPunct w:val="0"/>
        <w:spacing w:line="578" w:lineRule="exact"/>
        <w:ind w:firstLine="632" w:firstLineChars="200"/>
        <w:rPr>
          <w:rFonts w:eastAsia="仿宋_GB2312"/>
          <w:szCs w:val="32"/>
        </w:rPr>
      </w:pPr>
      <w:r>
        <w:rPr>
          <w:rFonts w:hint="eastAsia" w:eastAsia="仿宋_GB2312"/>
          <w:szCs w:val="32"/>
        </w:rPr>
        <w:t>（二）洪泽湖生态修复；</w:t>
      </w:r>
    </w:p>
    <w:p>
      <w:pPr>
        <w:overflowPunct w:val="0"/>
        <w:spacing w:line="578" w:lineRule="exact"/>
        <w:ind w:firstLine="632" w:firstLineChars="200"/>
        <w:rPr>
          <w:rFonts w:eastAsia="仿宋_GB2312"/>
          <w:szCs w:val="32"/>
        </w:rPr>
      </w:pPr>
      <w:r>
        <w:rPr>
          <w:rFonts w:hint="eastAsia" w:eastAsia="仿宋_GB2312"/>
          <w:szCs w:val="32"/>
        </w:rPr>
        <w:t>（三）</w:t>
      </w:r>
      <w:r>
        <w:rPr>
          <w:rFonts w:hint="eastAsia" w:eastAsia="仿宋_GB2312"/>
          <w:szCs w:val="32"/>
          <w:shd w:val="clear" w:color="auto" w:fill="FFFFFF"/>
        </w:rPr>
        <w:t>市委、市政府在实施</w:t>
      </w:r>
      <w:r>
        <w:rPr>
          <w:rFonts w:hint="eastAsia" w:eastAsia="仿宋_GB2312"/>
          <w:szCs w:val="32"/>
        </w:rPr>
        <w:t>洪泽湖治理保护</w:t>
      </w:r>
      <w:r>
        <w:rPr>
          <w:rFonts w:hint="eastAsia" w:eastAsia="仿宋_GB2312"/>
          <w:szCs w:val="32"/>
          <w:shd w:val="clear" w:color="auto" w:fill="FFFFFF"/>
        </w:rPr>
        <w:t>过程中的其他重点任务和工作。</w:t>
      </w:r>
    </w:p>
    <w:p>
      <w:pPr>
        <w:overflowPunct w:val="0"/>
        <w:spacing w:line="578" w:lineRule="exact"/>
        <w:ind w:firstLine="632" w:firstLineChars="200"/>
        <w:rPr>
          <w:rFonts w:eastAsia="仿宋_GB2312"/>
          <w:szCs w:val="32"/>
        </w:rPr>
      </w:pPr>
      <w:r>
        <w:rPr>
          <w:rFonts w:hint="eastAsia" w:eastAsia="仿宋_GB2312"/>
          <w:b/>
          <w:szCs w:val="32"/>
        </w:rPr>
        <w:t>第九条</w:t>
      </w:r>
      <w:r>
        <w:rPr>
          <w:rFonts w:hint="eastAsia" w:eastAsia="仿宋_GB2312"/>
          <w:szCs w:val="32"/>
        </w:rPr>
        <w:t>　奖补资金不得用于兴建楼堂馆所、弥补预算支出缺口、工资福利和公用经费等一般性支出及与洪泽湖治理保护无关的其他支出。</w:t>
      </w:r>
    </w:p>
    <w:p>
      <w:pPr>
        <w:overflowPunct w:val="0"/>
        <w:spacing w:line="578" w:lineRule="exact"/>
        <w:ind w:firstLine="632" w:firstLineChars="200"/>
        <w:rPr>
          <w:rFonts w:eastAsia="仿宋_GB2312"/>
          <w:szCs w:val="32"/>
        </w:rPr>
      </w:pPr>
    </w:p>
    <w:p>
      <w:pPr>
        <w:tabs>
          <w:tab w:val="left" w:pos="1080"/>
        </w:tabs>
        <w:overflowPunct w:val="0"/>
        <w:spacing w:line="578" w:lineRule="exact"/>
        <w:jc w:val="center"/>
        <w:rPr>
          <w:rFonts w:eastAsia="黑体"/>
          <w:szCs w:val="32"/>
        </w:rPr>
      </w:pPr>
      <w:r>
        <w:rPr>
          <w:rFonts w:hint="eastAsia" w:hAnsi="黑体" w:eastAsia="黑体"/>
          <w:szCs w:val="32"/>
        </w:rPr>
        <w:t>第四章　资金分配和下达</w:t>
      </w:r>
    </w:p>
    <w:p>
      <w:pPr>
        <w:overflowPunct w:val="0"/>
        <w:spacing w:line="578" w:lineRule="exact"/>
        <w:ind w:firstLine="644"/>
        <w:rPr>
          <w:rFonts w:eastAsia="仿宋_GB2312"/>
          <w:szCs w:val="32"/>
        </w:rPr>
      </w:pPr>
    </w:p>
    <w:p>
      <w:pPr>
        <w:overflowPunct w:val="0"/>
        <w:spacing w:line="578" w:lineRule="exact"/>
        <w:ind w:firstLine="632" w:firstLineChars="200"/>
        <w:rPr>
          <w:rFonts w:eastAsia="仿宋_GB2312"/>
          <w:b/>
          <w:szCs w:val="32"/>
        </w:rPr>
      </w:pPr>
      <w:r>
        <w:rPr>
          <w:rFonts w:hint="eastAsia" w:eastAsia="仿宋_GB2312"/>
          <w:b/>
          <w:szCs w:val="32"/>
        </w:rPr>
        <w:t>第十条</w:t>
      </w:r>
      <w:r>
        <w:rPr>
          <w:rFonts w:hint="eastAsia" w:eastAsia="仿宋_GB2312"/>
          <w:szCs w:val="32"/>
        </w:rPr>
        <w:t xml:space="preserve">  按照多投多补原则，市财政局会同市洪泽湖管委会办公室制定奖补资金分配方案，上报市政府分管领导审批。市财政局根据审定的分配方案下达资金。</w:t>
      </w:r>
    </w:p>
    <w:p>
      <w:pPr>
        <w:overflowPunct w:val="0"/>
        <w:spacing w:line="578" w:lineRule="exact"/>
        <w:ind w:firstLine="632" w:firstLineChars="200"/>
        <w:rPr>
          <w:rFonts w:eastAsia="仿宋_GB2312"/>
          <w:szCs w:val="32"/>
        </w:rPr>
      </w:pPr>
      <w:r>
        <w:rPr>
          <w:rFonts w:hint="eastAsia" w:eastAsia="仿宋_GB2312"/>
          <w:b/>
          <w:szCs w:val="32"/>
        </w:rPr>
        <w:t>第十一条</w:t>
      </w:r>
      <w:r>
        <w:rPr>
          <w:rFonts w:hint="eastAsia" w:eastAsia="仿宋_GB2312"/>
          <w:szCs w:val="32"/>
        </w:rPr>
        <w:t xml:space="preserve">  市级奖补资金按年度分配，实行先建后补，分批下达，原则上第年5月、11月分两批次下达。</w:t>
      </w:r>
    </w:p>
    <w:p>
      <w:pPr>
        <w:overflowPunct w:val="0"/>
        <w:spacing w:line="578" w:lineRule="exact"/>
        <w:ind w:firstLine="632" w:firstLineChars="200"/>
        <w:rPr>
          <w:rFonts w:eastAsia="仿宋_GB2312"/>
          <w:szCs w:val="32"/>
        </w:rPr>
      </w:pPr>
      <w:r>
        <w:rPr>
          <w:rFonts w:hint="eastAsia" w:eastAsia="仿宋_GB2312"/>
          <w:b/>
          <w:szCs w:val="32"/>
        </w:rPr>
        <w:t>第十二条</w:t>
      </w:r>
      <w:r>
        <w:rPr>
          <w:rFonts w:hint="eastAsia" w:eastAsia="仿宋_GB2312"/>
          <w:szCs w:val="32"/>
        </w:rPr>
        <w:t xml:space="preserve">  奖补资金通过财政专项转移支付下达，由各县（区）按照具体项目管理要求和国库集中支付有关规定，及时拨付给项目实施单位和补助对象。</w:t>
      </w:r>
    </w:p>
    <w:p>
      <w:pPr>
        <w:overflowPunct w:val="0"/>
        <w:spacing w:line="578" w:lineRule="exact"/>
        <w:ind w:firstLine="632" w:firstLineChars="200"/>
        <w:rPr>
          <w:rFonts w:eastAsia="仿宋_GB2312"/>
          <w:szCs w:val="32"/>
        </w:rPr>
      </w:pPr>
    </w:p>
    <w:p>
      <w:pPr>
        <w:tabs>
          <w:tab w:val="left" w:pos="1080"/>
        </w:tabs>
        <w:overflowPunct w:val="0"/>
        <w:spacing w:line="578" w:lineRule="exact"/>
        <w:jc w:val="center"/>
        <w:rPr>
          <w:rFonts w:eastAsia="黑体"/>
          <w:szCs w:val="32"/>
        </w:rPr>
      </w:pPr>
      <w:r>
        <w:rPr>
          <w:rFonts w:hint="eastAsia" w:hAnsi="黑体" w:eastAsia="黑体"/>
          <w:szCs w:val="32"/>
        </w:rPr>
        <w:t>第五章　资金使用和管理</w:t>
      </w:r>
    </w:p>
    <w:p>
      <w:pPr>
        <w:overflowPunct w:val="0"/>
        <w:spacing w:line="578" w:lineRule="exact"/>
        <w:ind w:firstLine="632" w:firstLineChars="200"/>
        <w:rPr>
          <w:rFonts w:eastAsia="仿宋_GB2312"/>
          <w:szCs w:val="32"/>
        </w:rPr>
      </w:pPr>
    </w:p>
    <w:p>
      <w:pPr>
        <w:overflowPunct w:val="0"/>
        <w:spacing w:line="578" w:lineRule="exact"/>
        <w:ind w:firstLine="632" w:firstLineChars="200"/>
        <w:rPr>
          <w:rFonts w:eastAsia="仿宋_GB2312"/>
          <w:szCs w:val="32"/>
        </w:rPr>
      </w:pPr>
      <w:r>
        <w:rPr>
          <w:rFonts w:hint="eastAsia" w:eastAsia="仿宋_GB2312"/>
          <w:b/>
          <w:szCs w:val="32"/>
        </w:rPr>
        <w:t>第十三条</w:t>
      </w:r>
      <w:r>
        <w:rPr>
          <w:rFonts w:hint="eastAsia" w:eastAsia="仿宋_GB2312"/>
          <w:szCs w:val="32"/>
        </w:rPr>
        <w:t xml:space="preserve">  县区财政部门加快奖补资金的执行，将资金落实到项目中，加强资金使用、核算等环节的监督管理，提高资金使用效益。</w:t>
      </w:r>
    </w:p>
    <w:p>
      <w:pPr>
        <w:overflowPunct w:val="0"/>
        <w:spacing w:line="578" w:lineRule="exact"/>
        <w:ind w:firstLine="632" w:firstLineChars="200"/>
        <w:rPr>
          <w:rFonts w:eastAsia="仿宋_GB2312"/>
          <w:szCs w:val="32"/>
        </w:rPr>
      </w:pPr>
      <w:r>
        <w:rPr>
          <w:rFonts w:hint="eastAsia" w:eastAsia="仿宋_GB2312"/>
          <w:b/>
          <w:szCs w:val="32"/>
        </w:rPr>
        <w:t>第十四条</w:t>
      </w:r>
      <w:r>
        <w:rPr>
          <w:rFonts w:hint="eastAsia" w:eastAsia="仿宋_GB2312"/>
          <w:szCs w:val="32"/>
        </w:rPr>
        <w:t xml:space="preserve">  项目实施单位要严格按照规定用途使用资金。项目实施方案原则上不得变更，在项目执行期限内，因政策或规划调整、重大自然灾害等确需变更的，应当经原审批部门批准。</w:t>
      </w:r>
    </w:p>
    <w:p>
      <w:pPr>
        <w:overflowPunct w:val="0"/>
        <w:spacing w:line="578" w:lineRule="exact"/>
        <w:ind w:firstLine="632" w:firstLineChars="200"/>
        <w:rPr>
          <w:rFonts w:eastAsia="仿宋_GB2312"/>
          <w:szCs w:val="32"/>
        </w:rPr>
      </w:pPr>
      <w:r>
        <w:rPr>
          <w:rFonts w:hint="eastAsia" w:eastAsia="仿宋_GB2312" w:cs="宋体"/>
          <w:b/>
          <w:szCs w:val="32"/>
        </w:rPr>
        <w:t>第十五条</w:t>
      </w:r>
      <w:r>
        <w:rPr>
          <w:rFonts w:hint="eastAsia" w:eastAsia="仿宋_GB2312" w:cs="宋体"/>
          <w:szCs w:val="32"/>
        </w:rPr>
        <w:t xml:space="preserve">  奖补资金仅用作开展洪泽湖治理保护工作，不得挪作他用。</w:t>
      </w:r>
    </w:p>
    <w:p>
      <w:pPr>
        <w:tabs>
          <w:tab w:val="left" w:pos="1080"/>
        </w:tabs>
        <w:overflowPunct w:val="0"/>
        <w:spacing w:line="578" w:lineRule="exact"/>
        <w:jc w:val="center"/>
        <w:rPr>
          <w:rFonts w:hAnsi="黑体" w:eastAsia="黑体"/>
          <w:szCs w:val="32"/>
        </w:rPr>
      </w:pPr>
      <w:r>
        <w:rPr>
          <w:rFonts w:hint="eastAsia" w:hAnsi="黑体" w:eastAsia="黑体"/>
          <w:szCs w:val="32"/>
        </w:rPr>
        <w:t>第六章　绩效管理和监督检查</w:t>
      </w:r>
    </w:p>
    <w:p>
      <w:pPr>
        <w:tabs>
          <w:tab w:val="left" w:pos="1080"/>
        </w:tabs>
        <w:overflowPunct w:val="0"/>
        <w:spacing w:line="578" w:lineRule="exact"/>
        <w:jc w:val="center"/>
        <w:rPr>
          <w:rFonts w:hAnsi="黑体" w:eastAsia="黑体"/>
          <w:szCs w:val="32"/>
        </w:rPr>
      </w:pPr>
    </w:p>
    <w:p>
      <w:pPr>
        <w:overflowPunct w:val="0"/>
        <w:spacing w:line="578" w:lineRule="exact"/>
        <w:ind w:firstLine="632" w:firstLineChars="200"/>
        <w:rPr>
          <w:rFonts w:eastAsia="仿宋_GB2312" w:cs="宋体"/>
          <w:szCs w:val="32"/>
        </w:rPr>
      </w:pPr>
      <w:r>
        <w:rPr>
          <w:rFonts w:hint="eastAsia" w:eastAsia="仿宋_GB2312" w:cs="宋体"/>
          <w:b/>
          <w:szCs w:val="32"/>
        </w:rPr>
        <w:t>第十六条</w:t>
      </w:r>
      <w:r>
        <w:rPr>
          <w:rFonts w:hint="eastAsia" w:eastAsia="仿宋_GB2312" w:cs="宋体"/>
          <w:szCs w:val="32"/>
        </w:rPr>
        <w:t xml:space="preserve">  </w:t>
      </w:r>
      <w:r>
        <w:rPr>
          <w:rFonts w:eastAsia="仿宋_GB2312" w:cs="宋体"/>
          <w:szCs w:val="32"/>
        </w:rPr>
        <w:t>市财政局</w:t>
      </w:r>
      <w:r>
        <w:rPr>
          <w:rFonts w:hint="eastAsia" w:eastAsia="仿宋_GB2312" w:cs="宋体"/>
          <w:szCs w:val="32"/>
        </w:rPr>
        <w:t>和</w:t>
      </w:r>
      <w:r>
        <w:rPr>
          <w:rFonts w:eastAsia="仿宋_GB2312" w:cs="宋体"/>
          <w:szCs w:val="32"/>
        </w:rPr>
        <w:t>市</w:t>
      </w:r>
      <w:r>
        <w:rPr>
          <w:rFonts w:hint="eastAsia" w:eastAsia="仿宋_GB2312" w:cs="宋体"/>
          <w:szCs w:val="32"/>
        </w:rPr>
        <w:t>洪泽湖管委会办公室应当加强专项资金预算绩效管理，</w:t>
      </w:r>
      <w:r>
        <w:rPr>
          <w:rFonts w:eastAsia="仿宋_GB2312" w:cs="宋体"/>
          <w:szCs w:val="32"/>
        </w:rPr>
        <w:t>绩效评价结果作为资金预算安排和调整的重要依据。</w:t>
      </w:r>
    </w:p>
    <w:p>
      <w:pPr>
        <w:overflowPunct w:val="0"/>
        <w:spacing w:line="578" w:lineRule="exact"/>
        <w:ind w:firstLine="632" w:firstLineChars="200"/>
        <w:rPr>
          <w:rFonts w:eastAsia="仿宋_GB2312" w:cs="宋体"/>
          <w:szCs w:val="32"/>
        </w:rPr>
      </w:pPr>
      <w:r>
        <w:rPr>
          <w:rFonts w:hint="eastAsia" w:eastAsia="仿宋_GB2312" w:cs="宋体"/>
          <w:b/>
          <w:szCs w:val="32"/>
        </w:rPr>
        <w:t>第十七条</w:t>
      </w:r>
      <w:r>
        <w:rPr>
          <w:rFonts w:hint="eastAsia" w:eastAsia="仿宋_GB2312" w:cs="宋体"/>
          <w:szCs w:val="32"/>
        </w:rPr>
        <w:t xml:space="preserve">  </w:t>
      </w:r>
      <w:r>
        <w:rPr>
          <w:rFonts w:eastAsia="仿宋_GB2312" w:cs="宋体"/>
          <w:szCs w:val="32"/>
        </w:rPr>
        <w:t>市</w:t>
      </w:r>
      <w:r>
        <w:rPr>
          <w:rFonts w:hint="eastAsia" w:eastAsia="仿宋_GB2312" w:cs="宋体"/>
          <w:szCs w:val="32"/>
        </w:rPr>
        <w:t>洪泽湖管委会办公室应当设置专项资金预算绩效目标，对专项资金预算绩效目标实现程度和预算执行进度进行监控。</w:t>
      </w:r>
    </w:p>
    <w:p>
      <w:pPr>
        <w:overflowPunct w:val="0"/>
        <w:spacing w:line="578" w:lineRule="exact"/>
        <w:ind w:firstLine="632" w:firstLineChars="200"/>
        <w:rPr>
          <w:rFonts w:eastAsia="仿宋_GB2312" w:cs="宋体"/>
          <w:szCs w:val="32"/>
        </w:rPr>
      </w:pPr>
      <w:r>
        <w:rPr>
          <w:rFonts w:hint="eastAsia" w:eastAsia="仿宋_GB2312" w:cs="宋体"/>
          <w:b/>
          <w:szCs w:val="32"/>
        </w:rPr>
        <w:t>第十八条</w:t>
      </w:r>
      <w:r>
        <w:rPr>
          <w:rFonts w:hint="eastAsia" w:eastAsia="仿宋_GB2312" w:cs="宋体"/>
          <w:szCs w:val="32"/>
        </w:rPr>
        <w:t xml:space="preserve">  县（区）财政部门对专项资金政策执行情况、预算编制、管理情况和绩效等实施跟踪监督。</w:t>
      </w:r>
    </w:p>
    <w:p>
      <w:pPr>
        <w:overflowPunct w:val="0"/>
        <w:spacing w:line="578" w:lineRule="exact"/>
        <w:ind w:firstLine="632" w:firstLineChars="200"/>
        <w:rPr>
          <w:rFonts w:eastAsia="仿宋_GB2312" w:cs="宋体"/>
          <w:szCs w:val="32"/>
        </w:rPr>
      </w:pPr>
      <w:r>
        <w:rPr>
          <w:rFonts w:hint="eastAsia" w:eastAsia="仿宋_GB2312" w:cs="宋体"/>
          <w:szCs w:val="32"/>
        </w:rPr>
        <w:t>县（区）洪泽湖管委会办公室应当督促项目实施单位加强项目资金财务管理，按照规定用途使用专项资金，并按照规定向财政部门报告项目实施以及资金使用情况。</w:t>
      </w:r>
    </w:p>
    <w:p>
      <w:pPr>
        <w:overflowPunct w:val="0"/>
        <w:spacing w:line="578" w:lineRule="exact"/>
        <w:ind w:firstLine="632" w:firstLineChars="200"/>
        <w:rPr>
          <w:rFonts w:eastAsia="仿宋_GB2312" w:cs="宋体"/>
          <w:szCs w:val="32"/>
        </w:rPr>
      </w:pPr>
      <w:r>
        <w:rPr>
          <w:rFonts w:hint="eastAsia" w:eastAsia="仿宋_GB2312" w:cs="宋体"/>
          <w:b/>
          <w:szCs w:val="32"/>
        </w:rPr>
        <w:t>第十九条</w:t>
      </w:r>
      <w:r>
        <w:rPr>
          <w:rFonts w:hint="eastAsia" w:eastAsia="仿宋_GB2312" w:cs="宋体"/>
          <w:szCs w:val="32"/>
        </w:rPr>
        <w:t xml:space="preserve">  各级财政部门和洪泽湖管委会办公室及其工作人员在专项补助资金管理工作中，存在违反规定分配资金、向不符合条件的单位、个人（或项目）分配资金，以及其他滥用职权、玩忽职守、徇私舞弊等违法违规行为的，依照《中华人民共和国预算法》《财政违法行为处罚处分条例》等有关规定追究相应责任；涉嫌犯罪的，移交有关部门处理。</w:t>
      </w:r>
    </w:p>
    <w:p>
      <w:pPr>
        <w:overflowPunct w:val="0"/>
        <w:spacing w:line="578" w:lineRule="exact"/>
        <w:ind w:firstLine="632" w:firstLineChars="200"/>
        <w:rPr>
          <w:rFonts w:eastAsia="仿宋_GB2312" w:cs="宋体"/>
          <w:szCs w:val="32"/>
        </w:rPr>
      </w:pPr>
      <w:r>
        <w:rPr>
          <w:rFonts w:hint="eastAsia" w:eastAsia="仿宋_GB2312" w:cs="宋体"/>
          <w:b/>
          <w:szCs w:val="32"/>
        </w:rPr>
        <w:t>第二十条</w:t>
      </w:r>
      <w:r>
        <w:rPr>
          <w:rFonts w:hint="eastAsia" w:eastAsia="仿宋_GB2312" w:cs="宋体"/>
          <w:szCs w:val="32"/>
        </w:rPr>
        <w:t xml:space="preserve">  资金使用单位和个人存在虚报冒领、骗取套取、挤占挪用专项资金，以及其他违反法规定行为的，依照《中华人民共和国预算法》《财政违法行为处罚处分条例》等有关规定追究相应责任；涉嫌犯罪的，移交有关部门处理。</w:t>
      </w:r>
    </w:p>
    <w:p>
      <w:pPr>
        <w:overflowPunct w:val="0"/>
        <w:spacing w:line="578" w:lineRule="exact"/>
        <w:ind w:firstLine="632" w:firstLineChars="200"/>
        <w:rPr>
          <w:rFonts w:eastAsia="仿宋_GB2312" w:cs="宋体"/>
          <w:szCs w:val="32"/>
        </w:rPr>
      </w:pPr>
    </w:p>
    <w:p>
      <w:pPr>
        <w:tabs>
          <w:tab w:val="left" w:pos="1080"/>
        </w:tabs>
        <w:overflowPunct w:val="0"/>
        <w:spacing w:line="578" w:lineRule="exact"/>
        <w:jc w:val="center"/>
        <w:rPr>
          <w:rFonts w:eastAsia="黑体"/>
          <w:szCs w:val="32"/>
        </w:rPr>
      </w:pPr>
      <w:r>
        <w:rPr>
          <w:rFonts w:hint="eastAsia" w:hAnsi="黑体" w:eastAsia="黑体"/>
          <w:szCs w:val="32"/>
        </w:rPr>
        <w:t>第六章　附则</w:t>
      </w:r>
    </w:p>
    <w:p>
      <w:pPr>
        <w:overflowPunct w:val="0"/>
        <w:spacing w:line="578" w:lineRule="exact"/>
        <w:ind w:firstLine="632" w:firstLineChars="200"/>
        <w:rPr>
          <w:rFonts w:eastAsia="仿宋_GB2312"/>
          <w:szCs w:val="32"/>
        </w:rPr>
      </w:pPr>
    </w:p>
    <w:p>
      <w:pPr>
        <w:overflowPunct w:val="0"/>
        <w:spacing w:line="578" w:lineRule="exact"/>
        <w:ind w:firstLine="632" w:firstLineChars="200"/>
        <w:rPr>
          <w:rFonts w:eastAsia="仿宋_GB2312"/>
          <w:szCs w:val="32"/>
        </w:rPr>
      </w:pPr>
      <w:r>
        <w:rPr>
          <w:rFonts w:hint="eastAsia" w:eastAsia="仿宋_GB2312"/>
          <w:b/>
          <w:szCs w:val="32"/>
        </w:rPr>
        <w:t>第二十一条</w:t>
      </w:r>
      <w:r>
        <w:rPr>
          <w:rFonts w:hint="eastAsia" w:eastAsia="仿宋_GB2312"/>
          <w:szCs w:val="32"/>
        </w:rPr>
        <w:t xml:space="preserve">  本办法由市财政局会市洪泽湖管委会办公室负责解释。</w:t>
      </w:r>
    </w:p>
    <w:p>
      <w:pPr>
        <w:overflowPunct w:val="0"/>
        <w:spacing w:line="578" w:lineRule="exact"/>
        <w:ind w:firstLine="632" w:firstLineChars="200"/>
        <w:rPr>
          <w:rFonts w:eastAsia="仿宋_GB2312"/>
          <w:szCs w:val="32"/>
        </w:rPr>
      </w:pPr>
      <w:r>
        <w:rPr>
          <w:rFonts w:hint="eastAsia" w:eastAsia="仿宋_GB2312"/>
          <w:b/>
          <w:szCs w:val="32"/>
        </w:rPr>
        <w:t>第二十二条</w:t>
      </w:r>
      <w:r>
        <w:rPr>
          <w:rFonts w:hint="eastAsia" w:eastAsia="仿宋_GB2312"/>
          <w:szCs w:val="32"/>
        </w:rPr>
        <w:t xml:space="preserve">  本办法自发布之日起执行，执行期限三年。2020年11月24日市财政局、市洪泽湖管理委员会办公室印发的《淮安市洪泽湖治理保护市级财政资金奖补办法》（淮财农〔2020〕85号）同时废止。</w:t>
      </w:r>
    </w:p>
    <w:sectPr>
      <w:footerReference r:id="rId3" w:type="default"/>
      <w:footerReference r:id="rId4" w:type="even"/>
      <w:pgSz w:w="11906" w:h="16838"/>
      <w:pgMar w:top="2098" w:right="1474" w:bottom="1985"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058919"/>
      <w:docPartObj>
        <w:docPartGallery w:val="AutoText"/>
      </w:docPartObj>
    </w:sdtPr>
    <w:sdtEndPr>
      <w:rPr>
        <w:rFonts w:ascii="宋体" w:hAnsi="宋体" w:eastAsia="宋体"/>
        <w:sz w:val="28"/>
        <w:szCs w:val="28"/>
      </w:rPr>
    </w:sdtEndPr>
    <w:sdtContent>
      <w:p>
        <w:pPr>
          <w:pStyle w:val="3"/>
          <w:ind w:right="320" w:rightChars="10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430206"/>
      <w:docPartObj>
        <w:docPartGallery w:val="AutoText"/>
      </w:docPartObj>
    </w:sdtPr>
    <w:sdtEndPr>
      <w:rPr>
        <w:rFonts w:ascii="宋体" w:hAnsi="宋体" w:eastAsia="宋体"/>
        <w:sz w:val="28"/>
        <w:szCs w:val="28"/>
      </w:rPr>
    </w:sdtEndPr>
    <w:sdtContent>
      <w:p>
        <w:pPr>
          <w:pStyle w:val="3"/>
          <w:ind w:left="320" w:leftChars="10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50B9"/>
    <w:rsid w:val="00022D99"/>
    <w:rsid w:val="0002302F"/>
    <w:rsid w:val="00043440"/>
    <w:rsid w:val="00060999"/>
    <w:rsid w:val="000637A3"/>
    <w:rsid w:val="00091A85"/>
    <w:rsid w:val="000945BD"/>
    <w:rsid w:val="000B0BD5"/>
    <w:rsid w:val="000B7CEB"/>
    <w:rsid w:val="000C1D07"/>
    <w:rsid w:val="000C6C3A"/>
    <w:rsid w:val="000E12CF"/>
    <w:rsid w:val="000E606C"/>
    <w:rsid w:val="001041ED"/>
    <w:rsid w:val="001052E2"/>
    <w:rsid w:val="00147109"/>
    <w:rsid w:val="001B5F89"/>
    <w:rsid w:val="001C330F"/>
    <w:rsid w:val="001E35FC"/>
    <w:rsid w:val="001E6DDC"/>
    <w:rsid w:val="001F0951"/>
    <w:rsid w:val="00205AE2"/>
    <w:rsid w:val="00222CF8"/>
    <w:rsid w:val="0022596A"/>
    <w:rsid w:val="00227B2E"/>
    <w:rsid w:val="00240652"/>
    <w:rsid w:val="00242F2F"/>
    <w:rsid w:val="002524A5"/>
    <w:rsid w:val="00253629"/>
    <w:rsid w:val="00257D4E"/>
    <w:rsid w:val="00272BC5"/>
    <w:rsid w:val="00276AC0"/>
    <w:rsid w:val="00284EE2"/>
    <w:rsid w:val="00287891"/>
    <w:rsid w:val="002A759A"/>
    <w:rsid w:val="002B0DF2"/>
    <w:rsid w:val="002D41AD"/>
    <w:rsid w:val="002D45FE"/>
    <w:rsid w:val="002D6E23"/>
    <w:rsid w:val="002E04B9"/>
    <w:rsid w:val="002E7AA3"/>
    <w:rsid w:val="002F2C60"/>
    <w:rsid w:val="00302757"/>
    <w:rsid w:val="00305D74"/>
    <w:rsid w:val="00310B6A"/>
    <w:rsid w:val="0031146C"/>
    <w:rsid w:val="003301D8"/>
    <w:rsid w:val="0033029B"/>
    <w:rsid w:val="003342DA"/>
    <w:rsid w:val="003343BF"/>
    <w:rsid w:val="00342EDB"/>
    <w:rsid w:val="00345ED4"/>
    <w:rsid w:val="003566C4"/>
    <w:rsid w:val="003577D0"/>
    <w:rsid w:val="00366F1E"/>
    <w:rsid w:val="003966C7"/>
    <w:rsid w:val="003C76DE"/>
    <w:rsid w:val="003E0BD1"/>
    <w:rsid w:val="003F25E8"/>
    <w:rsid w:val="003F309A"/>
    <w:rsid w:val="00404756"/>
    <w:rsid w:val="004159BF"/>
    <w:rsid w:val="00415C16"/>
    <w:rsid w:val="00415F12"/>
    <w:rsid w:val="004206FB"/>
    <w:rsid w:val="00436FE9"/>
    <w:rsid w:val="00442700"/>
    <w:rsid w:val="004433FA"/>
    <w:rsid w:val="00454C0A"/>
    <w:rsid w:val="00460CC5"/>
    <w:rsid w:val="00472768"/>
    <w:rsid w:val="004B3D52"/>
    <w:rsid w:val="004B7261"/>
    <w:rsid w:val="004D5185"/>
    <w:rsid w:val="004E2CCC"/>
    <w:rsid w:val="004E676E"/>
    <w:rsid w:val="004F1B97"/>
    <w:rsid w:val="004F1D01"/>
    <w:rsid w:val="0050010A"/>
    <w:rsid w:val="00505E72"/>
    <w:rsid w:val="00506E7E"/>
    <w:rsid w:val="005163C4"/>
    <w:rsid w:val="0052586C"/>
    <w:rsid w:val="00554267"/>
    <w:rsid w:val="00572D1D"/>
    <w:rsid w:val="00584FA8"/>
    <w:rsid w:val="00594496"/>
    <w:rsid w:val="005A79B8"/>
    <w:rsid w:val="005B1C0E"/>
    <w:rsid w:val="005B4CE8"/>
    <w:rsid w:val="005B76CA"/>
    <w:rsid w:val="005D6246"/>
    <w:rsid w:val="005E4200"/>
    <w:rsid w:val="005F00D1"/>
    <w:rsid w:val="006064CB"/>
    <w:rsid w:val="00606835"/>
    <w:rsid w:val="00622318"/>
    <w:rsid w:val="006228B1"/>
    <w:rsid w:val="00636ED9"/>
    <w:rsid w:val="00652900"/>
    <w:rsid w:val="00661420"/>
    <w:rsid w:val="00691F6B"/>
    <w:rsid w:val="00694749"/>
    <w:rsid w:val="006A14A6"/>
    <w:rsid w:val="006A7F9B"/>
    <w:rsid w:val="006C771A"/>
    <w:rsid w:val="007060BF"/>
    <w:rsid w:val="007061F9"/>
    <w:rsid w:val="00726185"/>
    <w:rsid w:val="00727425"/>
    <w:rsid w:val="00727C11"/>
    <w:rsid w:val="00730687"/>
    <w:rsid w:val="00741F40"/>
    <w:rsid w:val="0075004F"/>
    <w:rsid w:val="00753933"/>
    <w:rsid w:val="00755839"/>
    <w:rsid w:val="007573C4"/>
    <w:rsid w:val="00767D35"/>
    <w:rsid w:val="00771AE6"/>
    <w:rsid w:val="00774DB9"/>
    <w:rsid w:val="007872EB"/>
    <w:rsid w:val="007A5457"/>
    <w:rsid w:val="007B7067"/>
    <w:rsid w:val="007C69EE"/>
    <w:rsid w:val="007E78AC"/>
    <w:rsid w:val="007F17C3"/>
    <w:rsid w:val="007F2839"/>
    <w:rsid w:val="008109AF"/>
    <w:rsid w:val="0081229D"/>
    <w:rsid w:val="00820C47"/>
    <w:rsid w:val="00822708"/>
    <w:rsid w:val="00831778"/>
    <w:rsid w:val="00842CC0"/>
    <w:rsid w:val="00853BFC"/>
    <w:rsid w:val="008854FA"/>
    <w:rsid w:val="0089220A"/>
    <w:rsid w:val="008A5619"/>
    <w:rsid w:val="008F12B1"/>
    <w:rsid w:val="008F21F0"/>
    <w:rsid w:val="008F6864"/>
    <w:rsid w:val="0090124F"/>
    <w:rsid w:val="00905AC9"/>
    <w:rsid w:val="00932495"/>
    <w:rsid w:val="00932620"/>
    <w:rsid w:val="00942C1D"/>
    <w:rsid w:val="0099679E"/>
    <w:rsid w:val="009C5ECF"/>
    <w:rsid w:val="009D245E"/>
    <w:rsid w:val="009D5219"/>
    <w:rsid w:val="009E0C1D"/>
    <w:rsid w:val="009F1F1B"/>
    <w:rsid w:val="009F7098"/>
    <w:rsid w:val="00A0199C"/>
    <w:rsid w:val="00A127C7"/>
    <w:rsid w:val="00A177BA"/>
    <w:rsid w:val="00A401AA"/>
    <w:rsid w:val="00A47A70"/>
    <w:rsid w:val="00A5540C"/>
    <w:rsid w:val="00A67050"/>
    <w:rsid w:val="00A67DA5"/>
    <w:rsid w:val="00A91371"/>
    <w:rsid w:val="00AC2579"/>
    <w:rsid w:val="00AC28B8"/>
    <w:rsid w:val="00AC5AC0"/>
    <w:rsid w:val="00AE085F"/>
    <w:rsid w:val="00AE60AA"/>
    <w:rsid w:val="00AF5A01"/>
    <w:rsid w:val="00B00563"/>
    <w:rsid w:val="00B24DA6"/>
    <w:rsid w:val="00B335FC"/>
    <w:rsid w:val="00B55FAC"/>
    <w:rsid w:val="00B858D8"/>
    <w:rsid w:val="00BA7BBA"/>
    <w:rsid w:val="00C116C5"/>
    <w:rsid w:val="00C26CC1"/>
    <w:rsid w:val="00C525FB"/>
    <w:rsid w:val="00C53202"/>
    <w:rsid w:val="00C55035"/>
    <w:rsid w:val="00C60B03"/>
    <w:rsid w:val="00C927AF"/>
    <w:rsid w:val="00CA56E5"/>
    <w:rsid w:val="00CB3AA4"/>
    <w:rsid w:val="00CC7FC0"/>
    <w:rsid w:val="00CD786D"/>
    <w:rsid w:val="00D05904"/>
    <w:rsid w:val="00D238E4"/>
    <w:rsid w:val="00D25432"/>
    <w:rsid w:val="00D27E20"/>
    <w:rsid w:val="00D411B3"/>
    <w:rsid w:val="00D478C0"/>
    <w:rsid w:val="00D577FF"/>
    <w:rsid w:val="00D658F2"/>
    <w:rsid w:val="00D71F41"/>
    <w:rsid w:val="00D8423E"/>
    <w:rsid w:val="00DA2240"/>
    <w:rsid w:val="00DC2C25"/>
    <w:rsid w:val="00DC331E"/>
    <w:rsid w:val="00DC5718"/>
    <w:rsid w:val="00DD0EA4"/>
    <w:rsid w:val="00DD11A5"/>
    <w:rsid w:val="00DD70E9"/>
    <w:rsid w:val="00DE3B8F"/>
    <w:rsid w:val="00DF2A9A"/>
    <w:rsid w:val="00DF3B5B"/>
    <w:rsid w:val="00E02639"/>
    <w:rsid w:val="00E14001"/>
    <w:rsid w:val="00E2145E"/>
    <w:rsid w:val="00E26E0E"/>
    <w:rsid w:val="00E350B9"/>
    <w:rsid w:val="00E4155F"/>
    <w:rsid w:val="00EA2D0E"/>
    <w:rsid w:val="00EC3F3D"/>
    <w:rsid w:val="00ED2929"/>
    <w:rsid w:val="00EE0269"/>
    <w:rsid w:val="00F01635"/>
    <w:rsid w:val="00F07285"/>
    <w:rsid w:val="00F13CEA"/>
    <w:rsid w:val="00F64BE6"/>
    <w:rsid w:val="00F84666"/>
    <w:rsid w:val="00F876E6"/>
    <w:rsid w:val="00F92616"/>
    <w:rsid w:val="00FA6A46"/>
    <w:rsid w:val="00FB3B38"/>
    <w:rsid w:val="00FF6081"/>
    <w:rsid w:val="3DDFA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Char"/>
    <w:basedOn w:val="7"/>
    <w:link w:val="2"/>
    <w:semiHidden/>
    <w:uiPriority w:val="99"/>
    <w:rPr>
      <w:rFonts w:ascii="Times New Roman" w:hAnsi="Times New Roman" w:eastAsia="仿宋"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Words>
  <Characters>1500</Characters>
  <Lines>12</Lines>
  <Paragraphs>3</Paragraphs>
  <TotalTime>255</TotalTime>
  <ScaleCrop>false</ScaleCrop>
  <LinksUpToDate>false</LinksUpToDate>
  <CharactersWithSpaces>1760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2021-04-13T14:06:00Z</dcterms:created>
  <dc:creator>Louis</dc:creator>
  <cp:lastModifiedBy>taiji</cp:lastModifiedBy>
  <cp:lastPrinted>2023-02-20T13:58:00Z</cp:lastPrinted>
  <dcterms:modified xsi:type="dcterms:W3CDTF">2023-06-07T09:41:11Z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