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overflowPunct w:val="0"/>
        <w:spacing w:line="578" w:lineRule="exact"/>
        <w:rPr>
          <w:rFonts w:eastAsia="方正仿宋_GBK"/>
          <w:sz w:val="32"/>
          <w:szCs w:val="32"/>
        </w:rPr>
      </w:pPr>
    </w:p>
    <w:p>
      <w:pPr>
        <w:overflowPunct w:val="0"/>
        <w:spacing w:line="578" w:lineRule="exact"/>
        <w:jc w:val="center"/>
        <w:rPr>
          <w:rFonts w:eastAsia="方正小标宋_GBK"/>
          <w:sz w:val="44"/>
          <w:szCs w:val="44"/>
        </w:rPr>
      </w:pPr>
      <w:r>
        <w:rPr>
          <w:rFonts w:eastAsia="方正小标宋_GBK"/>
          <w:sz w:val="44"/>
          <w:szCs w:val="44"/>
        </w:rPr>
        <w:t>淮安市</w:t>
      </w:r>
      <w:r>
        <w:rPr>
          <w:rFonts w:eastAsia="方正小标宋_GBK" w:hint="eastAsia"/>
          <w:sz w:val="44"/>
          <w:szCs w:val="44"/>
        </w:rPr>
        <w:t>灌区节水改造项目专项资金</w:t>
      </w:r>
      <w:r>
        <w:rPr>
          <w:rFonts w:eastAsia="方正小标宋_GBK"/>
          <w:sz w:val="44"/>
          <w:szCs w:val="44"/>
        </w:rPr>
        <w:t>管理办法</w:t>
      </w:r>
    </w:p>
    <w:p>
      <w:pPr>
        <w:tabs>
          <w:tab w:val="left" w:pos="1080"/>
        </w:tabs>
        <w:overflowPunct w:val="0"/>
        <w:spacing w:line="578" w:lineRule="exact"/>
        <w:jc w:val="center"/>
        <w:rPr>
          <w:rFonts w:eastAsia="方正仿宋_GBK"/>
          <w:sz w:val="32"/>
          <w:szCs w:val="32"/>
        </w:rPr>
      </w:pPr>
      <w:r>
        <w:rPr>
          <w:rFonts w:eastAsia="方正仿宋_GBK" w:hint="eastAsia"/>
          <w:sz w:val="32"/>
          <w:szCs w:val="32"/>
        </w:rPr>
        <w:t>（征求意见稿）</w:t>
      </w:r>
    </w:p>
    <w:p>
      <w:pPr>
        <w:tabs>
          <w:tab w:val="left" w:pos="1080"/>
        </w:tabs>
        <w:overflowPunct w:val="0"/>
        <w:spacing w:line="578" w:lineRule="exact"/>
        <w:jc w:val="center"/>
        <w:rPr>
          <w:rFonts w:eastAsia="方正仿宋_GBK"/>
          <w:sz w:val="32"/>
          <w:szCs w:val="32"/>
        </w:rPr>
      </w:pPr>
    </w:p>
    <w:p>
      <w:pPr>
        <w:tabs>
          <w:tab w:val="left" w:pos="1080"/>
        </w:tabs>
        <w:overflowPunct w:val="0"/>
        <w:spacing w:line="578" w:lineRule="exact"/>
        <w:jc w:val="center"/>
        <w:rPr>
          <w:rFonts w:eastAsia="方正黑体_GBK"/>
          <w:sz w:val="32"/>
          <w:szCs w:val="32"/>
        </w:rPr>
      </w:pPr>
      <w:r>
        <w:rPr>
          <w:rFonts w:eastAsia="方正黑体_GBK"/>
          <w:sz w:val="32"/>
          <w:szCs w:val="32"/>
        </w:rPr>
        <w:t>第一章　总则</w:t>
      </w:r>
    </w:p>
    <w:p>
      <w:pPr>
        <w:overflowPunct w:val="0"/>
        <w:spacing w:line="578" w:lineRule="exact"/>
        <w:ind w:firstLineChars="200" w:firstLine="640"/>
        <w:rPr>
          <w:rFonts w:eastAsia="方正黑体_GBK"/>
          <w:sz w:val="32"/>
          <w:szCs w:val="32"/>
        </w:rPr>
      </w:pPr>
    </w:p>
    <w:p>
      <w:pPr>
        <w:overflowPunct w:val="0"/>
        <w:spacing w:line="578" w:lineRule="exact"/>
        <w:ind w:firstLineChars="200" w:firstLine="640"/>
        <w:rPr>
          <w:rFonts w:eastAsia="方正仿宋_GBK"/>
          <w:sz w:val="32"/>
          <w:szCs w:val="32"/>
        </w:rPr>
      </w:pPr>
      <w:r>
        <w:rPr>
          <w:rFonts w:ascii="方正楷体_GBK" w:eastAsia="方正楷体_GBK" w:cs="方正楷体_GBK" w:hint="eastAsia"/>
          <w:b/>
          <w:bCs/>
          <w:sz w:val="32"/>
          <w:szCs w:val="32"/>
        </w:rPr>
        <w:t>第一条</w:t>
      </w:r>
      <w:r>
        <w:rPr>
          <w:rFonts w:eastAsia="方正仿宋_GBK" w:hint="eastAsia"/>
          <w:sz w:val="32"/>
          <w:szCs w:val="32"/>
        </w:rPr>
        <w:t xml:space="preserve">  </w:t>
      </w:r>
      <w:r>
        <w:rPr>
          <w:rFonts w:eastAsia="方正仿宋_GBK"/>
          <w:sz w:val="32"/>
          <w:szCs w:val="32"/>
        </w:rPr>
        <w:t>为加强和规范</w:t>
      </w:r>
      <w:r>
        <w:rPr>
          <w:rFonts w:eastAsia="方正仿宋_GBK" w:hint="eastAsia"/>
          <w:sz w:val="32"/>
          <w:szCs w:val="32"/>
        </w:rPr>
        <w:t>淮安市灌区节水改造项目专项资金</w:t>
      </w:r>
      <w:r>
        <w:rPr>
          <w:rFonts w:eastAsia="方正仿宋_GBK"/>
          <w:sz w:val="32"/>
          <w:szCs w:val="32"/>
        </w:rPr>
        <w:t>管理（以下简称“专项资金”），提高财政资金使用效益，根据《中华人民共和国预算法》《</w:t>
      </w:r>
      <w:r>
        <w:rPr>
          <w:rFonts w:eastAsia="方正仿宋_GBK" w:hint="eastAsia"/>
          <w:sz w:val="32"/>
          <w:szCs w:val="32"/>
        </w:rPr>
        <w:t>淮安市市级财政专项资金管理办法</w:t>
      </w:r>
      <w:r>
        <w:rPr>
          <w:rFonts w:eastAsia="方正仿宋_GBK"/>
          <w:sz w:val="32"/>
          <w:szCs w:val="32"/>
        </w:rPr>
        <w:t>》（淮</w:t>
      </w:r>
      <w:r>
        <w:rPr>
          <w:rFonts w:eastAsia="方正仿宋_GBK" w:hint="eastAsia"/>
          <w:sz w:val="32"/>
          <w:szCs w:val="32"/>
        </w:rPr>
        <w:t>政规</w:t>
      </w:r>
      <w:r>
        <w:rPr>
          <w:rFonts w:eastAsia="方正仿宋_GBK"/>
          <w:sz w:val="32"/>
          <w:szCs w:val="32"/>
        </w:rPr>
        <w:t>〔202</w:t>
      </w:r>
      <w:r>
        <w:rPr>
          <w:rFonts w:eastAsia="方正仿宋_GBK" w:hint="eastAsia"/>
          <w:sz w:val="32"/>
          <w:szCs w:val="32"/>
        </w:rPr>
        <w:t>2</w:t>
      </w:r>
      <w:r>
        <w:rPr>
          <w:rFonts w:eastAsia="方正仿宋_GBK"/>
          <w:sz w:val="32"/>
          <w:szCs w:val="32"/>
        </w:rPr>
        <w:t>〕</w:t>
      </w:r>
      <w:r>
        <w:rPr>
          <w:rFonts w:eastAsia="方正仿宋_GBK" w:hint="eastAsia"/>
          <w:sz w:val="32"/>
          <w:szCs w:val="32"/>
        </w:rPr>
        <w:t>6</w:t>
      </w:r>
      <w:r>
        <w:rPr>
          <w:rFonts w:eastAsia="方正仿宋_GBK"/>
          <w:sz w:val="32"/>
          <w:szCs w:val="32"/>
        </w:rPr>
        <w:t>号）</w:t>
      </w:r>
      <w:r>
        <w:rPr>
          <w:rFonts w:eastAsia="方正仿宋_GBK" w:hint="eastAsia"/>
          <w:sz w:val="32"/>
          <w:szCs w:val="32"/>
        </w:rPr>
        <w:t>、《大中型灌区续建配套节水改造项目建设管理办法》（发改农经</w:t>
      </w:r>
      <w:r>
        <w:rPr>
          <w:rFonts w:eastAsia="方正仿宋_GBK"/>
          <w:sz w:val="32"/>
          <w:szCs w:val="32"/>
        </w:rPr>
        <w:t>〔</w:t>
      </w:r>
      <w:r>
        <w:rPr>
          <w:rFonts w:eastAsia="方正仿宋_GBK" w:hint="eastAsia"/>
          <w:sz w:val="32"/>
          <w:szCs w:val="32"/>
        </w:rPr>
        <w:t>2015</w:t>
      </w:r>
      <w:r>
        <w:rPr>
          <w:rFonts w:eastAsia="方正仿宋_GBK"/>
          <w:sz w:val="32"/>
          <w:szCs w:val="32"/>
        </w:rPr>
        <w:t>〕</w:t>
      </w:r>
      <w:r>
        <w:rPr>
          <w:rFonts w:eastAsia="方正仿宋_GBK" w:hint="eastAsia"/>
          <w:sz w:val="32"/>
          <w:szCs w:val="32"/>
        </w:rPr>
        <w:t>3139号）、《江苏省中型灌区续建配套与节水改造项目建设管理办法》（苏水农</w:t>
      </w:r>
      <w:r>
        <w:rPr>
          <w:rFonts w:eastAsia="方正仿宋_GBK"/>
          <w:sz w:val="32"/>
          <w:szCs w:val="32"/>
        </w:rPr>
        <w:t>〔202</w:t>
      </w:r>
      <w:r>
        <w:rPr>
          <w:rFonts w:eastAsia="方正仿宋_GBK" w:hint="eastAsia"/>
          <w:sz w:val="32"/>
          <w:szCs w:val="32"/>
        </w:rPr>
        <w:t>0</w:t>
      </w:r>
      <w:r>
        <w:rPr>
          <w:rFonts w:eastAsia="方正仿宋_GBK"/>
          <w:sz w:val="32"/>
          <w:szCs w:val="32"/>
        </w:rPr>
        <w:t>〕</w:t>
      </w:r>
      <w:r>
        <w:rPr>
          <w:rFonts w:eastAsia="方正仿宋_GBK" w:hint="eastAsia"/>
          <w:sz w:val="32"/>
          <w:szCs w:val="32"/>
        </w:rPr>
        <w:t>25号）等有关规定</w:t>
      </w:r>
      <w:r>
        <w:rPr>
          <w:rFonts w:eastAsia="方正仿宋_GBK"/>
          <w:sz w:val="32"/>
          <w:szCs w:val="32"/>
        </w:rPr>
        <w:t>，制定本办法。</w:t>
      </w:r>
    </w:p>
    <w:p>
      <w:pPr>
        <w:overflowPunct w:val="0"/>
        <w:spacing w:line="578" w:lineRule="exact"/>
        <w:ind w:firstLineChars="200" w:firstLine="640"/>
        <w:rPr>
          <w:rFonts w:eastAsia="方正仿宋_GBK"/>
          <w:sz w:val="32"/>
          <w:szCs w:val="32"/>
        </w:rPr>
      </w:pPr>
      <w:r>
        <w:rPr>
          <w:rFonts w:ascii="方正楷体_GBK" w:eastAsia="方正楷体_GBK" w:cs="方正楷体_GBK" w:hint="eastAsia"/>
          <w:b/>
          <w:bCs/>
          <w:sz w:val="32"/>
          <w:szCs w:val="32"/>
        </w:rPr>
        <w:t>第二条</w:t>
      </w:r>
      <w:r>
        <w:rPr>
          <w:rFonts w:eastAsia="方正仿宋_GBK" w:hint="eastAsia"/>
          <w:sz w:val="32"/>
          <w:szCs w:val="32"/>
        </w:rPr>
        <w:t xml:space="preserve">  </w:t>
      </w:r>
      <w:r>
        <w:rPr>
          <w:rFonts w:eastAsia="方正仿宋_GBK"/>
          <w:sz w:val="32"/>
          <w:szCs w:val="32"/>
        </w:rPr>
        <w:t>本办法所称</w:t>
      </w:r>
      <w:r>
        <w:rPr>
          <w:rFonts w:eastAsia="方正仿宋_GBK" w:hint="eastAsia"/>
          <w:sz w:val="32"/>
          <w:szCs w:val="32"/>
        </w:rPr>
        <w:t>专项资金</w:t>
      </w:r>
      <w:r>
        <w:rPr>
          <w:rFonts w:eastAsia="方正仿宋_GBK"/>
          <w:sz w:val="32"/>
          <w:szCs w:val="32"/>
        </w:rPr>
        <w:t>是指由市财政设立，纳入市级财政预算管理，用于</w:t>
      </w:r>
      <w:r>
        <w:rPr>
          <w:rFonts w:eastAsia="方正仿宋_GBK" w:hint="eastAsia"/>
          <w:sz w:val="32"/>
          <w:szCs w:val="32"/>
        </w:rPr>
        <w:t>大中型灌区节水改造项目建设与管理</w:t>
      </w:r>
      <w:r>
        <w:rPr>
          <w:rFonts w:eastAsia="方正仿宋_GBK"/>
          <w:sz w:val="32"/>
          <w:szCs w:val="32"/>
        </w:rPr>
        <w:t>等方面的专项资金。</w:t>
      </w:r>
    </w:p>
    <w:p>
      <w:pPr>
        <w:overflowPunct w:val="0"/>
        <w:spacing w:line="578" w:lineRule="exact"/>
        <w:ind w:firstLineChars="200" w:firstLine="640"/>
        <w:rPr>
          <w:rFonts w:eastAsia="方正仿宋_GBK"/>
          <w:sz w:val="32"/>
          <w:szCs w:val="32"/>
        </w:rPr>
      </w:pPr>
      <w:r>
        <w:rPr>
          <w:rFonts w:ascii="方正楷体_GBK" w:eastAsia="方正楷体_GBK" w:cs="方正楷体_GBK" w:hint="eastAsia"/>
          <w:b/>
          <w:bCs/>
          <w:sz w:val="32"/>
          <w:szCs w:val="32"/>
        </w:rPr>
        <w:t>第三条</w:t>
      </w:r>
      <w:r>
        <w:rPr>
          <w:rFonts w:eastAsia="方正仿宋_GBK" w:hint="eastAsia"/>
          <w:sz w:val="32"/>
          <w:szCs w:val="32"/>
        </w:rPr>
        <w:t xml:space="preserve">  </w:t>
      </w:r>
      <w:r>
        <w:rPr>
          <w:rFonts w:eastAsia="方正仿宋_GBK"/>
          <w:sz w:val="32"/>
          <w:szCs w:val="32"/>
        </w:rPr>
        <w:t>专项资金由市财政局会同市</w:t>
      </w:r>
      <w:r>
        <w:rPr>
          <w:rFonts w:eastAsia="方正仿宋_GBK" w:hint="eastAsia"/>
          <w:sz w:val="32"/>
          <w:szCs w:val="32"/>
        </w:rPr>
        <w:t>水利局</w:t>
      </w:r>
      <w:bookmarkStart w:id="0" w:name="_GoBack"/>
      <w:bookmarkEnd w:id="0"/>
      <w:r>
        <w:rPr>
          <w:rFonts w:eastAsia="方正仿宋_GBK"/>
          <w:sz w:val="32"/>
          <w:szCs w:val="32"/>
        </w:rPr>
        <w:t>按照各自职能分工共同管理，按照“</w:t>
      </w:r>
      <w:r>
        <w:rPr>
          <w:rFonts w:eastAsia="方正仿宋_GBK" w:hint="eastAsia"/>
          <w:sz w:val="32"/>
          <w:szCs w:val="32"/>
        </w:rPr>
        <w:t>科学规范，公开透明，统筹兼顾，突出重点，绩效优先，强化监督</w:t>
      </w:r>
      <w:r>
        <w:rPr>
          <w:rFonts w:eastAsia="方正仿宋_GBK"/>
          <w:sz w:val="32"/>
          <w:szCs w:val="32"/>
        </w:rPr>
        <w:t>”的原则分配、使用和管理。</w:t>
      </w:r>
    </w:p>
    <w:p>
      <w:pPr>
        <w:overflowPunct w:val="0"/>
        <w:spacing w:line="578" w:lineRule="exact"/>
        <w:ind w:firstLine="630"/>
        <w:jc w:val="left"/>
        <w:rPr>
          <w:rFonts w:eastAsia="方正仿宋_GBK"/>
          <w:sz w:val="32"/>
          <w:szCs w:val="32"/>
        </w:rPr>
      </w:pPr>
    </w:p>
    <w:p>
      <w:pPr>
        <w:overflowPunct w:val="0"/>
        <w:spacing w:line="578" w:lineRule="exact"/>
        <w:jc w:val="center"/>
        <w:rPr>
          <w:rFonts w:eastAsia="方正黑体_GBK"/>
          <w:sz w:val="32"/>
          <w:szCs w:val="32"/>
        </w:rPr>
      </w:pPr>
      <w:r>
        <w:rPr>
          <w:rFonts w:eastAsia="方正黑体_GBK"/>
          <w:sz w:val="32"/>
          <w:szCs w:val="32"/>
        </w:rPr>
        <w:t>第二章　管理职责</w:t>
      </w:r>
    </w:p>
    <w:p>
      <w:pPr>
        <w:overflowPunct w:val="0"/>
        <w:spacing w:line="578" w:lineRule="exact"/>
        <w:ind w:firstLineChars="200" w:firstLine="640"/>
        <w:rPr>
          <w:rFonts w:eastAsia="方正黑体_GBK"/>
          <w:sz w:val="32"/>
          <w:szCs w:val="32"/>
        </w:rPr>
      </w:pPr>
    </w:p>
    <w:p>
      <w:pPr>
        <w:overflowPunct w:val="0"/>
        <w:spacing w:line="578" w:lineRule="exact"/>
        <w:ind w:firstLineChars="200" w:firstLine="640"/>
        <w:rPr>
          <w:rFonts w:eastAsia="方正仿宋_GBK"/>
          <w:sz w:val="32"/>
          <w:szCs w:val="32"/>
        </w:rPr>
      </w:pPr>
      <w:r>
        <w:rPr>
          <w:rFonts w:ascii="方正楷体_GBK" w:eastAsia="方正楷体_GBK" w:cs="方正楷体_GBK" w:hint="eastAsia"/>
          <w:b/>
          <w:bCs/>
          <w:sz w:val="32"/>
          <w:szCs w:val="32"/>
        </w:rPr>
        <w:t>第四条</w:t>
      </w:r>
      <w:r>
        <w:rPr>
          <w:rFonts w:eastAsia="方正仿宋_GBK" w:hint="eastAsia"/>
          <w:sz w:val="32"/>
          <w:szCs w:val="32"/>
        </w:rPr>
        <w:t xml:space="preserve">  </w:t>
      </w:r>
      <w:r>
        <w:rPr>
          <w:rFonts w:eastAsia="方正仿宋_GBK"/>
          <w:sz w:val="32"/>
          <w:szCs w:val="32"/>
        </w:rPr>
        <w:t>市财政局职责：</w:t>
      </w:r>
      <w:r>
        <w:rPr>
          <w:rFonts w:ascii="方正仿宋_GBK" w:eastAsia="方正仿宋_GBK" w:cs="宋体" w:hint="eastAsia"/>
          <w:color w:val="FF0000"/>
          <w:kern w:val="0"/>
          <w:sz w:val="32"/>
          <w:szCs w:val="32"/>
        </w:rPr>
        <w:t>负责编制专项资金预算；会同市水利局制订资金管理办法；对市水利局提交的资金分配建议计划审核后下达资金；对资金使用情况进行监督；</w:t>
      </w:r>
      <w:r>
        <w:rPr>
          <w:rFonts w:eastAsia="方正仿宋_GBK"/>
          <w:sz w:val="32"/>
          <w:szCs w:val="32"/>
        </w:rPr>
        <w:t>组织开展预算绩效管理；对专项资金政策执行情况进行监督等</w:t>
      </w:r>
      <w:r>
        <w:rPr>
          <w:rFonts w:eastAsia="方正仿宋_GBK" w:hint="eastAsia"/>
          <w:sz w:val="32"/>
          <w:szCs w:val="32"/>
        </w:rPr>
        <w:t>；</w:t>
      </w:r>
      <w:r>
        <w:rPr>
          <w:rFonts w:ascii="方正仿宋_GBK" w:eastAsia="方正仿宋_GBK" w:cs="宋体" w:hint="eastAsia"/>
          <w:color w:val="FF0000"/>
          <w:kern w:val="0"/>
          <w:sz w:val="32"/>
          <w:szCs w:val="32"/>
        </w:rPr>
        <w:t>指导市县加强资金管理；依法依规公开专项资金相关信息等</w:t>
      </w:r>
      <w:r>
        <w:rPr>
          <w:rFonts w:ascii="方正仿宋_GBK" w:eastAsia="方正仿宋_GBK" w:cs="宋体" w:hint="eastAsia"/>
          <w:color w:val="333333"/>
          <w:kern w:val="0"/>
          <w:sz w:val="32"/>
          <w:szCs w:val="32"/>
        </w:rPr>
        <w:t>。</w:t>
      </w:r>
    </w:p>
    <w:p>
      <w:pPr>
        <w:overflowPunct w:val="0"/>
        <w:spacing w:line="578" w:lineRule="exact"/>
        <w:ind w:firstLineChars="200" w:firstLine="640"/>
        <w:rPr>
          <w:rFonts w:eastAsia="方正仿宋_GBK"/>
          <w:sz w:val="32"/>
          <w:szCs w:val="32"/>
        </w:rPr>
      </w:pPr>
      <w:r>
        <w:rPr>
          <w:rFonts w:ascii="方正楷体_GBK" w:eastAsia="方正楷体_GBK" w:cs="方正楷体_GBK" w:hint="eastAsia"/>
          <w:b/>
          <w:bCs/>
          <w:sz w:val="32"/>
          <w:szCs w:val="32"/>
        </w:rPr>
        <w:t>第五条</w:t>
      </w:r>
      <w:r>
        <w:rPr>
          <w:rFonts w:eastAsia="方正仿宋_GBK" w:hint="eastAsia"/>
          <w:sz w:val="32"/>
          <w:szCs w:val="32"/>
        </w:rPr>
        <w:t xml:space="preserve">  市水利局</w:t>
      </w:r>
      <w:r>
        <w:rPr>
          <w:rFonts w:eastAsia="方正仿宋_GBK"/>
          <w:sz w:val="32"/>
          <w:szCs w:val="32"/>
        </w:rPr>
        <w:t>职责：</w:t>
      </w:r>
      <w:r>
        <w:rPr>
          <w:rFonts w:ascii="方正仿宋_GBK" w:eastAsia="方正仿宋_GBK" w:cs="宋体" w:hint="eastAsia"/>
          <w:color w:val="FF0000"/>
          <w:kern w:val="0"/>
          <w:sz w:val="32"/>
          <w:szCs w:val="32"/>
        </w:rPr>
        <w:t>负责专项资金支持的相关规划或实施方案的编制和审核；参与制订资金管理办法；建立健全项目管理制度；会同市财政局制订发布项目实施指导意见（或实施方案）；</w:t>
      </w:r>
      <w:r>
        <w:rPr>
          <w:rFonts w:eastAsia="方正仿宋_GBK"/>
          <w:sz w:val="32"/>
          <w:szCs w:val="32"/>
        </w:rPr>
        <w:t>市级层面</w:t>
      </w:r>
      <w:r>
        <w:rPr>
          <w:rFonts w:eastAsia="方正仿宋_GBK" w:hint="eastAsia"/>
          <w:sz w:val="32"/>
          <w:szCs w:val="32"/>
        </w:rPr>
        <w:t>成立</w:t>
      </w:r>
      <w:r>
        <w:rPr>
          <w:rFonts w:eastAsia="方正仿宋_GBK"/>
          <w:sz w:val="32"/>
          <w:szCs w:val="32"/>
        </w:rPr>
        <w:t>项目法人的，组织项目申报，审查项目申报主体的信用情况，按照规定审定项目；监督专项资金的使用；按照有关规定组织项目验收；</w:t>
      </w:r>
      <w:r>
        <w:rPr>
          <w:rFonts w:eastAsia="方正仿宋_GBK" w:hint="eastAsia"/>
          <w:sz w:val="32"/>
          <w:szCs w:val="32"/>
        </w:rPr>
        <w:t>督促使用单位加强项目资金财务管理、规范会计核算。</w:t>
      </w:r>
    </w:p>
    <w:p>
      <w:pPr>
        <w:overflowPunct w:val="0"/>
        <w:spacing w:line="578" w:lineRule="exact"/>
        <w:ind w:firstLineChars="200" w:firstLine="640"/>
        <w:rPr>
          <w:rFonts w:eastAsia="方正仿宋_GBK"/>
          <w:sz w:val="32"/>
          <w:szCs w:val="32"/>
        </w:rPr>
      </w:pPr>
      <w:r>
        <w:rPr>
          <w:rFonts w:ascii="方正楷体_GBK" w:eastAsia="方正楷体_GBK" w:cs="方正楷体_GBK" w:hint="eastAsia"/>
          <w:b/>
          <w:bCs/>
          <w:sz w:val="32"/>
          <w:szCs w:val="32"/>
        </w:rPr>
        <w:t>第六条</w:t>
      </w:r>
      <w:r>
        <w:rPr>
          <w:rFonts w:eastAsia="方正仿宋_GBK" w:hint="eastAsia"/>
          <w:sz w:val="32"/>
          <w:szCs w:val="32"/>
        </w:rPr>
        <w:t xml:space="preserve">  县（区）财政部门职责：执行专项资金预算；按照国库集中支付管理规定拨付资金；开展专项资金预算绩效管理工作；对专项资金政策执行情况进行监督等。</w:t>
      </w:r>
    </w:p>
    <w:p>
      <w:pPr>
        <w:overflowPunct w:val="0"/>
        <w:spacing w:line="578" w:lineRule="exact"/>
        <w:ind w:firstLineChars="200" w:firstLine="640"/>
        <w:rPr>
          <w:rFonts w:eastAsia="方正仿宋_GBK"/>
          <w:sz w:val="32"/>
          <w:szCs w:val="32"/>
        </w:rPr>
      </w:pPr>
      <w:r>
        <w:rPr>
          <w:rFonts w:ascii="方正楷体_GBK" w:eastAsia="方正楷体_GBK" w:cs="方正楷体_GBK" w:hint="eastAsia"/>
          <w:b/>
          <w:bCs/>
          <w:sz w:val="32"/>
          <w:szCs w:val="32"/>
        </w:rPr>
        <w:t>第七条</w:t>
      </w:r>
      <w:r>
        <w:rPr>
          <w:rFonts w:eastAsia="方正仿宋_GBK" w:hint="eastAsia"/>
          <w:sz w:val="32"/>
          <w:szCs w:val="32"/>
        </w:rPr>
        <w:t xml:space="preserve">  县（区）业务主管部门职责：根据相关要求组织项目申报，负责审核项目材料的真实性、完整性；按照有关规定负责项目执行过程中的监督管理，向同级财政部门和市级业务主管部门报送专项资金的使用情况以及项目实施情况等资料；按照有关规定具体实施专项资金预算绩效管理工作；根据管理权限，组织项目考核验收等。</w:t>
      </w:r>
    </w:p>
    <w:p>
      <w:pPr>
        <w:overflowPunct w:val="0"/>
        <w:spacing w:line="578" w:lineRule="exact"/>
        <w:ind w:firstLineChars="200" w:firstLine="640"/>
        <w:rPr>
          <w:rFonts w:eastAsia="方正仿宋_GBK"/>
          <w:sz w:val="32"/>
          <w:szCs w:val="32"/>
        </w:rPr>
      </w:pPr>
      <w:r>
        <w:rPr>
          <w:rFonts w:ascii="方正楷体_GBK" w:eastAsia="方正楷体_GBK" w:cs="方正楷体_GBK" w:hint="eastAsia"/>
          <w:b/>
          <w:bCs/>
          <w:sz w:val="32"/>
          <w:szCs w:val="32"/>
        </w:rPr>
        <w:t>第八条</w:t>
      </w:r>
      <w:r>
        <w:rPr>
          <w:rFonts w:eastAsia="方正仿宋_GBK" w:hint="eastAsia"/>
          <w:sz w:val="32"/>
          <w:szCs w:val="32"/>
        </w:rPr>
        <w:t xml:space="preserve">  专项资金使用单位负责项目具体实施，并承担以下责任和义务：根据相关要求申报项目；组织项目实施，对项目实施开展日常管理；按照规定使用专项资金并做好财务管理和会计核算；项目实施完成后，按照规定提交项目验收申请；配合相关部门对项目开展监督检查、考核验收、绩效管理以及项目资金清算等工作；对项目实施质量负责；对各环节提供资料的真实性、完整性负责，落实信用承诺等。</w:t>
      </w:r>
    </w:p>
    <w:p>
      <w:pPr>
        <w:overflowPunct w:val="0"/>
        <w:spacing w:line="578" w:lineRule="exact"/>
        <w:rPr>
          <w:rFonts w:eastAsia="方正仿宋_GBK"/>
          <w:sz w:val="32"/>
          <w:szCs w:val="32"/>
        </w:rPr>
      </w:pPr>
    </w:p>
    <w:p>
      <w:pPr>
        <w:overflowPunct w:val="0"/>
        <w:spacing w:line="578" w:lineRule="exact"/>
        <w:jc w:val="center"/>
        <w:rPr>
          <w:rFonts w:eastAsia="方正黑体_GBK"/>
          <w:sz w:val="32"/>
          <w:szCs w:val="32"/>
        </w:rPr>
      </w:pPr>
      <w:r>
        <w:rPr>
          <w:rFonts w:eastAsia="方正黑体_GBK"/>
          <w:sz w:val="32"/>
          <w:szCs w:val="32"/>
        </w:rPr>
        <w:t>第三章　资金使用范围和方式</w:t>
      </w:r>
    </w:p>
    <w:p>
      <w:pPr>
        <w:overflowPunct w:val="0"/>
        <w:spacing w:line="578" w:lineRule="exact"/>
        <w:ind w:firstLineChars="200" w:firstLine="640"/>
        <w:rPr>
          <w:rFonts w:eastAsia="方正黑体_GBK"/>
          <w:sz w:val="32"/>
          <w:szCs w:val="32"/>
        </w:rPr>
      </w:pPr>
    </w:p>
    <w:p>
      <w:pPr>
        <w:overflowPunct w:val="0"/>
        <w:spacing w:line="578" w:lineRule="exact"/>
        <w:ind w:firstLineChars="200" w:firstLine="640"/>
        <w:rPr>
          <w:rFonts w:eastAsia="方正仿宋_GBK"/>
          <w:sz w:val="32"/>
          <w:szCs w:val="32"/>
        </w:rPr>
      </w:pPr>
      <w:r>
        <w:rPr>
          <w:rFonts w:ascii="方正楷体_GBK" w:eastAsia="方正楷体_GBK" w:cs="方正楷体_GBK" w:hint="eastAsia"/>
          <w:b/>
          <w:bCs/>
          <w:sz w:val="32"/>
          <w:szCs w:val="32"/>
        </w:rPr>
        <w:t>第九条</w:t>
      </w:r>
      <w:r>
        <w:rPr>
          <w:rFonts w:eastAsia="方正仿宋_GBK" w:hint="eastAsia"/>
          <w:sz w:val="32"/>
          <w:szCs w:val="32"/>
        </w:rPr>
        <w:t>　专项资金的</w:t>
      </w:r>
      <w:r>
        <w:rPr>
          <w:rFonts w:eastAsia="方正仿宋_GBK"/>
          <w:sz w:val="32"/>
          <w:szCs w:val="32"/>
        </w:rPr>
        <w:t>支出范围，主要包括以下方向：</w:t>
      </w:r>
    </w:p>
    <w:p>
      <w:pPr>
        <w:overflowPunct w:val="0"/>
        <w:spacing w:line="578" w:lineRule="exact"/>
        <w:ind w:firstLineChars="200" w:firstLine="640"/>
        <w:rPr>
          <w:rFonts w:eastAsia="方正仿宋_GBK"/>
          <w:sz w:val="32"/>
          <w:szCs w:val="32"/>
        </w:rPr>
      </w:pPr>
      <w:r>
        <w:rPr>
          <w:rFonts w:eastAsia="方正仿宋_GBK" w:hint="eastAsia"/>
          <w:sz w:val="32"/>
          <w:szCs w:val="32"/>
        </w:rPr>
        <w:t>（一）年度有大型灌区建设项目的，专项资金全部用于配套大型灌区项目建设；</w:t>
      </w:r>
    </w:p>
    <w:p>
      <w:pPr>
        <w:overflowPunct w:val="0"/>
        <w:spacing w:line="578" w:lineRule="exact"/>
        <w:ind w:firstLineChars="200" w:firstLine="640"/>
        <w:rPr>
          <w:rFonts w:eastAsia="方正仿宋_GBK"/>
          <w:sz w:val="32"/>
          <w:szCs w:val="32"/>
        </w:rPr>
      </w:pPr>
      <w:r>
        <w:rPr>
          <w:rFonts w:eastAsia="方正仿宋_GBK" w:hint="eastAsia"/>
          <w:sz w:val="32"/>
          <w:szCs w:val="32"/>
        </w:rPr>
        <w:t>（二）年度无大型灌区建设项目、有中型灌区建设项目的，专项资金全部用于中型灌区项目建设；</w:t>
      </w:r>
    </w:p>
    <w:p>
      <w:pPr>
        <w:overflowPunct w:val="0"/>
        <w:spacing w:line="578" w:lineRule="exact"/>
        <w:ind w:firstLineChars="200" w:firstLine="640"/>
        <w:rPr>
          <w:rFonts w:eastAsia="方正仿宋_GBK"/>
          <w:sz w:val="32"/>
          <w:szCs w:val="32"/>
        </w:rPr>
      </w:pPr>
      <w:r>
        <w:rPr>
          <w:rFonts w:eastAsia="方正仿宋_GBK" w:hint="eastAsia"/>
          <w:sz w:val="32"/>
          <w:szCs w:val="32"/>
        </w:rPr>
        <w:t>（三）年度无大中型灌区建设项目的，专项资金用于改善全市大中型灌区管理设施，或其他与大中型灌区建设与管理有关的支出。</w:t>
      </w:r>
    </w:p>
    <w:p>
      <w:pPr>
        <w:widowControl/>
        <w:shd w:val="clear" w:color="auto" w:fill="FFFFFF"/>
        <w:spacing w:line="600" w:lineRule="atLeast"/>
        <w:ind w:firstLine="645"/>
        <w:rPr>
          <w:rFonts w:ascii="微软雅黑" w:eastAsia="微软雅黑" w:cs="宋体"/>
          <w:color w:val="FF0000"/>
          <w:kern w:val="0"/>
          <w:sz w:val="24"/>
        </w:rPr>
      </w:pPr>
      <w:r>
        <w:rPr>
          <w:rFonts w:ascii="方正楷体_GBK" w:eastAsia="方正楷体_GBK" w:cs="方正楷体_GBK" w:hint="eastAsia"/>
          <w:b/>
          <w:bCs/>
          <w:sz w:val="32"/>
          <w:szCs w:val="32"/>
        </w:rPr>
        <w:t>第十条</w:t>
      </w:r>
      <w:r>
        <w:rPr>
          <w:rFonts w:eastAsia="方正仿宋_GBK" w:hint="eastAsia"/>
          <w:sz w:val="32"/>
          <w:szCs w:val="32"/>
        </w:rPr>
        <w:t>　专项资金不得用于兴建楼堂馆所</w:t>
      </w:r>
      <w:r>
        <w:rPr>
          <w:rFonts w:eastAsia="方正仿宋_GBK" w:hint="eastAsia"/>
          <w:color w:val="FF0000"/>
          <w:sz w:val="32"/>
          <w:szCs w:val="32"/>
        </w:rPr>
        <w:t>、征地</w:t>
      </w:r>
      <w:r>
        <w:rPr>
          <w:rFonts w:ascii="方正仿宋_GBK" w:eastAsia="方正仿宋_GBK" w:cs="宋体" w:hint="eastAsia"/>
          <w:color w:val="FF0000"/>
          <w:kern w:val="0"/>
          <w:sz w:val="32"/>
          <w:szCs w:val="32"/>
        </w:rPr>
        <w:t>移民、城市景观、财政补助单位人员经费和运转经费</w:t>
      </w:r>
      <w:r>
        <w:rPr>
          <w:rFonts w:eastAsia="方正仿宋_GBK" w:hint="eastAsia"/>
          <w:color w:val="FF0000"/>
          <w:sz w:val="32"/>
          <w:szCs w:val="32"/>
        </w:rPr>
        <w:t>、交通工具和办公设备购置等与灌区节水改造及管理设施无关</w:t>
      </w:r>
      <w:r>
        <w:rPr>
          <w:rFonts w:ascii="方正仿宋_GBK" w:eastAsia="方正仿宋_GBK" w:cs="宋体" w:hint="eastAsia"/>
          <w:color w:val="FF0000"/>
          <w:kern w:val="0"/>
          <w:sz w:val="32"/>
          <w:szCs w:val="32"/>
        </w:rPr>
        <w:t>的经营性支出以及楼堂馆所建设支出。</w:t>
      </w:r>
    </w:p>
    <w:p>
      <w:pPr>
        <w:overflowPunct w:val="0"/>
        <w:spacing w:line="578" w:lineRule="exact"/>
        <w:ind w:firstLineChars="200" w:firstLine="640"/>
        <w:rPr>
          <w:rFonts w:eastAsia="方正仿宋_GBK"/>
          <w:sz w:val="32"/>
          <w:szCs w:val="32"/>
        </w:rPr>
      </w:pPr>
    </w:p>
    <w:p>
      <w:pPr>
        <w:overflowPunct w:val="0"/>
        <w:spacing w:line="578" w:lineRule="exact"/>
        <w:ind w:firstLineChars="200" w:firstLine="640"/>
        <w:rPr>
          <w:rFonts w:eastAsia="方正仿宋_GBK"/>
          <w:sz w:val="32"/>
          <w:szCs w:val="32"/>
        </w:rPr>
      </w:pPr>
    </w:p>
    <w:p>
      <w:pPr>
        <w:overflowPunct w:val="0"/>
        <w:spacing w:line="578" w:lineRule="exact"/>
        <w:jc w:val="center"/>
        <w:rPr>
          <w:rFonts w:eastAsia="方正黑体_GBK"/>
          <w:sz w:val="32"/>
          <w:szCs w:val="32"/>
        </w:rPr>
      </w:pPr>
      <w:r>
        <w:rPr>
          <w:rFonts w:eastAsia="方正黑体_GBK"/>
          <w:sz w:val="32"/>
          <w:szCs w:val="32"/>
        </w:rPr>
        <w:t>第四章　资金分配和下达</w:t>
      </w:r>
    </w:p>
    <w:p>
      <w:pPr>
        <w:overflowPunct w:val="0"/>
        <w:spacing w:line="578" w:lineRule="exact"/>
        <w:ind w:firstLine="644"/>
        <w:rPr>
          <w:rFonts w:eastAsia="方正黑体_GBK"/>
          <w:sz w:val="32"/>
          <w:szCs w:val="32"/>
        </w:rPr>
      </w:pPr>
    </w:p>
    <w:p>
      <w:pPr>
        <w:overflowPunct w:val="0"/>
        <w:spacing w:line="578" w:lineRule="exact"/>
        <w:ind w:firstLineChars="200" w:firstLine="640"/>
        <w:rPr>
          <w:rFonts w:eastAsia="方正仿宋_GBK"/>
          <w:sz w:val="32"/>
          <w:szCs w:val="32"/>
        </w:rPr>
      </w:pPr>
      <w:r>
        <w:rPr>
          <w:rFonts w:ascii="方正楷体_GBK" w:eastAsia="方正楷体_GBK" w:cs="方正楷体_GBK" w:hint="eastAsia"/>
          <w:b/>
          <w:bCs/>
          <w:sz w:val="32"/>
          <w:szCs w:val="32"/>
        </w:rPr>
        <w:t>第十一条</w:t>
      </w:r>
      <w:r>
        <w:rPr>
          <w:rFonts w:eastAsia="方正仿宋_GBK" w:hint="eastAsia"/>
          <w:sz w:val="32"/>
          <w:szCs w:val="32"/>
        </w:rPr>
        <w:t xml:space="preserve"> 有年度项目建设任务的，按照各项目批复投资概算占全市项目批复投资概算总和的比例分配；年度无项目建设任务的，按照各县区（单位）申报的经市级批复的资金使用计划的比例进行分配。</w:t>
      </w:r>
    </w:p>
    <w:p>
      <w:pPr>
        <w:overflowPunct w:val="0"/>
        <w:spacing w:line="578" w:lineRule="exact"/>
        <w:ind w:firstLineChars="200" w:firstLine="640"/>
        <w:rPr>
          <w:rFonts w:eastAsia="方正仿宋_GBK"/>
          <w:sz w:val="32"/>
          <w:szCs w:val="32"/>
        </w:rPr>
      </w:pPr>
      <w:r>
        <w:rPr>
          <w:rFonts w:ascii="方正楷体_GBK" w:eastAsia="方正楷体_GBK" w:cs="方正楷体_GBK" w:hint="eastAsia"/>
          <w:b/>
          <w:bCs/>
          <w:sz w:val="32"/>
          <w:szCs w:val="32"/>
        </w:rPr>
        <w:t>第十二条</w:t>
      </w:r>
      <w:r>
        <w:rPr>
          <w:rFonts w:eastAsia="方正仿宋_GBK" w:hint="eastAsia"/>
          <w:sz w:val="32"/>
          <w:szCs w:val="32"/>
        </w:rPr>
        <w:t xml:space="preserve">  专项资金计划下达及执行。当年下达的投资配套计划，由下一年度纳入财政预算下达执行</w:t>
      </w:r>
      <w:r>
        <w:rPr>
          <w:rFonts w:eastAsia="方正仿宋_GBK"/>
          <w:sz w:val="32"/>
          <w:szCs w:val="32"/>
        </w:rPr>
        <w:t>。</w:t>
      </w:r>
    </w:p>
    <w:p>
      <w:pPr>
        <w:overflowPunct w:val="0"/>
        <w:spacing w:line="578" w:lineRule="exact"/>
        <w:ind w:firstLineChars="200" w:firstLine="640"/>
        <w:rPr>
          <w:rFonts w:eastAsia="方正仿宋_GBK"/>
          <w:sz w:val="32"/>
          <w:szCs w:val="32"/>
        </w:rPr>
      </w:pPr>
    </w:p>
    <w:p>
      <w:pPr>
        <w:overflowPunct w:val="0"/>
        <w:spacing w:line="578" w:lineRule="exact"/>
        <w:jc w:val="center"/>
        <w:rPr>
          <w:rFonts w:eastAsia="方正黑体_GBK"/>
          <w:sz w:val="32"/>
          <w:szCs w:val="32"/>
        </w:rPr>
      </w:pPr>
      <w:r>
        <w:rPr>
          <w:rFonts w:eastAsia="方正黑体_GBK"/>
          <w:sz w:val="32"/>
          <w:szCs w:val="32"/>
        </w:rPr>
        <w:t>第五章　资金使用和管理</w:t>
      </w:r>
    </w:p>
    <w:p>
      <w:pPr>
        <w:overflowPunct w:val="0"/>
        <w:spacing w:line="578" w:lineRule="exact"/>
        <w:ind w:firstLineChars="200" w:firstLine="640"/>
        <w:rPr>
          <w:rFonts w:eastAsia="方正黑体_GBK"/>
          <w:sz w:val="32"/>
          <w:szCs w:val="32"/>
        </w:rPr>
      </w:pPr>
    </w:p>
    <w:p>
      <w:pPr>
        <w:overflowPunct w:val="0"/>
        <w:spacing w:line="578" w:lineRule="exact"/>
        <w:ind w:firstLineChars="200" w:firstLine="640"/>
        <w:rPr>
          <w:rFonts w:eastAsia="方正仿宋_GBK"/>
          <w:sz w:val="32"/>
          <w:szCs w:val="32"/>
        </w:rPr>
      </w:pPr>
      <w:r>
        <w:rPr>
          <w:rFonts w:ascii="方正楷体_GBK" w:eastAsia="方正楷体_GBK" w:cs="方正楷体_GBK" w:hint="eastAsia"/>
          <w:b/>
          <w:bCs/>
          <w:sz w:val="32"/>
          <w:szCs w:val="32"/>
        </w:rPr>
        <w:t>第十三条</w:t>
      </w:r>
      <w:r>
        <w:rPr>
          <w:rFonts w:eastAsia="方正仿宋_GBK" w:hint="eastAsia"/>
          <w:sz w:val="32"/>
          <w:szCs w:val="32"/>
        </w:rPr>
        <w:t xml:space="preserve">  专项资金列入市水利部门年度预算统一进行申报，批复后60日内拨付至相关县区（单位）。</w:t>
      </w:r>
    </w:p>
    <w:p>
      <w:pPr>
        <w:overflowPunct w:val="0"/>
        <w:spacing w:line="578" w:lineRule="exact"/>
        <w:ind w:firstLineChars="200" w:firstLine="640"/>
        <w:rPr>
          <w:rFonts w:eastAsia="方正仿宋_GBK"/>
          <w:sz w:val="32"/>
          <w:szCs w:val="32"/>
        </w:rPr>
      </w:pPr>
      <w:r>
        <w:rPr>
          <w:rFonts w:ascii="方正楷体_GBK" w:eastAsia="方正楷体_GBK" w:cs="方正楷体_GBK" w:hint="eastAsia"/>
          <w:b/>
          <w:bCs/>
          <w:sz w:val="32"/>
          <w:szCs w:val="32"/>
        </w:rPr>
        <w:t>第十四条</w:t>
      </w:r>
      <w:r>
        <w:rPr>
          <w:rFonts w:eastAsia="方正仿宋_GBK" w:hint="eastAsia"/>
          <w:sz w:val="32"/>
          <w:szCs w:val="32"/>
        </w:rPr>
        <w:t xml:space="preserve">  市、县（区）水利</w:t>
      </w:r>
      <w:r>
        <w:rPr>
          <w:rFonts w:eastAsia="方正仿宋_GBK"/>
          <w:sz w:val="32"/>
          <w:szCs w:val="32"/>
        </w:rPr>
        <w:t>部门应当根据各自职责，</w:t>
      </w:r>
      <w:r>
        <w:rPr>
          <w:rFonts w:eastAsia="方正仿宋_GBK" w:hint="eastAsia"/>
          <w:sz w:val="32"/>
          <w:szCs w:val="32"/>
        </w:rPr>
        <w:t>及时</w:t>
      </w:r>
      <w:r>
        <w:rPr>
          <w:rFonts w:eastAsia="方正仿宋_GBK"/>
          <w:sz w:val="32"/>
          <w:szCs w:val="32"/>
        </w:rPr>
        <w:t>组织核实资金支持对象的资格、条件，提交资金使用计划</w:t>
      </w:r>
      <w:r>
        <w:rPr>
          <w:rFonts w:eastAsia="方正仿宋_GBK" w:hint="eastAsia"/>
          <w:sz w:val="32"/>
          <w:szCs w:val="32"/>
        </w:rPr>
        <w:t>，</w:t>
      </w:r>
      <w:r>
        <w:rPr>
          <w:rFonts w:eastAsia="方正仿宋_GBK"/>
          <w:sz w:val="32"/>
          <w:szCs w:val="32"/>
        </w:rPr>
        <w:t>为财政部门按规定拨付资金提供依据。各地财政部门根据</w:t>
      </w:r>
      <w:r>
        <w:rPr>
          <w:rFonts w:eastAsia="方正仿宋_GBK" w:hint="eastAsia"/>
          <w:sz w:val="32"/>
          <w:szCs w:val="32"/>
        </w:rPr>
        <w:t>水利</w:t>
      </w:r>
      <w:r>
        <w:rPr>
          <w:rFonts w:eastAsia="方正仿宋_GBK"/>
          <w:sz w:val="32"/>
          <w:szCs w:val="32"/>
        </w:rPr>
        <w:t>部门提交的资金使用计划按规定拨付。</w:t>
      </w:r>
    </w:p>
    <w:p>
      <w:pPr>
        <w:overflowPunct w:val="0"/>
        <w:spacing w:line="578" w:lineRule="exact"/>
        <w:ind w:firstLineChars="200" w:firstLine="640"/>
        <w:rPr>
          <w:rFonts w:eastAsia="方正仿宋_GBK"/>
          <w:sz w:val="32"/>
          <w:szCs w:val="32"/>
        </w:rPr>
      </w:pPr>
      <w:r>
        <w:rPr>
          <w:rFonts w:ascii="方正楷体_GBK" w:eastAsia="方正楷体_GBK" w:cs="方正楷体_GBK" w:hint="eastAsia"/>
          <w:b/>
          <w:bCs/>
          <w:sz w:val="32"/>
          <w:szCs w:val="32"/>
        </w:rPr>
        <w:t>第十五条</w:t>
      </w:r>
      <w:r>
        <w:rPr>
          <w:rFonts w:eastAsia="方正仿宋_GBK" w:hint="eastAsia"/>
          <w:sz w:val="32"/>
          <w:szCs w:val="32"/>
        </w:rPr>
        <w:t xml:space="preserve">  </w:t>
      </w:r>
      <w:r>
        <w:rPr>
          <w:rFonts w:eastAsia="方正仿宋_GBK"/>
          <w:sz w:val="32"/>
          <w:szCs w:val="32"/>
        </w:rPr>
        <w:t>项目实施单位要加强资金核算和管理，严格按照规定用途使用资金。项目实施方案原则上不得变更，确需变更的，</w:t>
      </w:r>
      <w:r>
        <w:rPr>
          <w:rFonts w:eastAsia="方正仿宋_GBK" w:hint="eastAsia"/>
          <w:sz w:val="32"/>
          <w:szCs w:val="32"/>
        </w:rPr>
        <w:t>应当经原审批部门批准。</w:t>
      </w:r>
    </w:p>
    <w:p>
      <w:pPr>
        <w:overflowPunct w:val="0"/>
        <w:spacing w:line="578" w:lineRule="exact"/>
        <w:ind w:firstLineChars="200" w:firstLine="640"/>
        <w:rPr>
          <w:rFonts w:eastAsia="方正仿宋_GBK"/>
          <w:sz w:val="32"/>
          <w:szCs w:val="32"/>
        </w:rPr>
      </w:pPr>
      <w:r>
        <w:rPr>
          <w:rFonts w:ascii="方正楷体_GBK" w:eastAsia="方正楷体_GBK" w:cs="方正楷体_GBK" w:hint="eastAsia"/>
          <w:b/>
          <w:bCs/>
          <w:sz w:val="32"/>
          <w:szCs w:val="32"/>
        </w:rPr>
        <w:t>第十六条</w:t>
      </w:r>
      <w:r>
        <w:rPr>
          <w:rFonts w:eastAsia="方正仿宋_GBK" w:hint="eastAsia"/>
          <w:sz w:val="32"/>
          <w:szCs w:val="32"/>
        </w:rPr>
        <w:t xml:space="preserve">  </w:t>
      </w:r>
      <w:r>
        <w:rPr>
          <w:rFonts w:eastAsia="方正仿宋_GBK"/>
          <w:sz w:val="32"/>
          <w:szCs w:val="32"/>
        </w:rPr>
        <w:t>项目资金</w:t>
      </w:r>
      <w:r>
        <w:rPr>
          <w:rFonts w:eastAsia="方正仿宋_GBK" w:hint="eastAsia"/>
          <w:color w:val="FF0000"/>
          <w:sz w:val="32"/>
          <w:szCs w:val="32"/>
        </w:rPr>
        <w:t>有</w:t>
      </w:r>
      <w:r>
        <w:rPr>
          <w:rFonts w:eastAsia="方正仿宋_GBK"/>
          <w:sz w:val="32"/>
          <w:szCs w:val="32"/>
        </w:rPr>
        <w:t>结余的，按有关规定执行。</w:t>
      </w:r>
    </w:p>
    <w:p>
      <w:pPr>
        <w:overflowPunct w:val="0"/>
        <w:spacing w:line="578" w:lineRule="exact"/>
        <w:ind w:firstLineChars="200" w:firstLine="640"/>
        <w:rPr>
          <w:rFonts w:eastAsia="方正仿宋_GBK"/>
          <w:sz w:val="32"/>
          <w:szCs w:val="32"/>
        </w:rPr>
      </w:pPr>
    </w:p>
    <w:p>
      <w:pPr>
        <w:overflowPunct w:val="0"/>
        <w:spacing w:line="578" w:lineRule="exact"/>
        <w:jc w:val="center"/>
        <w:rPr>
          <w:rFonts w:eastAsia="方正黑体_GBK"/>
          <w:sz w:val="32"/>
          <w:szCs w:val="32"/>
        </w:rPr>
      </w:pPr>
      <w:r>
        <w:rPr>
          <w:rFonts w:eastAsia="方正黑体_GBK"/>
          <w:sz w:val="32"/>
          <w:szCs w:val="32"/>
        </w:rPr>
        <w:t>第六章　绩效管理和监督检查</w:t>
      </w:r>
    </w:p>
    <w:p>
      <w:pPr>
        <w:overflowPunct w:val="0"/>
        <w:spacing w:line="578" w:lineRule="exact"/>
        <w:rPr>
          <w:rFonts w:eastAsia="方正黑体_GBK"/>
          <w:sz w:val="32"/>
          <w:szCs w:val="32"/>
        </w:rPr>
      </w:pPr>
    </w:p>
    <w:p>
      <w:pPr>
        <w:overflowPunct w:val="0"/>
        <w:spacing w:line="578" w:lineRule="exact"/>
        <w:ind w:firstLineChars="200" w:firstLine="640"/>
        <w:rPr>
          <w:rFonts w:eastAsia="方正仿宋_GBK"/>
          <w:sz w:val="32"/>
          <w:szCs w:val="32"/>
        </w:rPr>
      </w:pPr>
      <w:r>
        <w:rPr>
          <w:rFonts w:ascii="方正楷体_GBK" w:eastAsia="方正楷体_GBK" w:cs="方正楷体_GBK" w:hint="eastAsia"/>
          <w:b/>
          <w:bCs/>
          <w:sz w:val="32"/>
          <w:szCs w:val="32"/>
        </w:rPr>
        <w:t>第十七条</w:t>
      </w:r>
      <w:r>
        <w:rPr>
          <w:rFonts w:eastAsia="方正仿宋_GBK" w:hint="eastAsia"/>
          <w:sz w:val="32"/>
          <w:szCs w:val="32"/>
        </w:rPr>
        <w:t xml:space="preserve">  </w:t>
      </w:r>
      <w:r>
        <w:rPr>
          <w:rFonts w:eastAsia="方正仿宋_GBK"/>
          <w:sz w:val="32"/>
          <w:szCs w:val="32"/>
        </w:rPr>
        <w:t>市财政局</w:t>
      </w:r>
      <w:r>
        <w:rPr>
          <w:rFonts w:eastAsia="方正仿宋_GBK" w:hint="eastAsia"/>
          <w:sz w:val="32"/>
          <w:szCs w:val="32"/>
        </w:rPr>
        <w:t>和</w:t>
      </w:r>
      <w:r>
        <w:rPr>
          <w:rFonts w:eastAsia="方正仿宋_GBK"/>
          <w:sz w:val="32"/>
          <w:szCs w:val="32"/>
        </w:rPr>
        <w:t>市</w:t>
      </w:r>
      <w:r>
        <w:rPr>
          <w:rFonts w:eastAsia="方正仿宋_GBK" w:hint="eastAsia"/>
          <w:sz w:val="32"/>
          <w:szCs w:val="32"/>
        </w:rPr>
        <w:t>水利</w:t>
      </w:r>
      <w:r>
        <w:rPr>
          <w:rFonts w:eastAsia="方正仿宋_GBK"/>
          <w:sz w:val="32"/>
          <w:szCs w:val="32"/>
        </w:rPr>
        <w:t>局</w:t>
      </w:r>
      <w:r>
        <w:rPr>
          <w:rFonts w:eastAsia="方正仿宋_GBK" w:hint="eastAsia"/>
          <w:sz w:val="32"/>
          <w:szCs w:val="32"/>
        </w:rPr>
        <w:t>应当加强专项资金预算绩效管理，按照职责分工，建立绩效评估、绩效目标、绩效运行监控、绩效评价和绩效管理成果应用等全过程预算绩效管理体系。</w:t>
      </w:r>
      <w:r>
        <w:rPr>
          <w:rFonts w:eastAsia="方正仿宋_GBK"/>
          <w:sz w:val="32"/>
          <w:szCs w:val="32"/>
        </w:rPr>
        <w:t>绩效评价结果作为资金预算安排和调整的重要依据。</w:t>
      </w:r>
    </w:p>
    <w:p>
      <w:pPr>
        <w:overflowPunct w:val="0"/>
        <w:spacing w:line="578" w:lineRule="exact"/>
        <w:ind w:firstLineChars="200" w:firstLine="640"/>
        <w:rPr>
          <w:rFonts w:eastAsia="方正仿宋_GBK"/>
          <w:sz w:val="32"/>
          <w:szCs w:val="32"/>
        </w:rPr>
      </w:pPr>
      <w:r>
        <w:rPr>
          <w:rFonts w:ascii="方正楷体_GBK" w:eastAsia="方正楷体_GBK" w:cs="方正楷体_GBK" w:hint="eastAsia"/>
          <w:b/>
          <w:bCs/>
          <w:sz w:val="32"/>
          <w:szCs w:val="32"/>
        </w:rPr>
        <w:t>第十八条</w:t>
      </w:r>
      <w:r>
        <w:rPr>
          <w:rFonts w:eastAsia="方正仿宋_GBK" w:hint="eastAsia"/>
          <w:sz w:val="32"/>
          <w:szCs w:val="32"/>
        </w:rPr>
        <w:t xml:space="preserve">  </w:t>
      </w:r>
      <w:r>
        <w:rPr>
          <w:rFonts w:eastAsia="方正仿宋_GBK"/>
          <w:sz w:val="32"/>
          <w:szCs w:val="32"/>
        </w:rPr>
        <w:t>市</w:t>
      </w:r>
      <w:r>
        <w:rPr>
          <w:rFonts w:eastAsia="方正仿宋_GBK" w:hint="eastAsia"/>
          <w:sz w:val="32"/>
          <w:szCs w:val="32"/>
        </w:rPr>
        <w:t>水利局对专项资金预算绩效目标实现程度和预算执行进度进行监控。预算支出绩效运行与设定绩效目标发生偏离的，应当及时采取措施予以纠正；情况严重的，应当调整、暂缓或者停止该项目的执行，并将监控结果及时报市财政部门。</w:t>
      </w:r>
    </w:p>
    <w:p>
      <w:pPr>
        <w:overflowPunct w:val="0"/>
        <w:spacing w:line="578" w:lineRule="exact"/>
        <w:ind w:firstLineChars="200" w:firstLine="640"/>
        <w:rPr>
          <w:rFonts w:eastAsia="方正仿宋_GBK"/>
          <w:sz w:val="32"/>
          <w:szCs w:val="32"/>
        </w:rPr>
      </w:pPr>
      <w:r>
        <w:rPr>
          <w:rFonts w:ascii="方正楷体_GBK" w:eastAsia="方正楷体_GBK" w:cs="方正楷体_GBK" w:hint="eastAsia"/>
          <w:b/>
          <w:bCs/>
          <w:sz w:val="32"/>
          <w:szCs w:val="32"/>
        </w:rPr>
        <w:t>第十九条</w:t>
      </w:r>
      <w:r>
        <w:rPr>
          <w:rFonts w:eastAsia="方正仿宋_GBK" w:hint="eastAsia"/>
          <w:sz w:val="32"/>
          <w:szCs w:val="32"/>
        </w:rPr>
        <w:t xml:space="preserve">  各级财政部门对专项资金政策执行情况、预算编制、管理情况和绩效等实施跟踪监督。</w:t>
      </w:r>
    </w:p>
    <w:p>
      <w:pPr>
        <w:overflowPunct w:val="0"/>
        <w:spacing w:line="578" w:lineRule="exact"/>
        <w:ind w:firstLineChars="200" w:firstLine="640"/>
        <w:rPr>
          <w:rFonts w:eastAsia="方正仿宋_GBK"/>
          <w:sz w:val="32"/>
          <w:szCs w:val="32"/>
        </w:rPr>
      </w:pPr>
      <w:r>
        <w:rPr>
          <w:rFonts w:ascii="方正楷体_GBK" w:eastAsia="方正楷体_GBK" w:cs="方正楷体_GBK" w:hint="eastAsia"/>
          <w:b/>
          <w:bCs/>
          <w:sz w:val="32"/>
          <w:szCs w:val="32"/>
        </w:rPr>
        <w:t xml:space="preserve">第二十条 </w:t>
      </w:r>
      <w:r>
        <w:rPr>
          <w:rFonts w:eastAsia="方正仿宋_GBK" w:hint="eastAsia"/>
          <w:sz w:val="32"/>
          <w:szCs w:val="32"/>
        </w:rPr>
        <w:t xml:space="preserve"> 各级财政、水利部门及其工作人员在专项资金管理工作中，存在违反规定分配资金、向不符合条件的单位、个人（或项目）分配资金，以及其他滥用职权、玩忽职守、徇私舞弊等违法违规行为的，依照《中华人民共和国预算法》《财政违法行为处罚处分条例》等有关规定追究相应责任；涉嫌犯罪的，移交有关部门处理。</w:t>
      </w:r>
    </w:p>
    <w:p>
      <w:pPr>
        <w:overflowPunct w:val="0"/>
        <w:spacing w:line="578" w:lineRule="exact"/>
        <w:ind w:firstLineChars="200" w:firstLine="640"/>
        <w:rPr>
          <w:rFonts w:eastAsia="方正仿宋_GBK"/>
          <w:sz w:val="32"/>
          <w:szCs w:val="32"/>
        </w:rPr>
      </w:pPr>
      <w:r>
        <w:rPr>
          <w:rFonts w:ascii="方正楷体_GBK" w:eastAsia="方正楷体_GBK" w:cs="方正楷体_GBK" w:hint="eastAsia"/>
          <w:b/>
          <w:bCs/>
          <w:sz w:val="32"/>
          <w:szCs w:val="32"/>
        </w:rPr>
        <w:t xml:space="preserve">第二十一条 </w:t>
      </w:r>
      <w:r>
        <w:rPr>
          <w:rFonts w:eastAsia="方正仿宋_GBK" w:hint="eastAsia"/>
          <w:sz w:val="32"/>
          <w:szCs w:val="32"/>
        </w:rPr>
        <w:t xml:space="preserve"> 资金使用单位和个人存在虚报冒领、骗取套取、挤占挪用专项资金，以及其他违反法规定行为的，依照《中华人民共和国预算法》《财政违法行为处罚处分条例》等有关规定追究相应责任；涉嫌犯罪的，移交有关部门处理。</w:t>
      </w:r>
    </w:p>
    <w:p>
      <w:pPr>
        <w:overflowPunct w:val="0"/>
        <w:spacing w:line="578" w:lineRule="exact"/>
        <w:ind w:firstLineChars="200" w:firstLine="640"/>
        <w:rPr>
          <w:rFonts w:eastAsia="方正仿宋_GBK"/>
          <w:sz w:val="32"/>
          <w:szCs w:val="32"/>
        </w:rPr>
      </w:pPr>
    </w:p>
    <w:p>
      <w:pPr>
        <w:overflowPunct w:val="0"/>
        <w:spacing w:line="578" w:lineRule="exact"/>
        <w:jc w:val="center"/>
        <w:rPr>
          <w:rFonts w:eastAsia="方正黑体_GBK"/>
          <w:sz w:val="32"/>
          <w:szCs w:val="32"/>
        </w:rPr>
      </w:pPr>
      <w:r>
        <w:rPr>
          <w:rFonts w:eastAsia="方正黑体_GBK"/>
          <w:sz w:val="32"/>
          <w:szCs w:val="32"/>
        </w:rPr>
        <w:t>第七章　附则</w:t>
      </w:r>
    </w:p>
    <w:p>
      <w:pPr>
        <w:overflowPunct w:val="0"/>
        <w:spacing w:line="578" w:lineRule="exact"/>
        <w:ind w:firstLineChars="200" w:firstLine="640"/>
        <w:rPr>
          <w:rFonts w:eastAsia="方正黑体_GBK"/>
          <w:sz w:val="32"/>
          <w:szCs w:val="32"/>
        </w:rPr>
      </w:pPr>
    </w:p>
    <w:p>
      <w:pPr>
        <w:overflowPunct w:val="0"/>
        <w:spacing w:line="578" w:lineRule="exact"/>
        <w:ind w:firstLineChars="200" w:firstLine="640"/>
        <w:rPr>
          <w:rFonts w:eastAsia="方正仿宋_GBK"/>
          <w:sz w:val="32"/>
          <w:szCs w:val="32"/>
        </w:rPr>
      </w:pPr>
      <w:r>
        <w:rPr>
          <w:rFonts w:ascii="方正楷体_GBK" w:eastAsia="方正楷体_GBK" w:cs="方正楷体_GBK" w:hint="eastAsia"/>
          <w:b/>
          <w:bCs/>
          <w:sz w:val="32"/>
          <w:szCs w:val="32"/>
        </w:rPr>
        <w:t xml:space="preserve">第二十二条 </w:t>
      </w:r>
      <w:r>
        <w:rPr>
          <w:rFonts w:eastAsia="方正仿宋_GBK" w:hint="eastAsia"/>
          <w:sz w:val="32"/>
          <w:szCs w:val="32"/>
        </w:rPr>
        <w:t xml:space="preserve"> 本办法自</w:t>
      </w:r>
      <w:r>
        <w:rPr>
          <w:rFonts w:eastAsia="方正仿宋_GBK" w:hint="eastAsia"/>
          <w:color w:val="FF0000"/>
          <w:sz w:val="32"/>
          <w:szCs w:val="32"/>
        </w:rPr>
        <w:t>202</w:t>
      </w:r>
      <w:r>
        <w:rPr>
          <w:rFonts w:eastAsia="方正仿宋_GBK"/>
          <w:color w:val="FF0000"/>
          <w:sz w:val="32"/>
          <w:szCs w:val="32"/>
        </w:rPr>
        <w:t>3</w:t>
      </w:r>
      <w:r>
        <w:rPr>
          <w:rFonts w:eastAsia="方正仿宋_GBK" w:hint="eastAsia"/>
          <w:color w:val="FF0000"/>
          <w:sz w:val="32"/>
          <w:szCs w:val="32"/>
        </w:rPr>
        <w:t>年1月1日</w:t>
      </w:r>
      <w:r>
        <w:rPr>
          <w:rFonts w:eastAsia="方正仿宋_GBK" w:hint="eastAsia"/>
          <w:sz w:val="32"/>
          <w:szCs w:val="32"/>
        </w:rPr>
        <w:t>起施行，执行期限五年。本办法由市财政局会市水利局负责解释。</w:t>
      </w:r>
    </w:p>
    <w:sectPr>
      <w:footerReference w:type="default" r:id="rId2"/>
      <w:type w:val="continuous"/>
      <w:pgSz w:w="11906" w:h="16838"/>
      <w:pgMar w:top="1701" w:right="1701" w:bottom="1701" w:left="1701"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0000000000000000000"/>
    <w:charset w:val="86"/>
    <w:family w:val="script"/>
    <w:pitch w:val="variable"/>
    <w:sig w:usb0="00000000" w:usb1="00000000" w:usb2="00000010" w:usb3="00000000" w:csb0="00040000" w:csb1="00000000"/>
  </w:font>
  <w:font w:name="方正小标宋_GBK">
    <w:altName w:val="微软雅黑"/>
    <w:panose1 w:val="00000000000000000000"/>
    <w:charset w:val="86"/>
    <w:family w:val="script"/>
    <w:pitch w:val="variable"/>
    <w:sig w:usb0="00000000" w:usb1="00000000" w:usb2="00000010" w:usb3="00000000" w:csb0="00040000" w:csb1="00000000"/>
  </w:font>
  <w:font w:name="方正黑体_GBK">
    <w:altName w:val="微软雅黑"/>
    <w:panose1 w:val="00000000000000000000"/>
    <w:charset w:val="86"/>
    <w:family w:val="script"/>
    <w:pitch w:val="variable"/>
    <w:sig w:usb0="00000001" w:usb1="080E0000" w:usb2="00000000" w:usb3="00000000" w:csb0="00040000" w:csb1="00000000"/>
  </w:font>
  <w:font w:name="方正楷体_GBK">
    <w:altName w:val="微软雅黑"/>
    <w:panose1 w:val="00000000000000000000"/>
    <w:charset w:val="86"/>
    <w:family w:val="auto"/>
    <w:pitch w:val="variable"/>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438509517"/>
    </w:sdtPr>
    <w:sdtEndPr>
      <w:rPr>
        <w:rFonts w:ascii="宋体"/>
        <w:sz w:val="28"/>
        <w:szCs w:val="28"/>
      </w:rPr>
    </w:sdtEndPr>
    <w:sdtContent>
      <w:p>
        <w:pPr>
          <w:pStyle w:val="16"/>
          <w:tabs>
            <w:tab w:val="center" w:pos="4153"/>
            <w:tab w:val="right" w:pos="8306"/>
          </w:tabs>
          <w:jc w:val="center"/>
          <w:rPr>
            <w:rFonts w:ascii="宋体"/>
            <w:sz w:val="28"/>
            <w:szCs w:val="28"/>
          </w:rPr>
        </w:pPr>
        <w:r>
          <w:rPr>
            <w:rFonts w:ascii="宋体"/>
            <w:sz w:val="28"/>
            <w:szCs w:val="28"/>
          </w:rPr>
          <w:fldChar w:fldCharType="begin"/>
        </w:r>
        <w:r>
          <w:rPr>
            <w:rFonts w:ascii="宋体"/>
            <w:sz w:val="28"/>
            <w:szCs w:val="28"/>
          </w:rPr>
          <w:instrText>PAGE   \* MERGEFORMAT</w:instrText>
        </w:r>
        <w:r>
          <w:rPr>
            <w:rFonts w:ascii="宋体"/>
            <w:sz w:val="28"/>
            <w:szCs w:val="28"/>
          </w:rPr>
          <w:fldChar w:fldCharType="separate"/>
        </w:r>
        <w:r>
          <w:rPr>
            <w:rFonts w:ascii="宋体"/>
            <w:sz w:val="28"/>
            <w:szCs w:val="28"/>
            <w:lang w:val="zh-CN"/>
          </w:rPr>
          <w:t>-</w:t>
        </w:r>
        <w:r>
          <w:rPr>
            <w:rFonts w:ascii="宋体"/>
            <w:sz w:val="28"/>
            <w:szCs w:val="28"/>
          </w:rPr>
          <w:t xml:space="preserve"> 2 -</w:t>
        </w:r>
        <w:r>
          <w:rPr>
            <w:rFonts w:ascii="宋体"/>
            <w:sz w:val="28"/>
            <w:szCs w:val="28"/>
          </w:rPr>
          <w:fldChar w:fldCharType="end"/>
        </w:r>
      </w:p>
    </w:sdtContent>
  </w:sdt>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docVars>
    <w:docVar w:name="commondata" w:val="eyJoZGlkIjoiZDQ2ZTY0MjZiYzVkY2Y0ODVjY2Q5YTk2OTc1N2NiZTM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Times New Roman" w:eastAsia="黑体" w:hAnsi="Times New Roman"/>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Balloon Text"/>
    <w:basedOn w:val="0"/>
    <w:rPr>
      <w:sz w:val="18"/>
      <w:szCs w:val="18"/>
    </w:rPr>
  </w:style>
  <w:style w:type="paragraph" w:styleId="16">
    <w:name w:val="footer"/>
    <w:basedOn w:val="0"/>
    <w:pPr>
      <w:tabs>
        <w:tab w:val="center" w:pos="4153"/>
        <w:tab w:val="right" w:pos="8306"/>
      </w:tabs>
      <w:snapToGrid w:val="0"/>
      <w:jc w:val="left"/>
    </w:pPr>
    <w:rPr>
      <w:sz w:val="18"/>
      <w:szCs w:val="18"/>
    </w:rPr>
  </w:style>
  <w:style w:type="character" w:customStyle="1" w:styleId="17">
    <w:name w:val="fontstyle01"/>
    <w:basedOn w:val="10"/>
    <w:rPr>
      <w:rFonts w:ascii="方正仿宋_GBK" w:eastAsia="方正仿宋_GBK"/>
      <w:color w:val="000000"/>
      <w:sz w:val="32"/>
      <w:szCs w:val="32"/>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7</TotalTime>
  <Application>Yozo_Office27021597764231179</Application>
  <Pages>6</Pages>
  <Words>2239</Words>
  <Characters>2256</Characters>
  <Lines>117</Lines>
  <Paragraphs>34</Paragraphs>
  <CharactersWithSpaces>2304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谭芬</dc:creator>
  <cp:lastModifiedBy>taiji</cp:lastModifiedBy>
  <cp:revision>2</cp:revision>
  <cp:lastPrinted>2022-05-16T06:43:00Z</cp:lastPrinted>
  <dcterms:created xsi:type="dcterms:W3CDTF">2022-10-25T01:37:00Z</dcterms:created>
  <dcterms:modified xsi:type="dcterms:W3CDTF">2022-11-07T06:36:58Z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2052-11.1.0.12598</vt:lpwstr>
  </property>
  <property fmtid="{D5CDD505-2E9C-101B-9397-08002B2CF9AE}" pid="3" name="ICV">
    <vt:lpwstr>9C82701E2FCC498CB01A274A13828F41</vt:lpwstr>
  </property>
</Properties>
</file>